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0738d424b7.htm"/>
        <w:bookmarkStart w:id="1" w:name="ksd820738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333-277418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27, 2024) </w:t>
      </w:r>
    </w:p>
    <w:p>
      <w:pPr>
        <w:pStyle w:val="TextBody"/>
        <w:bidi w:val="0"/>
        <w:spacing w:before="120" w:after="0"/>
        <w:jc w:val="center"/>
        <w:rPr>
          <w:rFonts w:ascii="Times New Roman" w:hAnsi="Times New Roman"/>
          <w:b/>
          <w:sz w:val="36"/>
        </w:rPr>
      </w:pPr>
      <w:r>
        <w:rPr>
          <w:rFonts w:ascii="Times New Roman" w:hAnsi="Times New Roman"/>
          <w:b/>
          <w:sz w:val="36"/>
        </w:rPr>
        <w:t xml:space="preserve">25,000,000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280160"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0160" cy="4387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of Sotera Health Company identified in this prospectus supplement are offering 25,000,000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and traded on the Nasdaq Global Select Market (“Nasdaq”) under the symbol “SHC.” On March 4, 2026, the last reported sale price of our common stock on Nasdaq was $15.76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a high degree of risk. See “</w:t>
      </w:r>
      <w:hyperlink w:anchor="supp820738_6">
        <w:r>
          <w:rPr>
            <w:rStyle w:val="InternetLink"/>
            <w:rFonts w:ascii="Times New Roman" w:hAnsi="Times New Roman"/>
            <w:b/>
            <w:sz w:val="24"/>
          </w:rPr>
          <w:t>Risk Factors</w:t>
        </w:r>
      </w:hyperlink>
      <w:r>
        <w:rPr>
          <w:rFonts w:ascii="Times New Roman" w:hAnsi="Times New Roman"/>
          <w:b/>
          <w:sz w:val="24"/>
        </w:rPr>
        <w:t xml:space="preserve">” beginning on page S-12 of this prospectus supplement and in the documents incorporated by reference into this prospectus supplement to read about factors you should consider before deciding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agreed to purchase the common stock from the selling stockholders at a price equal to $15.27 per share, which will result in $381,750,000 of proceeds to the selling stockholders, before expenses. The underwriter may offer our common stock purchased from the selling stockholders from time to time in one or more transactions on Nasdaq, in the over-the-counter market or through negotiated transactions at market prices or at negotiated prices. The underwriter may offer shares of common stock for sale at different prices at the same time. See “Underwriting” for a description of compensation payable to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is expected to be made on or about March 6, 2026. </w:t>
      </w:r>
    </w:p>
    <w:p>
      <w:pPr>
        <w:pStyle w:val="TextBody"/>
        <w:bidi w:val="0"/>
        <w:spacing w:before="240" w:after="0"/>
        <w:jc w:val="center"/>
        <w:rPr>
          <w:rFonts w:ascii="Times New Roman" w:hAnsi="Times New Roman"/>
          <w:b/>
          <w:sz w:val="28"/>
        </w:rPr>
      </w:pPr>
      <w:r>
        <w:rPr>
          <w:rFonts w:ascii="Times New Roman" w:hAnsi="Times New Roman"/>
          <w:b/>
          <w:sz w:val="28"/>
        </w:rPr>
        <w:t xml:space="preserve">Wells Fargo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March 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2">
              <w:r>
                <w:rPr>
                  <w:rStyle w:val="InternetLink"/>
                  <w:rFonts w:ascii="Times New Roman" w:hAnsi="Times New Roman"/>
                  <w:sz w:val="20"/>
                </w:rPr>
                <w:t>MARKET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5">
              <w:r>
                <w:rPr>
                  <w:rStyle w:val="InternetLink"/>
                  <w:rFonts w:ascii="Times New Roman" w:hAnsi="Times New Roman"/>
                  <w:sz w:val="20"/>
                </w:rPr>
                <w:t>SUMMARY HISTORICAL CONSOLIDATED FINANCIAL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7">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8">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9">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10">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820738_15">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820738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carefully read this prospectus supplement, the accompanying prospectus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82073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820738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820738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2025 (the “Annual Report”).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2025,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trusted partner to customers in over 50 countries. We strive to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62 facilities worldwide, we have over 3,000 employees who are dedicated to safety and quality.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820738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5206" w:type="dxa"/>
            <w:tcBorders/>
          </w:tcPr>
          <w:p>
            <w:pPr>
              <w:pStyle w:val="TableContents"/>
              <w:bidi w:val="0"/>
              <w:spacing w:before="0" w:after="283"/>
              <w:jc w:val="left"/>
              <w:rPr/>
            </w:pPr>
            <w:r>
              <w:rPr/>
              <w:t xml:space="preserve">25,000,000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999"/>
        <w:gridCol w:w="5206"/>
      </w:tblGrid>
      <w:tr>
        <w:trPr/>
        <w:tc>
          <w:tcPr>
            <w:tcW w:w="499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stockholders </w:t>
            </w:r>
          </w:p>
        </w:tc>
        <w:tc>
          <w:tcPr>
            <w:tcW w:w="5206" w:type="dxa"/>
            <w:tcBorders/>
          </w:tcPr>
          <w:p>
            <w:pPr>
              <w:pStyle w:val="TableContents"/>
              <w:bidi w:val="0"/>
              <w:spacing w:before="0" w:after="283"/>
              <w:jc w:val="left"/>
              <w:rPr/>
            </w:pPr>
            <w:r>
              <w:rPr/>
              <w:t xml:space="preserve">See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5205" w:type="dxa"/>
            <w:tcBorders/>
          </w:tcPr>
          <w:p>
            <w:pPr>
              <w:pStyle w:val="TableContents"/>
              <w:bidi w:val="0"/>
              <w:spacing w:before="0" w:after="283"/>
              <w:jc w:val="left"/>
              <w:rPr/>
            </w:pPr>
            <w:r>
              <w:rPr/>
              <w:t xml:space="preserve">284,392,079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5205" w:type="dxa"/>
            <w:tcBorders/>
          </w:tcPr>
          <w:p>
            <w:pPr>
              <w:pStyle w:val="TableContents"/>
              <w:bidi w:val="0"/>
              <w:spacing w:before="0" w:after="283"/>
              <w:jc w:val="left"/>
              <w:rPr/>
            </w:pPr>
            <w:r>
              <w:rPr/>
              <w:t xml:space="preserve">The selling stockholders will receive all of the net proceeds from the sale of shares of common stock in this offering. We will not receive any proceeds from the sale of shares of common stock by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0"/>
        <w:gridCol w:w="5205"/>
      </w:tblGrid>
      <w:tr>
        <w:trPr/>
        <w:tc>
          <w:tcPr>
            <w:tcW w:w="500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Recent developments affecting Sponsor rights </w:t>
            </w:r>
          </w:p>
        </w:tc>
        <w:tc>
          <w:tcPr>
            <w:tcW w:w="5205" w:type="dxa"/>
            <w:tcBorders/>
          </w:tcPr>
          <w:p>
            <w:pPr>
              <w:pStyle w:val="TableContents"/>
              <w:bidi w:val="0"/>
              <w:spacing w:before="0" w:after="283"/>
              <w:jc w:val="left"/>
              <w:rPr/>
            </w:pPr>
            <w:r>
              <w:rPr/>
              <w:t xml:space="preserve">Certain affiliates of Warburg Pincus LLC (“Warburg Pincus”) and GTCR LLC (“GTCR” and, together with Warburg Pincus, collectively, the “Sponsors”) have special rights relating to our corporate governance. For more information, see “Certain Sponsor Rights” in our Definitive Proxy Statement on Schedule 14A, which is incorporated by reference in this prospectus supplement. As a result of the Sponsors’ offering of our common stock that closed on September 6, 2024, the Sponsors ceased to own a majority of our outstanding common stock, which affects certain of these rights, and related matters. In particular, as a result of the Sponsors ceasing to own a majority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6"/>
        <w:gridCol w:w="101"/>
        <w:gridCol w:w="100"/>
        <w:gridCol w:w="4798"/>
      </w:tblGrid>
      <w:tr>
        <w:trPr/>
        <w:tc>
          <w:tcPr>
            <w:tcW w:w="5206"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 longer qualify as a “controlled company” within the meaning of the Nasdaq corporate governance standards (although we have not availed ourselves of related exemptions).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1"/>
        <w:gridCol w:w="4798"/>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of certain provisions of our amended and restated certificate of incorporation and amended and restated bylaws requires a 66 2/3% majority approval (in place of a simple majority).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4"/>
        <w:gridCol w:w="102"/>
        <w:gridCol w:w="102"/>
        <w:gridCol w:w="4797"/>
      </w:tblGrid>
      <w:tr>
        <w:trPr/>
        <w:tc>
          <w:tcPr>
            <w:tcW w:w="5204"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actions of stockholders which could have been taken without prior notice and not at an annual or special meeting of stockholders now require such notice and forum.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4"/>
        <w:gridCol w:w="102"/>
        <w:gridCol w:w="102"/>
        <w:gridCol w:w="4797"/>
      </w:tblGrid>
      <w:tr>
        <w:trPr/>
        <w:tc>
          <w:tcPr>
            <w:tcW w:w="5204"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calling of special meetings of stockholders is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2"/>
        <w:gridCol w:w="4797"/>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for cause of directors designated by the Sponsors requires the affirmative vote of at least 75% of the voting power of our outstanding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205"/>
        <w:gridCol w:w="101"/>
        <w:gridCol w:w="100"/>
        <w:gridCol w:w="4799"/>
      </w:tblGrid>
      <w:tr>
        <w:trPr/>
        <w:tc>
          <w:tcPr>
            <w:tcW w:w="5205"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see “Risk Factors – Risks Related to the Offering and Our Common Stock” — “If the ownership of our common stock continues to be highly concentrated, it may prevent minority stockholders from influencing significant corporate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407"/>
        <w:gridCol w:w="4798"/>
      </w:tblGrid>
      <w:tr>
        <w:trPr/>
        <w:tc>
          <w:tcPr>
            <w:tcW w:w="5407" w:type="dxa"/>
            <w:tcBorders/>
            <w:vAlign w:val="center"/>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and may result in conflicts of interest” and “Anti-takeover provisions in our amended and restated certificate of incorporation, amended and restated bylaws and our Stockholders’ Agreement, as well as Delaware law, could discourage a change in control of our company or a change in our management.” Additionally, the number of directors that each of the Sponsors is entitled to designate for election to our board of directors declines as that Sponsor’s ownership of our shares falls below set percentage thresholds. See “Certain Sponsor Rights” in our Definitive Proxy Statement on Schedule 14A, which is incorporated by reference in this prospectus supplement. As a result of the Sponsors’ most recent offering of our common stock that closed on November 10, 2025, the number of our directors that GTCR is entitled to designate was reduced from two to one, and the number of directors that Warburg Pincus is entitled to designate was reduced from three to two. The number of directors that the Sponsors are entitled to designate will be further reduced as a result of this offering. In particular, Warburg Pincus’ ownership will fall below 20% of the amount of our common stock that it held immediately following our IPO. As a result, the number of directors that Warburg Pincus will be entitled to designate will be reduced from two to one. GTCR will continue to be entitled to designate one director.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5204" w:type="dxa"/>
            <w:tcBorders/>
          </w:tcPr>
          <w:p>
            <w:pPr>
              <w:pStyle w:val="TableContents"/>
              <w:bidi w:val="0"/>
              <w:spacing w:before="0" w:after="283"/>
              <w:jc w:val="left"/>
              <w:rPr/>
            </w:pPr>
            <w:r>
              <w:rPr/>
              <w:t xml:space="preserve">We currently do not expect to pay dividends on our common stock. Instead, we anticipate that all of our earnings in the foreseeable future will be used for the operation and growth of our business and the repayment of indebtedness.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1"/>
        <w:gridCol w:w="5204"/>
      </w:tblGrid>
      <w:tr>
        <w:trPr/>
        <w:tc>
          <w:tcPr>
            <w:tcW w:w="500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5204" w:type="dxa"/>
            <w:tcBorders/>
          </w:tcPr>
          <w:p>
            <w:pPr>
              <w:pStyle w:val="TableContents"/>
              <w:bidi w:val="0"/>
              <w:spacing w:before="0" w:after="283"/>
              <w:jc w:val="left"/>
              <w:rPr/>
            </w:pPr>
            <w:r>
              <w:rPr/>
              <w:t xml:space="preserve">Investing in our common stock involves a high degree of risk. See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02"/>
        <w:gridCol w:w="5203"/>
      </w:tblGrid>
      <w:tr>
        <w:trPr/>
        <w:tc>
          <w:tcPr>
            <w:tcW w:w="500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5203" w:type="dxa"/>
            <w:tcBorders/>
          </w:tcPr>
          <w:p>
            <w:pPr>
              <w:pStyle w:val="TableContents"/>
              <w:bidi w:val="0"/>
              <w:spacing w:before="0" w:after="283"/>
              <w:jc w:val="left"/>
              <w:rPr/>
            </w:pPr>
            <w:r>
              <w:rPr/>
              <w:t>“</w:t>
            </w:r>
            <w:r>
              <w:rPr/>
              <w:t xml:space="preserve">SHC”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number of shares of common stock to be outstanding after the offering is based on 284,392,079 shares of common stock outstanding as of February 17, 2026 and excludes as of such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6,841,193 shares of common stock issuable upon the exercise of outstanding options as of December 31, 2025, with a weighted average exercise price of $14.80 per share (provided that 21,097 shares of common stock are no longer issuable upon the exercise of outstanding options due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forfeitures subsequent to December 31, 2025, such forfeited options having a weighted-average exercise price of $21.49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3,265,743 shares issuable pursuant to restricted stock units (“RSUs”) and performance stock units (“PSUs”) outstanding as of December 31, 2025, of which: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4,253 shares of common stock that have ceased to be issuable due to forfeitures of RSUs and PSUs subsequent to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10,833 such shares of common stock that have ceased to be issuable due to the vesting and settlement of RSUs subsequent to December 31, 2025 (and any shares of common stock that are outstanding following the satisfaction of tax withholding obligations in respect of such vested RSUs are included in the number of shares of common stock outstanding as of February 17, 2026 set forth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5,437 such shares of common stock that were released net of taxes between December 31, 2025 and February 17,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13,837,899 additional shares of common stock reserved for future awards under our 2020 Omnibus Incentive Plan (the “2020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820738_5"/>
      <w:bookmarkEnd w:id="7"/>
      <w:r>
        <w:rPr>
          <w:rFonts w:ascii="Times New Roman" w:hAnsi="Times New Roman"/>
          <w:b/>
          <w:sz w:val="20"/>
          <w:bdr w:val="single" w:sz="8" w:space="1" w:color="000000"/>
        </w:rPr>
        <w:t xml:space="preserve">SUMMARY HISTORICAL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our summary historical consolidated financial and other data. The summary historical consolidated statements of operations data and statements of cash flows data for the years ended December 31, 2025, 2024 and 2023 and the summary historical balance sheet data as of December 31, 2025 and December 31, 2024 have been derived from our audited consolidated financial statements incorporated by reference from our Annual Report.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Our historical results are not necessarily indicative of our results in any future period.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579"/>
        <w:gridCol w:w="286"/>
        <w:gridCol w:w="140"/>
        <w:gridCol w:w="982"/>
        <w:gridCol w:w="155"/>
        <w:gridCol w:w="253"/>
        <w:gridCol w:w="140"/>
        <w:gridCol w:w="982"/>
        <w:gridCol w:w="155"/>
        <w:gridCol w:w="253"/>
        <w:gridCol w:w="140"/>
        <w:gridCol w:w="982"/>
        <w:gridCol w:w="158"/>
      </w:tblGrid>
      <w:tr>
        <w:trPr/>
        <w:tc>
          <w:tcPr>
            <w:tcW w:w="5579"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41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5579" w:type="dxa"/>
            <w:tcBorders/>
            <w:vAlign w:val="bottom"/>
          </w:tcPr>
          <w:p>
            <w:pPr>
              <w:pStyle w:val="TableContents"/>
              <w:bidi w:val="0"/>
              <w:spacing w:before="0" w:after="283"/>
              <w:jc w:val="left"/>
              <w:rPr/>
            </w:pPr>
            <w:r>
              <w:rPr>
                <w:b/>
              </w:rPr>
              <w:t>(</w:t>
            </w:r>
            <w:r>
              <w:rPr>
                <w:i/>
              </w:rPr>
              <w:t>in thousands, except per share amounts)</w:t>
            </w:r>
          </w:p>
        </w:tc>
        <w:tc>
          <w:tcPr>
            <w:tcW w:w="286"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579"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995,756</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941,822</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905,598</w:t>
            </w:r>
          </w:p>
        </w:tc>
        <w:tc>
          <w:tcPr>
            <w:tcW w:w="158" w:type="dxa"/>
            <w:tcBorders/>
            <w:vAlign w:val="bottom"/>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167,861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158,619</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143,690</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1,163,617</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1,100,441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1,049,288</w:t>
            </w:r>
          </w:p>
        </w:tc>
        <w:tc>
          <w:tcPr>
            <w:tcW w:w="158" w:type="dxa"/>
            <w:tcBorders/>
            <w:vAlign w:val="bottom"/>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456,311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439,543</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418,611</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61,772</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58,603</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53,519</w:t>
            </w:r>
          </w:p>
        </w:tc>
        <w:tc>
          <w:tcPr>
            <w:tcW w:w="158" w:type="dxa"/>
            <w:tcBorders/>
            <w:vAlign w:val="bottom"/>
          </w:tcPr>
          <w:p>
            <w:pPr>
              <w:pStyle w:val="TableContents"/>
              <w:bidi w:val="0"/>
              <w:spacing w:before="0" w:after="283"/>
              <w:jc w:val="left"/>
              <w:rPr/>
            </w:pPr>
            <w:r>
              <w:rPr/>
              <w:t> </w:t>
            </w:r>
          </w:p>
        </w:tc>
      </w:tr>
      <w:tr>
        <w:trPr/>
        <w:tc>
          <w:tcPr>
            <w:tcW w:w="557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518,083</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498,146</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472,130</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645,534</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602,295</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577,158</w:t>
            </w:r>
          </w:p>
        </w:tc>
        <w:tc>
          <w:tcPr>
            <w:tcW w:w="158" w:type="dxa"/>
            <w:tcBorders/>
            <w:vAlign w:val="bottom"/>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252,762</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242,630</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236,667</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30,738</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62,039</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63,799</w:t>
            </w:r>
          </w:p>
        </w:tc>
        <w:tc>
          <w:tcPr>
            <w:tcW w:w="158" w:type="dxa"/>
            <w:tcBorders/>
            <w:vAlign w:val="bottom"/>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155,722</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164,691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142,878</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1,462</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64,943</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35,000</w:t>
            </w:r>
          </w:p>
        </w:tc>
        <w:tc>
          <w:tcPr>
            <w:tcW w:w="158" w:type="dxa"/>
            <w:tcBorders/>
            <w:vAlign w:val="bottom"/>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947</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159</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(8,546</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(5,306</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(7,372</w:t>
            </w:r>
          </w:p>
        </w:tc>
        <w:tc>
          <w:tcPr>
            <w:tcW w:w="158" w:type="dxa"/>
            <w:tcBorders/>
            <w:vAlign w:val="bottom"/>
          </w:tcPr>
          <w:p>
            <w:pPr>
              <w:pStyle w:val="TableContents"/>
              <w:bidi w:val="0"/>
              <w:spacing w:before="0" w:after="283"/>
              <w:jc w:val="left"/>
              <w:rPr/>
            </w:pPr>
            <w:r>
              <w:rPr/>
              <w:t>) </w:t>
            </w:r>
          </w:p>
        </w:tc>
      </w:tr>
      <w:tr>
        <w:trPr/>
        <w:tc>
          <w:tcPr>
            <w:tcW w:w="557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147,506</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113,874</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106,027</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69,557</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69,476</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54,651</w:t>
            </w:r>
          </w:p>
        </w:tc>
        <w:tc>
          <w:tcPr>
            <w:tcW w:w="158" w:type="dxa"/>
            <w:tcBorders/>
            <w:vAlign w:val="bottom"/>
          </w:tcPr>
          <w:p>
            <w:pPr>
              <w:pStyle w:val="TableContents"/>
              <w:bidi w:val="0"/>
              <w:spacing w:before="0" w:after="283"/>
              <w:jc w:val="left"/>
              <w:rPr/>
            </w:pPr>
            <w:r>
              <w:rPr/>
              <w:t> </w:t>
            </w:r>
          </w:p>
        </w:tc>
      </w:tr>
      <w:tr>
        <w:trPr/>
        <w:tc>
          <w:tcPr>
            <w:tcW w:w="557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77,949</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51,376</w:t>
            </w:r>
          </w:p>
        </w:tc>
        <w:tc>
          <w:tcPr>
            <w:tcW w:w="158" w:type="dxa"/>
            <w:tcBorders/>
            <w:shd w:fill="CCEEFF" w:val="clear"/>
            <w:vAlign w:val="bottom"/>
          </w:tcPr>
          <w:p>
            <w:pPr>
              <w:pStyle w:val="TableContents"/>
              <w:bidi w:val="0"/>
              <w:spacing w:before="0" w:after="283"/>
              <w:jc w:val="left"/>
              <w:rPr/>
            </w:pPr>
            <w:r>
              <w:rPr/>
              <w:t> </w:t>
            </w:r>
          </w:p>
        </w:tc>
      </w:tr>
      <w:tr>
        <w:trPr/>
        <w:tc>
          <w:tcPr>
            <w:tcW w:w="5579"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111"/>
        <w:gridCol w:w="297"/>
        <w:gridCol w:w="140"/>
        <w:gridCol w:w="688"/>
        <w:gridCol w:w="155"/>
        <w:gridCol w:w="255"/>
        <w:gridCol w:w="140"/>
        <w:gridCol w:w="896"/>
        <w:gridCol w:w="155"/>
        <w:gridCol w:w="255"/>
        <w:gridCol w:w="140"/>
        <w:gridCol w:w="812"/>
        <w:gridCol w:w="161"/>
      </w:tblGrid>
      <w:tr>
        <w:trPr/>
        <w:tc>
          <w:tcPr>
            <w:tcW w:w="6111"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36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i/>
              </w:rPr>
            </w:pPr>
            <w:r>
              <w:rPr>
                <w:i/>
              </w:rPr>
              <w:t>(in thousands, except per share amounts)</w:t>
            </w:r>
          </w:p>
        </w:tc>
        <w:tc>
          <w:tcPr>
            <w:tcW w:w="297"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benefits (net of taxes of $600, $2,804 and $(3,420), respectively)</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2,386</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8,462</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(10,506</w:t>
            </w:r>
          </w:p>
        </w:tc>
        <w:tc>
          <w:tcPr>
            <w:tcW w:w="161" w:type="dxa"/>
            <w:tcBorders/>
            <w:vAlign w:val="bottom"/>
          </w:tcPr>
          <w:p>
            <w:pPr>
              <w:pStyle w:val="TableContents"/>
              <w:bidi w:val="0"/>
              <w:spacing w:before="0" w:after="283"/>
              <w:jc w:val="left"/>
              <w:rPr/>
            </w:pPr>
            <w:r>
              <w:rPr/>
              <w:t>) </w:t>
            </w:r>
          </w:p>
        </w:tc>
      </w:tr>
      <w:tr>
        <w:trPr/>
        <w:tc>
          <w:tcPr>
            <w:tcW w:w="6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derivatives (net of taxes of $(718), $(1,856) and $(5,467), respectively)</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(2,088</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(5,396</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(15,697</w:t>
            </w:r>
          </w:p>
        </w:tc>
        <w:tc>
          <w:tcPr>
            <w:tcW w:w="161" w:type="dxa"/>
            <w:tcBorders/>
            <w:shd w:fill="CCEEFF" w:val="clear"/>
            <w:vAlign w:val="bottom"/>
          </w:tcPr>
          <w:p>
            <w:pPr>
              <w:pStyle w:val="TableContents"/>
              <w:bidi w:val="0"/>
              <w:spacing w:before="0" w:after="283"/>
              <w:jc w:val="left"/>
              <w:rPr/>
            </w:pPr>
            <w:r>
              <w:rPr/>
              <w:t>) </w:t>
            </w:r>
          </w:p>
        </w:tc>
      </w:tr>
      <w:tr>
        <w:trPr/>
        <w:tc>
          <w:tcPr>
            <w:tcW w:w="6111"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98,115</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(118,635</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40,174</w:t>
            </w:r>
          </w:p>
        </w:tc>
        <w:tc>
          <w:tcPr>
            <w:tcW w:w="161" w:type="dxa"/>
            <w:tcBorders/>
            <w:vAlign w:val="bottom"/>
          </w:tcPr>
          <w:p>
            <w:pPr>
              <w:pStyle w:val="TableContents"/>
              <w:bidi w:val="0"/>
              <w:spacing w:before="0" w:after="283"/>
              <w:jc w:val="left"/>
              <w:rPr/>
            </w:pPr>
            <w:r>
              <w:rPr/>
              <w:t> </w:t>
            </w:r>
          </w:p>
        </w:tc>
      </w:tr>
      <w:tr>
        <w:trPr/>
        <w:tc>
          <w:tcPr>
            <w:tcW w:w="6111"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73"/>
        <w:gridCol w:w="219"/>
        <w:gridCol w:w="140"/>
        <w:gridCol w:w="875"/>
        <w:gridCol w:w="163"/>
        <w:gridCol w:w="185"/>
        <w:gridCol w:w="140"/>
        <w:gridCol w:w="875"/>
        <w:gridCol w:w="163"/>
        <w:gridCol w:w="185"/>
        <w:gridCol w:w="140"/>
        <w:gridCol w:w="875"/>
        <w:gridCol w:w="172"/>
      </w:tblGrid>
      <w:tr>
        <w:trPr/>
        <w:tc>
          <w:tcPr>
            <w:tcW w:w="6073"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073"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7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72" w:type="dxa"/>
            <w:tcBorders/>
            <w:vAlign w:val="bottom"/>
          </w:tcPr>
          <w:p>
            <w:pPr>
              <w:pStyle w:val="TableContents"/>
              <w:bidi w:val="0"/>
              <w:spacing w:before="0" w:after="283"/>
              <w:jc w:val="left"/>
              <w:rPr/>
            </w:pPr>
            <w:r>
              <w:rPr/>
              <w:t> </w:t>
            </w:r>
          </w:p>
        </w:tc>
      </w:tr>
      <w:tr>
        <w:trPr/>
        <w:tc>
          <w:tcPr>
            <w:tcW w:w="6073" w:type="dxa"/>
            <w:tcBorders/>
            <w:vAlign w:val="bottom"/>
          </w:tcPr>
          <w:p>
            <w:pPr>
              <w:pStyle w:val="TableContents"/>
              <w:bidi w:val="0"/>
              <w:spacing w:before="0" w:after="283"/>
              <w:jc w:val="left"/>
              <w:rPr>
                <w:i/>
              </w:rPr>
            </w:pPr>
            <w:r>
              <w:rPr>
                <w:i/>
              </w:rPr>
              <w:t>(in thousands, except per share amounts)</w:t>
            </w:r>
          </w:p>
        </w:tc>
        <w:tc>
          <w:tcPr>
            <w:tcW w:w="219"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2" w:type="dxa"/>
            <w:tcBorders/>
            <w:vAlign w:val="bottom"/>
          </w:tcPr>
          <w:p>
            <w:pPr>
              <w:pStyle w:val="TableContents"/>
              <w:bidi w:val="0"/>
              <w:spacing w:before="0" w:after="283"/>
              <w:jc w:val="left"/>
              <w:rPr/>
            </w:pPr>
            <w:r>
              <w:rPr/>
              <w:t> </w:t>
            </w:r>
          </w:p>
        </w:tc>
      </w:tr>
      <w:tr>
        <w:trPr/>
        <w:tc>
          <w:tcPr>
            <w:tcW w:w="60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176,362</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(71,171</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65,347</w:t>
            </w:r>
          </w:p>
        </w:tc>
        <w:tc>
          <w:tcPr>
            <w:tcW w:w="172" w:type="dxa"/>
            <w:tcBorders/>
            <w:shd w:fill="CCEEFF" w:val="clear"/>
            <w:vAlign w:val="bottom"/>
          </w:tcPr>
          <w:p>
            <w:pPr>
              <w:pStyle w:val="TableContents"/>
              <w:bidi w:val="0"/>
              <w:spacing w:before="0" w:after="283"/>
              <w:jc w:val="left"/>
              <w:rPr/>
            </w:pPr>
            <w:r>
              <w:rPr/>
              <w:t> </w:t>
            </w:r>
          </w:p>
        </w:tc>
      </w:tr>
      <w:tr>
        <w:trPr/>
        <w:tc>
          <w:tcPr>
            <w:tcW w:w="6073"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r>
      <w:tr>
        <w:trPr/>
        <w:tc>
          <w:tcPr>
            <w:tcW w:w="6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0.27</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0.16</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0.18</w:t>
            </w:r>
          </w:p>
        </w:tc>
        <w:tc>
          <w:tcPr>
            <w:tcW w:w="172" w:type="dxa"/>
            <w:tcBorders/>
            <w:shd w:fill="CCEEFF" w:val="clear"/>
            <w:vAlign w:val="bottom"/>
          </w:tcPr>
          <w:p>
            <w:pPr>
              <w:pStyle w:val="TableContents"/>
              <w:bidi w:val="0"/>
              <w:spacing w:before="0" w:after="283"/>
              <w:jc w:val="left"/>
              <w:rPr/>
            </w:pPr>
            <w:r>
              <w:rPr/>
              <w:t> </w:t>
            </w:r>
          </w:p>
        </w:tc>
      </w:tr>
      <w:tr>
        <w:trPr/>
        <w:tc>
          <w:tcPr>
            <w:tcW w:w="607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287,195</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224,164</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(147,732</w:t>
            </w:r>
          </w:p>
        </w:tc>
        <w:tc>
          <w:tcPr>
            <w:tcW w:w="172" w:type="dxa"/>
            <w:tcBorders/>
            <w:vAlign w:val="bottom"/>
          </w:tcPr>
          <w:p>
            <w:pPr>
              <w:pStyle w:val="TableContents"/>
              <w:bidi w:val="0"/>
              <w:spacing w:before="0" w:after="283"/>
              <w:jc w:val="left"/>
              <w:rPr/>
            </w:pPr>
            <w:r>
              <w:rPr/>
              <w:t>) </w:t>
            </w:r>
          </w:p>
        </w:tc>
      </w:tr>
      <w:tr>
        <w:trPr/>
        <w:tc>
          <w:tcPr>
            <w:tcW w:w="6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(135,144</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(178,996</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(214,906</w:t>
            </w:r>
          </w:p>
        </w:tc>
        <w:tc>
          <w:tcPr>
            <w:tcW w:w="172" w:type="dxa"/>
            <w:tcBorders/>
            <w:shd w:fill="CCEEFF" w:val="clear"/>
            <w:vAlign w:val="bottom"/>
          </w:tcPr>
          <w:p>
            <w:pPr>
              <w:pStyle w:val="TableContents"/>
              <w:bidi w:val="0"/>
              <w:spacing w:before="0" w:after="283"/>
              <w:jc w:val="left"/>
              <w:rPr/>
            </w:pPr>
            <w:r>
              <w:rPr/>
              <w:t>) </w:t>
            </w:r>
          </w:p>
        </w:tc>
      </w:tr>
      <w:tr>
        <w:trPr/>
        <w:tc>
          <w:tcPr>
            <w:tcW w:w="607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(100,534</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(50,564</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265,959</w:t>
            </w:r>
          </w:p>
        </w:tc>
        <w:tc>
          <w:tcPr>
            <w:tcW w:w="172" w:type="dxa"/>
            <w:tcBorders/>
            <w:vAlign w:val="bottom"/>
          </w:tcPr>
          <w:p>
            <w:pPr>
              <w:pStyle w:val="TableContents"/>
              <w:bidi w:val="0"/>
              <w:spacing w:before="0" w:after="283"/>
              <w:jc w:val="left"/>
              <w:rPr/>
            </w:pPr>
            <w:r>
              <w:rPr/>
              <w:t> </w:t>
            </w:r>
          </w:p>
        </w:tc>
      </w:tr>
      <w:tr>
        <w:trPr/>
        <w:tc>
          <w:tcPr>
            <w:tcW w:w="6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Income(a)</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245,414</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198,500</w:t>
            </w:r>
          </w:p>
        </w:tc>
        <w:tc>
          <w:tcPr>
            <w:tcW w:w="16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204,326</w:t>
            </w:r>
          </w:p>
        </w:tc>
        <w:tc>
          <w:tcPr>
            <w:tcW w:w="172" w:type="dxa"/>
            <w:tcBorders/>
            <w:shd w:fill="CCEEFF" w:val="clear"/>
            <w:vAlign w:val="bottom"/>
          </w:tcPr>
          <w:p>
            <w:pPr>
              <w:pStyle w:val="TableContents"/>
              <w:bidi w:val="0"/>
              <w:spacing w:before="0" w:after="283"/>
              <w:jc w:val="left"/>
              <w:rPr/>
            </w:pPr>
            <w:r>
              <w:rPr/>
              <w:t> </w:t>
            </w:r>
          </w:p>
        </w:tc>
      </w:tr>
      <w:tr>
        <w:trPr/>
        <w:tc>
          <w:tcPr>
            <w:tcW w:w="607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EBITDA(a)</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593,801</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548,574</w:t>
            </w:r>
          </w:p>
        </w:tc>
        <w:tc>
          <w:tcPr>
            <w:tcW w:w="16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528,029</w:t>
            </w:r>
          </w:p>
        </w:tc>
        <w:tc>
          <w:tcPr>
            <w:tcW w:w="172" w:type="dxa"/>
            <w:tcBorders/>
            <w:vAlign w:val="bottom"/>
          </w:tcPr>
          <w:p>
            <w:pPr>
              <w:pStyle w:val="TableContents"/>
              <w:bidi w:val="0"/>
              <w:spacing w:before="0" w:after="283"/>
              <w:jc w:val="left"/>
              <w:rPr/>
            </w:pPr>
            <w:r>
              <w:rPr/>
              <w:t> </w:t>
            </w:r>
          </w:p>
        </w:tc>
      </w:tr>
      <w:tr>
        <w:trPr/>
        <w:tc>
          <w:tcPr>
            <w:tcW w:w="6073"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(as defined below), to Adjusted Net Income and Adjusted EBITDA, see “ —Non-GAAP Financial Measures.”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200"/>
        <w:gridCol w:w="315"/>
        <w:gridCol w:w="140"/>
        <w:gridCol w:w="986"/>
        <w:gridCol w:w="60"/>
        <w:gridCol w:w="315"/>
        <w:gridCol w:w="140"/>
        <w:gridCol w:w="986"/>
        <w:gridCol w:w="63"/>
      </w:tblGrid>
      <w:tr>
        <w:trPr/>
        <w:tc>
          <w:tcPr>
            <w:tcW w:w="720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0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6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720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72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200"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equivalents(a)</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344,621</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277,242</w:t>
            </w:r>
          </w:p>
        </w:tc>
        <w:tc>
          <w:tcPr>
            <w:tcW w:w="63" w:type="dxa"/>
            <w:tcBorders/>
            <w:shd w:fill="CCEEFF" w:val="clear"/>
            <w:vAlign w:val="bottom"/>
          </w:tcPr>
          <w:p>
            <w:pPr>
              <w:pStyle w:val="TableContents"/>
              <w:bidi w:val="0"/>
              <w:spacing w:before="0" w:after="283"/>
              <w:jc w:val="left"/>
              <w:rPr/>
            </w:pPr>
            <w:r>
              <w:rPr/>
              <w:t> </w:t>
            </w:r>
          </w:p>
        </w:tc>
      </w:tr>
      <w:tr>
        <w:trPr/>
        <w:tc>
          <w:tcPr>
            <w:tcW w:w="7200"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capital(b)</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363,826</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335,035</w:t>
            </w:r>
          </w:p>
        </w:tc>
        <w:tc>
          <w:tcPr>
            <w:tcW w:w="63" w:type="dxa"/>
            <w:tcBorders/>
            <w:vAlign w:val="bottom"/>
          </w:tcPr>
          <w:p>
            <w:pPr>
              <w:pStyle w:val="TableContents"/>
              <w:bidi w:val="0"/>
              <w:spacing w:before="0" w:after="283"/>
              <w:jc w:val="left"/>
              <w:rPr/>
            </w:pPr>
            <w:r>
              <w:rPr/>
              <w:t> </w:t>
            </w:r>
          </w:p>
        </w:tc>
      </w:tr>
      <w:tr>
        <w:trPr/>
        <w:tc>
          <w:tcPr>
            <w:tcW w:w="7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3,263,190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3,071,648</w:t>
            </w:r>
          </w:p>
        </w:tc>
        <w:tc>
          <w:tcPr>
            <w:tcW w:w="63" w:type="dxa"/>
            <w:tcBorders/>
            <w:shd w:fill="CCEEFF" w:val="clear"/>
            <w:vAlign w:val="bottom"/>
          </w:tcPr>
          <w:p>
            <w:pPr>
              <w:pStyle w:val="TableContents"/>
              <w:bidi w:val="0"/>
              <w:spacing w:before="0" w:after="283"/>
              <w:jc w:val="left"/>
              <w:rPr/>
            </w:pPr>
            <w:r>
              <w:rPr/>
              <w:t> </w:t>
            </w:r>
          </w:p>
        </w:tc>
      </w:tr>
      <w:tr>
        <w:trPr/>
        <w:tc>
          <w:tcPr>
            <w:tcW w:w="720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 less unamortized debt issuance costs and debt discounts)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2,140,697</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2,222,903</w:t>
            </w:r>
          </w:p>
        </w:tc>
        <w:tc>
          <w:tcPr>
            <w:tcW w:w="63" w:type="dxa"/>
            <w:tcBorders/>
            <w:vAlign w:val="bottom"/>
          </w:tcPr>
          <w:p>
            <w:pPr>
              <w:pStyle w:val="TableContents"/>
              <w:bidi w:val="0"/>
              <w:spacing w:before="0" w:after="283"/>
              <w:jc w:val="left"/>
              <w:rPr/>
            </w:pPr>
            <w:r>
              <w:rPr/>
              <w:t> </w:t>
            </w:r>
          </w:p>
        </w:tc>
      </w:tr>
      <w:tr>
        <w:trPr/>
        <w:tc>
          <w:tcPr>
            <w:tcW w:w="7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2,657,155</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2,666,737</w:t>
            </w:r>
          </w:p>
        </w:tc>
        <w:tc>
          <w:tcPr>
            <w:tcW w:w="63" w:type="dxa"/>
            <w:tcBorders/>
            <w:shd w:fill="CCEEFF" w:val="clear"/>
            <w:vAlign w:val="bottom"/>
          </w:tcPr>
          <w:p>
            <w:pPr>
              <w:pStyle w:val="TableContents"/>
              <w:bidi w:val="0"/>
              <w:spacing w:before="0" w:after="283"/>
              <w:jc w:val="left"/>
              <w:rPr/>
            </w:pPr>
            <w:r>
              <w:rPr/>
              <w:t> </w:t>
            </w:r>
          </w:p>
        </w:tc>
      </w:tr>
      <w:tr>
        <w:trPr/>
        <w:tc>
          <w:tcPr>
            <w:tcW w:w="7200"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606,035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404,911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excludes restricted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represents current assets less current liabilities.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supplement our consolidated financial statements presented in accordance with Generally Accepted Accounting Principles (“GAAP”), we consider Adjusted Net Income and Adjusted EBITDA, financial measures that are not based on any standardized methodology prescribed by GAAP.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recurring non-cash charges such as depreciation of fixed assets, although these assets may have to be replaced in the future, as well as amortization of acquired intangible assets and asset retirement obligations (“ARO”);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acquiring and integrating businesses, which will continue to be a part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or losses from fluctuations in foreign currency exchange rates, and the mark-to-fair value of derivatives not designated as hedging instruments, which includes the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long-lived assets, intangible assets and investments accounted for under the equity method;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refinancing of debt incurred in connection with refinancing or early extinguishment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the secondary offering of our common stock and other shareholder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charges related to the litigation, settlement agreements, and other activities associated with our ethylene oxide (“EO”) sterilization facilities, including those related to Willowbrook, Illinois, Atlanta, Georgia, Santa Teresa, New Mexico and Vernon, California;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Adjusted EBITDA, interest expense or the cash requirements necessary to service interest or principal payments on our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which has been, and will continue to be for the foreseeable future, a significant recurring expense and an important part of our compensation strategy.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reconciliation of net income (loss), the most directly comparable financial measure calculated and presented in accordance with GAAP to Adjusted Net Income and Adjusted EBITDA, for each of the periods indicated: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302"/>
        <w:gridCol w:w="218"/>
        <w:gridCol w:w="140"/>
        <w:gridCol w:w="808"/>
        <w:gridCol w:w="155"/>
        <w:gridCol w:w="186"/>
        <w:gridCol w:w="140"/>
        <w:gridCol w:w="808"/>
        <w:gridCol w:w="155"/>
        <w:gridCol w:w="186"/>
        <w:gridCol w:w="140"/>
        <w:gridCol w:w="808"/>
        <w:gridCol w:w="159"/>
      </w:tblGrid>
      <w:tr>
        <w:trPr/>
        <w:tc>
          <w:tcPr>
            <w:tcW w:w="6302"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0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35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6302" w:type="dxa"/>
            <w:tcBorders/>
            <w:vAlign w:val="bottom"/>
          </w:tcPr>
          <w:p>
            <w:pPr>
              <w:pStyle w:val="TableContents"/>
              <w:bidi w:val="0"/>
              <w:spacing w:before="0" w:after="283"/>
              <w:jc w:val="left"/>
              <w:rPr>
                <w:i/>
              </w:rPr>
            </w:pPr>
            <w:r>
              <w:rPr>
                <w:i/>
              </w:rPr>
              <w:t>(in thousands)</w:t>
            </w:r>
          </w:p>
        </w:tc>
        <w:tc>
          <w:tcPr>
            <w:tcW w:w="218"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77,949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44,398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51,376</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41,798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79,377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81,348</w:t>
            </w:r>
          </w:p>
        </w:tc>
        <w:tc>
          <w:tcPr>
            <w:tcW w:w="159" w:type="dxa"/>
            <w:tcBorders/>
            <w:vAlign w:val="bottom"/>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compensation(a)</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31,068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36,896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32,364</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sz w:val="20"/>
              </w:rPr>
            </w:pPr>
            <w:r>
              <w:rPr>
                <w:rFonts w:ascii="Times New Roman" w:hAnsi="Times New Roman"/>
                <w:sz w:val="20"/>
              </w:rPr>
              <w:t>Loss on refinancing of debt(b)</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1,462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24,168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foreign currency and derivatives not designated as hedging instruments, net(c)</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2,448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(1,552</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sz w:val="20"/>
              </w:rPr>
            </w:pPr>
            <w:r>
              <w:rPr>
                <w:rFonts w:ascii="Times New Roman" w:hAnsi="Times New Roman"/>
                <w:sz w:val="20"/>
              </w:rPr>
              <w:t>Business optimization expenses(d)</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8,068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9,368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7,662</w:t>
            </w:r>
          </w:p>
        </w:tc>
        <w:tc>
          <w:tcPr>
            <w:tcW w:w="159" w:type="dxa"/>
            <w:tcBorders/>
            <w:vAlign w:val="bottom"/>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 relating to EO sterilization facilities(e)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46,225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32,694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45,312</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settlements(f)</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64,943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settlement(g)</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35,000</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asset retirement obligations(h)</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2,321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2,638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2,413</w:t>
            </w:r>
          </w:p>
        </w:tc>
        <w:tc>
          <w:tcPr>
            <w:tcW w:w="159" w:type="dxa"/>
            <w:tcBorders/>
            <w:vAlign w:val="bottom"/>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associated with pre-tax adjustments(i)</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(28,478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(33,487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(49,597</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245,414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198,500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204,326</w:t>
            </w:r>
          </w:p>
        </w:tc>
        <w:tc>
          <w:tcPr>
            <w:tcW w:w="159" w:type="dxa"/>
            <w:tcBorders/>
            <w:vAlign w:val="bottom"/>
          </w:tcPr>
          <w:p>
            <w:pPr>
              <w:pStyle w:val="TableContents"/>
              <w:bidi w:val="0"/>
              <w:spacing w:before="0" w:after="283"/>
              <w:jc w:val="left"/>
              <w:rPr/>
            </w:pPr>
            <w:r>
              <w:rPr/>
              <w:t> </w:t>
            </w:r>
          </w:p>
        </w:tc>
      </w:tr>
      <w:tr>
        <w:trPr/>
        <w:tc>
          <w:tcPr>
            <w:tcW w:w="630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155,722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164,691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142,878</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Depreciation(j)</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94,630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82,420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76,577</w:t>
            </w:r>
          </w:p>
        </w:tc>
        <w:tc>
          <w:tcPr>
            <w:tcW w:w="159" w:type="dxa"/>
            <w:tcBorders/>
            <w:vAlign w:val="bottom"/>
          </w:tcPr>
          <w:p>
            <w:pPr>
              <w:pStyle w:val="TableContents"/>
              <w:bidi w:val="0"/>
              <w:spacing w:before="0" w:after="283"/>
              <w:jc w:val="left"/>
              <w:rPr/>
            </w:pPr>
            <w:r>
              <w:rPr/>
              <w:t> </w:t>
            </w:r>
          </w:p>
        </w:tc>
      </w:tr>
      <w:tr>
        <w:trPr/>
        <w:tc>
          <w:tcPr>
            <w:tcW w:w="63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applicable to Adjusted Net Income(k)</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98,035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102,963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104,248</w:t>
            </w:r>
          </w:p>
        </w:tc>
        <w:tc>
          <w:tcPr>
            <w:tcW w:w="159" w:type="dxa"/>
            <w:tcBorders/>
            <w:shd w:fill="CCEEFF" w:val="clear"/>
            <w:vAlign w:val="bottom"/>
          </w:tcPr>
          <w:p>
            <w:pPr>
              <w:pStyle w:val="TableContents"/>
              <w:bidi w:val="0"/>
              <w:spacing w:before="0" w:after="283"/>
              <w:jc w:val="left"/>
              <w:rPr/>
            </w:pPr>
            <w:r>
              <w:rPr/>
              <w:t> </w:t>
            </w:r>
          </w:p>
        </w:tc>
      </w:tr>
      <w:tr>
        <w:trPr/>
        <w:tc>
          <w:tcPr>
            <w:tcW w:w="630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2" w:type="dxa"/>
            <w:tcBorders/>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20"/>
              </w:rPr>
              <w:t>(l)</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593,801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548,574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528,029</w:t>
            </w:r>
          </w:p>
        </w:tc>
        <w:tc>
          <w:tcPr>
            <w:tcW w:w="159" w:type="dxa"/>
            <w:tcBorders/>
            <w:vAlign w:val="bottom"/>
          </w:tcPr>
          <w:p>
            <w:pPr>
              <w:pStyle w:val="TableContents"/>
              <w:bidi w:val="0"/>
              <w:spacing w:before="0" w:after="283"/>
              <w:jc w:val="left"/>
              <w:rPr/>
            </w:pPr>
            <w:r>
              <w:rPr/>
              <w:t> </w:t>
            </w:r>
          </w:p>
        </w:tc>
      </w:tr>
      <w:tr>
        <w:trPr/>
        <w:tc>
          <w:tcPr>
            <w:tcW w:w="630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share-based compensation expense related to employees and Non-Employee Directors.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unamortized debt issuance costs and discounts, as well as certain other costs incurred related to the refinancing activity for the Term Loans, the Secured Notes and the Revolving Credit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effects of (i) fluctuations in foreign currency exchange rates and (ii) non-cash mark-to-fair value of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and other professional fees associated with our EO sterilization facilities.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79 pending EO claims in Georgia under a settlement entered into on December 21,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non-cash accretion of ARO related to Co-60 gamma and EO processing facilities, which are based on estimated site remediation costs for any future decommissioning of these facilities and are accreted over the life of the asset.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adjustments calculated based on the tax rate applicable to each item. We eliminate the effect of tax rate changes as applied to tax assets and liabilities, and unusual items from our presentation of adjusted net income.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Co-60 held at gamma irradiation sites and, for the years ended December 31, 2025 and 2024, excludes accelerated depreciation associated with business optimization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difference between the income tax provision/benefit as determined under U.S. GAAP and the income tax provision (benefit) associated with pre-tax adjustments described in footnote (i).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$99.9 million, $97.1 million and $94.1 million of the adjustments for the year ended December 31, 2025, 2024 and 2023, respectively, are included in cost of revenues, primarily consisting of amortization of intangible assets, depreciation, and accretion of ARO.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820738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risks together with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and trading volume of our common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us or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or in those of our competitors or of companies in the medical device and pharmaceutical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our failure to achieve analysts’ estimates or failure of analysts to maintain coverage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trading prices and trading volumes of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economic downturns in the markets in which we, our suppliers or our customers are located caused by pandemics, such as the COVID-19 pandemic, and related policies and restrictions undertaken to contain the spread of such pandemics or potential pandemics;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and costs associated with potential shareholder activism campaigns and outreach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we have been named as a defendant in such a putative securities class action that was dismissed at the trial court level and is currently pending on appeal. See Note 19, “Commitments and Contingencies” to our consolidated financial statements under the heading “Sotera Health Company Securities Litigation and Related Matters” in our Annual Report on Form 10-K for the year ended December 31, 2025. Such litigation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issuance of additional common stock in connection with our incentive plans, acquisitions or otherwise will dilute all other stockholdings.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17, 2026, we had an aggregate of 886,109,800 shares of common stock that are not currently reserved for issuance under our 2020 Plan, as well as 1,645,073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equity securities by us may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before="240" w:after="0"/>
        <w:jc w:val="left"/>
        <w:rPr>
          <w:rFonts w:ascii="Times New Roman" w:hAnsi="Times New Roman"/>
          <w:sz w:val="20"/>
        </w:rPr>
      </w:pPr>
      <w:r>
        <w:rPr>
          <w:rFonts w:ascii="Times New Roman" w:hAnsi="Times New Roman"/>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or the perception that such sales might occur,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w:t>
      </w:r>
    </w:p>
    <w:p>
      <w:pPr>
        <w:pStyle w:val="TextBody"/>
        <w:bidi w:val="0"/>
        <w:spacing w:before="240" w:after="0"/>
        <w:jc w:val="left"/>
        <w:rPr>
          <w:rFonts w:ascii="Times New Roman" w:hAnsi="Times New Roman"/>
          <w:sz w:val="20"/>
        </w:rPr>
      </w:pPr>
      <w:r>
        <w:rPr>
          <w:rFonts w:ascii="Times New Roman" w:hAnsi="Times New Roman"/>
          <w:sz w:val="20"/>
        </w:rPr>
        <w:t xml:space="preserve">These restrictions apply to approximately 8,345,319 shares as of February 17, 2026, but may be waived at any time by a majority of the members of the leadership development and compensation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the Sponsors together own approximately 20.0% of our outstanding common stock, and following completion of this offering the Sponsors will own approximately 11.2%, and have rights to require us to file registration statements covering their shares. The investment funds and entities affiliated with the Sponsors, as well as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sales of securities by any of our stockholders described above could have a material adverse effect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interests of the Sponsors may differ from the interests of other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supplement, the Sponsors together own approximately 20.0% of our outstanding common stock, and following completion of this offering we expect that the Sponsors will own approximately 11.2%, and, collectively, retain the right to designate two of our directors (subject to further reduction as ownership levels decrease). As a result, even after their ownership is reduced by this offering, the Sponsors will have substantial influence over all matters requiring a stockholder vote.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of our stockholders have the right to engage or invest in the same or similar businesses as us. </w:t>
      </w:r>
    </w:p>
    <w:p>
      <w:pPr>
        <w:pStyle w:val="TextBody"/>
        <w:bidi w:val="0"/>
        <w:spacing w:before="120" w:after="0"/>
        <w:jc w:val="left"/>
        <w:rPr>
          <w:rFonts w:ascii="Times New Roman" w:hAnsi="Times New Roman"/>
          <w:sz w:val="20"/>
        </w:rPr>
      </w:pPr>
      <w:r>
        <w:rPr>
          <w:rFonts w:ascii="Times New Roman" w:hAnsi="Times New Roman"/>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amended and restated certificate of incorporation, amended and restated bylaws and the Stockholders Agreement, as well as Delaware law, could discourage a change in control of our company or a change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with three-year staggered terms,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directors may be removed only for cause by the affirmative vote of the holders of at least 75% of the voting power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our outstanding common stock to amend certain provisions of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issue blank check preferred stock without stockholder approval, which could be used to dilute the stock ownership of a potential hostile acquirer or adopt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our stockholders may only take action at annual or special meetings of our stockholders and may not act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stockholders to call and bring business before special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forum to the Court of Chancery of the State of Delaware or federal court located within the State of Delaware for certain types of actions and proceedings that may be initiated against us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820738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any documents incorporated by reference in this prospectus supplement and accompanying prospectus may contain or incorporate by reference “forward- looking statements” within the meaning of the Private Securities Litigation Reform Act of 1995. Forward- 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changes in environmental, health and safety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current and former EO sterilization facilities, and the possibility that additional claims will be made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changes, including inflationary trends and the impact of tariffs,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federal government shutdowns,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various applicable laws and potentially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incidents, unauthorized data disclosures, and our dependence on IT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associated with the introduction of AI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rights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profitability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U.S. tax legislation or other changes in U.S. or non-U.S. taxation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control that certain investment funds and entities affiliated with Warburg Pincus and GTCR continue to have over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820738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supplement by each of the selling stockholders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284,392,079 shares of common stock outstanding as of February 17, 2026.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35"/>
        <w:gridCol w:w="89"/>
        <w:gridCol w:w="60"/>
        <w:gridCol w:w="1216"/>
        <w:gridCol w:w="60"/>
        <w:gridCol w:w="89"/>
        <w:gridCol w:w="60"/>
        <w:gridCol w:w="598"/>
        <w:gridCol w:w="275"/>
        <w:gridCol w:w="89"/>
        <w:gridCol w:w="72"/>
        <w:gridCol w:w="1456"/>
        <w:gridCol w:w="72"/>
        <w:gridCol w:w="100"/>
        <w:gridCol w:w="72"/>
        <w:gridCol w:w="1456"/>
        <w:gridCol w:w="72"/>
        <w:gridCol w:w="100"/>
        <w:gridCol w:w="71"/>
        <w:gridCol w:w="580"/>
        <w:gridCol w:w="283"/>
      </w:tblGrid>
      <w:tr>
        <w:trPr/>
        <w:tc>
          <w:tcPr>
            <w:tcW w:w="333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0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Prior to the</w:t>
              <w:br/>
              <w:t>Offering</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0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After the</w:t>
              <w:br/>
              <w:t>Offering</w:t>
            </w:r>
          </w:p>
        </w:tc>
        <w:tc>
          <w:tcPr>
            <w:tcW w:w="283"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b/>
              </w:rPr>
            </w:pPr>
            <w:r>
              <w:rPr>
                <w:b/>
              </w:rPr>
              <w:t>Name of Selling Stockholder(1)</w:t>
            </w:r>
          </w:p>
        </w:tc>
        <w:tc>
          <w:tcPr>
            <w:tcW w:w="89"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w:t>
            </w:r>
            <w:r>
              <w:rPr/>
              <w:br/>
            </w:r>
            <w:r>
              <w:rPr>
                <w:b/>
              </w:rPr>
              <w:t>Held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7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7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34,102,952</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11.99</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15,000,000</w:t>
            </w:r>
          </w:p>
        </w:tc>
        <w:tc>
          <w:tcPr>
            <w:tcW w:w="7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19,102,952</w:t>
            </w:r>
          </w:p>
        </w:tc>
        <w:tc>
          <w:tcPr>
            <w:tcW w:w="7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6.72</w:t>
            </w:r>
          </w:p>
        </w:tc>
        <w:tc>
          <w:tcPr>
            <w:tcW w:w="283" w:type="dxa"/>
            <w:tcBorders/>
            <w:shd w:fill="CCEEFF" w:val="clear"/>
            <w:vAlign w:val="bottom"/>
          </w:tcPr>
          <w:p>
            <w:pPr>
              <w:pStyle w:val="TableContents"/>
              <w:bidi w:val="0"/>
              <w:spacing w:before="0" w:after="283"/>
              <w:jc w:val="left"/>
              <w:rPr/>
            </w:pPr>
            <w:r>
              <w:rPr/>
              <w:t>% </w:t>
            </w:r>
          </w:p>
        </w:tc>
      </w:tr>
      <w:tr>
        <w:trPr/>
        <w:tc>
          <w:tcPr>
            <w:tcW w:w="333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22,735,301</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7.99</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10,000,000</w:t>
            </w:r>
          </w:p>
        </w:tc>
        <w:tc>
          <w:tcPr>
            <w:tcW w:w="7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12,735,301</w:t>
            </w:r>
          </w:p>
        </w:tc>
        <w:tc>
          <w:tcPr>
            <w:tcW w:w="72"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4.48</w:t>
            </w:r>
          </w:p>
        </w:tc>
        <w:tc>
          <w:tcPr>
            <w:tcW w:w="28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27,291,923 shares held of record by Bull Holdco L.P., a Delaware limited partnership (“Bull Holdco”) and (ii) 6,811,029 shares held of record by Bull Co-Invest L.P., a Delaware limited partnership (“Bull Co-Invest”).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18,044,507 shares held of record by GTCR Fund XI/A LP, (ii) 4,546,174 shares held of record by GTCR Fund XI/C LP and (iii) 144,620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820738_9"/>
      <w:bookmarkEnd w:id="11"/>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eligible for a reduced rate of U.S. federal withholding tax pursuant to an applicable income tax treaty or otherwise, the Non-U.S. Holder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about how these information reporting and withholding tax rules may apply to their investment in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Non-U.S. Holders generally will not be subject to U.S. federal income tax with respect to gain recognized on a sale, exchange or other taxable disposition of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820738_10"/>
      <w:bookmarkEnd w:id="12"/>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the application of withholding taxes on dividends, see “Material U.S. Federal Income Tax Considerations for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820738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the selling stockholders and Wells Fargo Securities, LLC (the “underwriter”) have entered into an underwriting agreement with respect to the shares of our common stock being offered by the selling stockholders. Subject to certain conditions, the underwriter has agreed to purchase an aggregate 25,000,000 of shares of our common stock from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take and pay for all of the shares of our common stock being offered by the selling stockholders, if any are taken.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proposes to offer the common stock from time to time for sale in one or more transactions on Nasdaq, in the over-the-counter market, through negotiated transactions or otherwise at market prices prevailing at the time of sale, at prices related to prevailing market prices or at negotiated prices, subject to receipt and acceptance by the underwriter and subject to its right to reject any order in whole or in part. The underwriter may offer shares of common stock for sale at different prices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$500,000.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certain exceptions, we will not, without the prior written consent of the underwriter for a period of 30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directors and the selling stockholders have entered into lock-up agreements with the underwriter pursuant to which each of them, subject to certain exceptions, for a period of 30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units, performance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 financial activities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 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transitional provisions in Article 74 (transitional provisions) of the Prospectus Amendment etc (EU Exit) Regulations 2019/1234,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of the POATR), subject to obtaining the prior consent of the representatives for any such offer;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820738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to be issued in this offering. Certain legal matters will be passed upon for the underwriter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820738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820738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820738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February 5, 2026</w:t>
              </w:r>
            </w:hyperlink>
            <w:r>
              <w:rPr>
                <w:rFonts w:ascii="Times New Roman" w:hAnsi="Times New Roman"/>
                <w:sz w:val="20"/>
              </w:rPr>
              <w:t xml:space="preserve"> and </w:t>
            </w:r>
            <w:hyperlink r:id="rId5">
              <w:r>
                <w:rPr>
                  <w:rStyle w:val="InternetLink"/>
                  <w:rFonts w:ascii="Times New Roman" w:hAnsi="Times New Roman"/>
                  <w:sz w:val="20"/>
                </w:rPr>
                <w:t>February 24, 2026</w:t>
              </w:r>
            </w:hyperlink>
            <w:r>
              <w:rPr>
                <w:rFonts w:ascii="Times New Roman" w:hAnsi="Times New Roman"/>
                <w:sz w:val="20"/>
              </w:rPr>
              <w:t xml:space="preserve"> (excluding any information furnished pursuant to Item 2.01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w:t>
            </w:r>
            <w:hyperlink r:id="rId6">
              <w:r>
                <w:rPr>
                  <w:rStyle w:val="InternetLink"/>
                  <w:rFonts w:ascii="Times New Roman" w:hAnsi="Times New Roman"/>
                  <w:sz w:val="20"/>
                </w:rPr>
                <w:t>Schedule 14A</w:t>
              </w:r>
            </w:hyperlink>
            <w:r>
              <w:rPr>
                <w:rFonts w:ascii="Times New Roman" w:hAnsi="Times New Roman"/>
                <w:sz w:val="20"/>
              </w:rPr>
              <w:t xml:space="preserve">, filed with the SEC on April 10, 2025 and supplemented on </w:t>
            </w:r>
            <w:hyperlink r:id="rId7">
              <w:r>
                <w:rPr>
                  <w:rStyle w:val="InternetLink"/>
                  <w:rFonts w:ascii="Times New Roman" w:hAnsi="Times New Roman"/>
                  <w:sz w:val="20"/>
                </w:rPr>
                <w:t>May 2, 2025</w:t>
              </w:r>
            </w:hyperlink>
            <w:r>
              <w:rPr>
                <w:rFonts w:ascii="Times New Roman" w:hAnsi="Times New Roman"/>
                <w:sz w:val="20"/>
              </w:rPr>
              <w:t xml:space="preserve">, as amended (solely to the extent specifically incorporated by reference into our Annual Report on Form 10-K 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5295" cy="5759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725295" cy="575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an offer to sell our common stock, and it is not soliciting an offer to buy our common stock, in any state or other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“SHC.”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820738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20738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820738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and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820738_2"/>
      <w:bookmarkEnd w:id="20"/>
      <w:r>
        <w:rPr>
          <w:rFonts w:ascii="Times New Roman" w:hAnsi="Times New Roman"/>
          <w:b/>
          <w:sz w:val="20"/>
        </w:rPr>
        <w:t xml:space="preserve">ABOUT SOTERA HEALTH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820738_3"/>
      <w:bookmarkEnd w:id="2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our dependence on information technology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820738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820738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our common stock described in this prospectus for our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from any sale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820738_6"/>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one class of securities, common stock, par value $0.01 per share, registered pursuant to Section 12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1,200,000,000 shares of common stock, par value $0.01 per share, of which 282,832,200 shares were outstanding as of February 20, 2024, and 120,000,000 shares of preferred stock, par value $0.01 per share, of which no shares were outstanding as of February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common stock are entitled to one vote for each share held on all matters submitted to a vote of stockholders, subject to 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then-outstanding preferred stock, holders of our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Upon our liquidation, dissolution or winding up, the holders of our common stock will be entitled to share equally and ratably in the net assets legally available for distribution to stockholders after the payment of all of our debts and other liabilities, subject to the prior rights of any preferred stock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Preemptive or Similar Rights</w:t>
      </w:r>
      <w:r>
        <w:rPr>
          <w:rFonts w:ascii="Times New Roman" w:hAnsi="Times New Roman"/>
          <w:sz w:val="20"/>
        </w:rPr>
        <w:t xml:space="preserve">. Holders of our common stock have no preemptive or conversion rights or other subscription rights, and there are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i/>
          <w:sz w:val="20"/>
        </w:rPr>
        <w:t>Assessment</w:t>
      </w:r>
      <w:r>
        <w:rPr>
          <w:rFonts w:ascii="Times New Roman" w:hAnsi="Times New Roman"/>
          <w:sz w:val="20"/>
        </w:rPr>
        <w:t xml:space="preserve">. All outstanding shares of our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 removal of directors</w:t>
      </w:r>
      <w:r>
        <w:rPr>
          <w:rFonts w:ascii="Times New Roman" w:hAnsi="Times New Roman"/>
          <w:sz w:val="20"/>
        </w:rPr>
        <w:t xml:space="preserve">. Our amended and restated certificate of incorporation provides that our board of directors is divided into three classes of directors, with the classes to be as nearly equal in number as possible, and with staggered three-year terms. As a result, approximately one-third of our board of directors will be elected each year.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before="240" w:after="0"/>
        <w:jc w:val="left"/>
        <w:rPr>
          <w:rFonts w:ascii="Times New Roman" w:hAnsi="Times New Roman"/>
          <w:sz w:val="20"/>
        </w:rPr>
      </w:pPr>
      <w:r>
        <w:rPr>
          <w:rFonts w:ascii="Times New Roman" w:hAnsi="Times New Roman"/>
          <w:i/>
          <w:sz w:val="20"/>
        </w:rPr>
        <w:t>Amendment of certificate of incorporation and bylaws provisions</w:t>
      </w:r>
      <w:r>
        <w:rPr>
          <w:rFonts w:ascii="Times New Roman" w:hAnsi="Times New Roman"/>
          <w:sz w:val="20"/>
        </w:rPr>
        <w:t xml:space="preserve">. Our amended and restated certificate of incorporation provides that approval of 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Authorized but unissued or undesignated capital stock</w:t>
      </w:r>
      <w:r>
        <w:rPr>
          <w:rFonts w:ascii="Times New Roman" w:hAnsi="Times New Roman"/>
          <w:sz w:val="20"/>
        </w:rPr>
        <w:t xml:space="preserve">. Our authorized capital stock consists of 1,200,000,000 shares of common stock and 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provides that our stockholders will not 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before="240" w:after="0"/>
        <w:jc w:val="left"/>
        <w:rPr>
          <w:rFonts w:ascii="Times New Roman" w:hAnsi="Times New Roman"/>
          <w:sz w:val="20"/>
        </w:rPr>
      </w:pPr>
      <w:r>
        <w:rPr>
          <w:rFonts w:ascii="Times New Roman" w:hAnsi="Times New Roman"/>
          <w:i/>
          <w:sz w:val="20"/>
        </w:rPr>
        <w:t>Supermajority voting on board actions</w:t>
      </w:r>
      <w:r>
        <w:rPr>
          <w:rFonts w:ascii="Times New Roman" w:hAnsi="Times New Roman"/>
          <w:sz w:val="20"/>
        </w:rPr>
        <w:t xml:space="preserve">. For so long as investment funds and entities affiliated with either Warburg Pincus or GTCR have the right (individually) to designate at least three directors for election to our board of directors, the following actions may only be effected with the affirmative vote of 75%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acquisitions, mergers, other business combination transactions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modification or repeal of any provision of the certificate of incorporation or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size and composition of the board of directors or the compensation of its committees, other than in accordance with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the chief executive officer or designation of a new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ordinary course compensation arrangements, entering into, or modifying, any compensation arrangements with an executive officer or any of an executive officer’s affiliates or associates;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additional shares of Company or subsidiaries’ capital stock, subject to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certain indebtedness. </w:t>
            </w:r>
          </w:p>
        </w:tc>
      </w:tr>
    </w:tbl>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hAnsi="Times New Roman"/>
          <w:i/>
          <w:sz w:val="20"/>
        </w:rPr>
        <w:t>business</w:t>
      </w:r>
      <w:r>
        <w:rPr>
          <w:rFonts w:ascii="Times New Roman" w:hAnsi="Times New Roman"/>
          <w:sz w:val="20"/>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66 2/3% of our outstanding voting stock that is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Warburg and GTCR, and any of their respective direct or indirect transferees and any group as to which such persons are a party, do not constitute “interested shareholders”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provision. The Supreme Court of Delaware has held that this type of exclusive federal forum provision is enforceable. There may be uncertainty, however, as to whether courts of other jurisdictions would enforce such provision, if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The transfer agent and registrar’s address is 118 Fernwood Avenue, Edison, New Jersey 08837.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820738_7"/>
      <w:bookmarkEnd w:id="2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3170"/>
        <w:gridCol w:w="120"/>
        <w:gridCol w:w="75"/>
        <w:gridCol w:w="1535"/>
        <w:gridCol w:w="60"/>
        <w:gridCol w:w="120"/>
        <w:gridCol w:w="155"/>
        <w:gridCol w:w="1455"/>
        <w:gridCol w:w="275"/>
        <w:gridCol w:w="60"/>
        <w:gridCol w:w="217"/>
        <w:gridCol w:w="1378"/>
        <w:gridCol w:w="60"/>
        <w:gridCol w:w="120"/>
        <w:gridCol w:w="219"/>
        <w:gridCol w:w="1391"/>
        <w:gridCol w:w="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After</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3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 Petras, Jr.(4)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Michael P. Rutz(5)</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 R. Klee(6)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820738_8"/>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offer and sell the securities covered by this prospectus from time to time, in one or more or any combination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including in a block trade in which a broker-dealer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pursuant 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offering of securities covered by this prospectus is made, a revised prospectus or prospectus supplement, if required, will set forth the amount of securities covered by this prospectus being offered and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brokers or agents and the amounts of securities underwritten or purchased by each of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if a fixed price offering, and the proceeds to us or any selling stockholders and, to the extent required, any discounts, commissions or concessions allowed or reallowed or paid to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820738_9"/>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820738_10"/>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9">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10">
              <w:r>
                <w:rPr>
                  <w:rStyle w:val="InternetLink"/>
                  <w:rFonts w:ascii="Times New Roman" w:hAnsi="Times New Roman"/>
                  <w:sz w:val="20"/>
                </w:rPr>
                <w:t>Schedule 14A</w:t>
              </w:r>
            </w:hyperlink>
            <w:r>
              <w:rPr>
                <w:rFonts w:ascii="Times New Roman" w:hAnsi="Times New Roman"/>
                <w:sz w:val="20"/>
              </w:rPr>
              <w:t xml:space="preserve">, filed with the SEC on </w:t>
            </w:r>
            <w:hyperlink r:id="rId11">
              <w:r>
                <w:rPr>
                  <w:rStyle w:val="InternetLink"/>
                  <w:rFonts w:ascii="Times New Roman" w:hAnsi="Times New Roman"/>
                  <w:sz w:val="20"/>
                </w:rPr>
                <w:t>April  13, 2023</w:t>
              </w:r>
            </w:hyperlink>
            <w:r>
              <w:rPr>
                <w:rFonts w:ascii="Times New Roman" w:hAnsi="Times New Roman"/>
                <w:sz w:val="20"/>
              </w:rPr>
              <w:t xml:space="preserve"> (solely to the extent specifically incorporated by reference into our Annual Report on </w:t>
            </w:r>
            <w:hyperlink r:id="rId12">
              <w:r>
                <w:rPr>
                  <w:rStyle w:val="InternetLink"/>
                  <w:rFonts w:ascii="Times New Roman" w:hAnsi="Times New Roman"/>
                  <w:sz w:val="20"/>
                </w:rPr>
                <w:t>Form 10-K</w:t>
              </w:r>
            </w:hyperlink>
            <w:r>
              <w:rPr>
                <w:rFonts w:ascii="Times New Roman" w:hAnsi="Times New Roman"/>
                <w:sz w:val="20"/>
              </w:rPr>
              <w:t xml:space="preserve"> for the fiscal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820738_11"/>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820738_12"/>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25,000,000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80160" cy="4387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280160" cy="43878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rFonts w:ascii="Times New Roman" w:hAnsi="Times New Roman"/>
          <w:b/>
          <w:sz w:val="28"/>
        </w:rPr>
      </w:pPr>
      <w:r>
        <w:rPr>
          <w:rFonts w:ascii="Times New Roman" w:hAnsi="Times New Roman"/>
          <w:b/>
          <w:sz w:val="28"/>
        </w:rPr>
        <w:t xml:space="preserve">March 4, 2026 </w:t>
      </w:r>
    </w:p>
    <w:p>
      <w:pPr>
        <w:pStyle w:val="TextBody"/>
        <w:bidi w:val="0"/>
        <w:spacing w:before="0" w:after="0"/>
        <w:jc w:val="left"/>
        <w:rPr/>
      </w:pPr>
      <w:r>
        <w:rPr/>
        <w:t> </w:t>
      </w:r>
    </w:p>
    <w:p>
      <w:pPr>
        <w:pStyle w:val="TextBody"/>
        <w:bidi w:val="0"/>
        <w:spacing w:before="480" w:after="0"/>
        <w:jc w:val="center"/>
        <w:rPr>
          <w:rFonts w:ascii="Times New Roman" w:hAnsi="Times New Roman"/>
          <w:b/>
          <w:sz w:val="28"/>
        </w:rPr>
      </w:pPr>
      <w:r>
        <w:rPr>
          <w:rFonts w:ascii="Times New Roman" w:hAnsi="Times New Roman"/>
          <w:b/>
          <w:sz w:val="28"/>
        </w:rPr>
        <w:t xml:space="preserve">Wells Fargo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820738dexfilingfees.htm"/>
      <w:bookmarkStart w:id="32" w:name="ksd820738dexfilingfees"/>
      <w:bookmarkStart w:id="33" w:name="d820738dexfilingfees.htm"/>
      <w:bookmarkStart w:id="34" w:name="ksd820738dexfilingfees"/>
      <w:bookmarkEnd w:id="33"/>
      <w:bookmarkEnd w:id="34"/>
      <w:r>
        <w:br w:type="page"/>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Sotera Health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25,000,000 </w:t>
            </w:r>
          </w:p>
        </w:tc>
        <w:tc>
          <w:tcPr>
            <w:tcW w:w="1156" w:type="dxa"/>
            <w:tcBorders/>
            <w:shd w:fill="E7E7E2" w:val="clear"/>
            <w:vAlign w:val="center"/>
          </w:tcPr>
          <w:p>
            <w:pPr>
              <w:pStyle w:val="TableContents"/>
              <w:bidi w:val="0"/>
              <w:spacing w:before="0" w:after="283"/>
              <w:jc w:val="right"/>
              <w:rPr/>
            </w:pPr>
            <w:r>
              <w:rPr/>
              <w:t xml:space="preserve">$ 15.27 </w:t>
            </w:r>
          </w:p>
        </w:tc>
        <w:tc>
          <w:tcPr>
            <w:tcW w:w="1786" w:type="dxa"/>
            <w:tcBorders/>
            <w:shd w:fill="E7E7E2" w:val="clear"/>
            <w:vAlign w:val="center"/>
          </w:tcPr>
          <w:p>
            <w:pPr>
              <w:pStyle w:val="TableContents"/>
              <w:bidi w:val="0"/>
              <w:spacing w:before="0" w:after="283"/>
              <w:jc w:val="right"/>
              <w:rPr/>
            </w:pPr>
            <w:r>
              <w:rPr/>
              <w:t xml:space="preserve">$ 381,750,000.00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$ 52,719.68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$ 381,750,000.00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$ 52,719.68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$ 52,719.68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4"/>
        <w:gridCol w:w="1292"/>
        <w:gridCol w:w="8699"/>
      </w:tblGrid>
      <w:tr>
        <w:trPr/>
        <w:tc>
          <w:tcPr>
            <w:tcW w:w="21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1"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was deferred pursuant to Rules 456(b) and 456(r) under the Securities Act and is paid herewith. </w:t>
            </w:r>
          </w:p>
        </w:tc>
      </w:tr>
      <w:tr>
        <w:trPr/>
        <w:tc>
          <w:tcPr>
            <w:tcW w:w="1506" w:type="dxa"/>
            <w:gridSpan w:val="2"/>
            <w:tcBorders/>
            <w:vAlign w:val="center"/>
          </w:tcPr>
          <w:p>
            <w:pPr>
              <w:pStyle w:val="HorizontalLine"/>
              <w:pBdr>
                <w:bottom w:val="double" w:sz="2" w:space="0" w:color="808080"/>
              </w:pBdr>
              <w:bidi w:val="0"/>
              <w:spacing w:before="0" w:after="283"/>
              <w:jc w:val="left"/>
              <w:rPr/>
            </w:pPr>
            <w:r>
              <w:rPr/>
            </w:r>
          </w:p>
        </w:tc>
        <w:tc>
          <w:tcPr>
            <w:tcW w:w="869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$381,750,000.00.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2479/000182247926000015/shc-20251231.htm" TargetMode="External"/><Relationship Id="rId4" Type="http://schemas.openxmlformats.org/officeDocument/2006/relationships/hyperlink" Target="http://www.sec.gov/Archives/edgar/data/../../../ix?doc=/Archives/edgar/data/1822479/000182247926000007/shc-20260204.htm" TargetMode="External"/><Relationship Id="rId5" Type="http://schemas.openxmlformats.org/officeDocument/2006/relationships/hyperlink" Target="http://www.sec.gov/Archives/edgar/data/../../../ix?doc=/Archives/edgar/data/1822479/000182247926000012/shc-20260218.htm" TargetMode="External"/><Relationship Id="rId6" Type="http://schemas.openxmlformats.org/officeDocument/2006/relationships/hyperlink" Target="http://www.sec.gov/Archives/edgar/data/../../../ix?doc=/Archives/edgar/data/1822479/000110465925033563/tm253344-4_def14a.htm" TargetMode="External"/><Relationship Id="rId7" Type="http://schemas.openxmlformats.org/officeDocument/2006/relationships/hyperlink" Target="http://www.sec.gov/Archives/edgar/data/1822479/000110465925044107/tm2513916d1_defa14a.htm" TargetMode="External"/><Relationship Id="rId8" Type="http://schemas.openxmlformats.org/officeDocument/2006/relationships/image" Target="media/image2.jpeg"/><Relationship Id="rId9" Type="http://schemas.openxmlformats.org/officeDocument/2006/relationships/hyperlink" Target="http://www.sec.gov/Archives/edgar/data/1822479/000182247924000011/shc-20231231.htm" TargetMode="External"/><Relationship Id="rId10" Type="http://schemas.openxmlformats.org/officeDocument/2006/relationships/hyperlink" Target="http://www.sec.gov/Archives/edgar/data/../../../ix?doc=/Archives/edgar/data/1822479/000119312523099939/d425483ddef14a.htm" TargetMode="External"/><Relationship Id="rId11" Type="http://schemas.openxmlformats.org/officeDocument/2006/relationships/hyperlink" Target="http://www.sec.gov/Archives/edgar/data/1822479/000119312523099939/d425483ddef14a.htm" TargetMode="External"/><Relationship Id="rId12" Type="http://schemas.openxmlformats.org/officeDocument/2006/relationships/hyperlink" Target="http://www.sec.gov/Archives/edgar/data/../../../ix?doc=/Archives/edgar/data/1822479/000182247923000015/shc-20221231.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25725</Words>
  <Characters>138111</Characters>
  <CharactersWithSpaces>164767</CharactersWithSpaces>
  <Paragraphs>2675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