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and the accompanying prospectus, relating to an effective registration statement under the Securities Act of 1933, as amended,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0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333-277418</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FF4338"/>
        </w:rPr>
        <w:t>SUBJECT TO COMPLETION, DATED SEPTEMBER 3, 2025</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27, 2024)</w:t>
      </w:r>
    </w:p>
    <w:p>
      <w:pPr>
        <w:spacing w:after="0" w:line="178" w:lineRule="exact"/>
        <w:rPr>
          <w:sz w:val="24"/>
          <w:szCs w:val="24"/>
          <w:color w:val="auto"/>
        </w:rPr>
      </w:pPr>
    </w:p>
    <w:p>
      <w:pPr>
        <w:jc w:val="center"/>
        <w:ind w:right="-119"/>
        <w:spacing w:after="0"/>
        <w:tabs>
          <w:tab w:leader="none" w:pos="300" w:val="left"/>
        </w:tabs>
        <w:rPr>
          <w:sz w:val="20"/>
          <w:szCs w:val="20"/>
          <w:color w:val="auto"/>
        </w:rPr>
      </w:pPr>
      <w:r>
        <w:rPr>
          <w:rFonts w:ascii="Times New Roman" w:cs="Times New Roman" w:eastAsia="Times New Roman" w:hAnsi="Times New Roman"/>
          <w:sz w:val="32"/>
          <w:szCs w:val="32"/>
          <w:b w:val="1"/>
          <w:bCs w:val="1"/>
          <w:color w:val="auto"/>
        </w:rPr>
        <w:t xml:space="preserve">       </w:t>
        <w:tab/>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182245</wp:posOffset>
            </wp:positionV>
            <wp:extent cx="125158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158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of Sotera Health Company identified in this prospectus supplement are offering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w:t>
      </w:r>
    </w:p>
    <w:p>
      <w:pPr>
        <w:spacing w:after="0" w:line="176" w:lineRule="exact"/>
        <w:rPr>
          <w:sz w:val="24"/>
          <w:szCs w:val="24"/>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traded on the Nasdaq Global Select Market (“Nasdaq”) under the symbol “SHC.” On September 2, 2025, the last reported sale price of our common stock on Nasdaq was $16.16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120" w:right="18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S-11 of this prospectus supplement and in the documents incorporated by reference into this prospectus supplement to read about factors you should consider before deciding to invest in our common stock.</w:t>
      </w:r>
    </w:p>
    <w:p>
      <w:pPr>
        <w:spacing w:after="0" w:line="176" w:lineRule="exact"/>
        <w:rPr>
          <w:sz w:val="24"/>
          <w:szCs w:val="24"/>
          <w:color w:val="auto"/>
        </w:rPr>
      </w:pPr>
    </w:p>
    <w:p>
      <w:pPr>
        <w:ind w:left="120"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w:t>
      </w:r>
    </w:p>
    <w:p>
      <w:pPr>
        <w:spacing w:after="0" w:line="175" w:lineRule="exact"/>
        <w:rPr>
          <w:sz w:val="24"/>
          <w:szCs w:val="24"/>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 has agreed to purchase the common stock from the selling stockholders at a price equal to $      per share, which will result in $      of proceeds to the selling stockholders, before expenses. The underwriter may offer our common stock purchased from the selling stockholders from time to time in one or more transactions on the Nasdaq, in the over-the-counter market or through negotiated transactions at market prices or at negotiated prices. The underwriter may offer shares of common stock for sale at different prices at the same time. See “Underwriting” for a description of compensation payable to the underwriter.</w:t>
      </w:r>
    </w:p>
    <w:p>
      <w:pPr>
        <w:spacing w:after="0" w:line="18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Delivery of the shares of common stock is expected to be made on or about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Goldman Sachs &amp; Co. LLC</w:t>
      </w:r>
    </w:p>
    <w:p>
      <w:pPr>
        <w:spacing w:after="0" w:line="2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180" w:type="dxa"/>
            <w:vAlign w:val="bottom"/>
          </w:tcPr>
          <w:p>
            <w:pPr>
              <w:spacing w:after="0"/>
              <w:rPr>
                <w:sz w:val="20"/>
                <w:szCs w:val="20"/>
                <w:color w:val="auto"/>
              </w:rPr>
            </w:pPr>
          </w:p>
        </w:tc>
      </w:tr>
      <w:tr>
        <w:trPr>
          <w:trHeight w:val="32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180" w:type="dxa"/>
            <w:vAlign w:val="bottom"/>
          </w:tcPr>
          <w:p>
            <w:pPr>
              <w:spacing w:after="0"/>
              <w:rPr>
                <w:sz w:val="24"/>
                <w:szCs w:val="24"/>
                <w:color w:val="auto"/>
              </w:rPr>
            </w:pPr>
          </w:p>
        </w:tc>
      </w:tr>
      <w:tr>
        <w:trPr>
          <w:trHeight w:val="373"/>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344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340" w:type="dxa"/>
            <w:vAlign w:val="bottom"/>
            <w:gridSpan w:val="5"/>
          </w:tcPr>
          <w:p>
            <w:pPr>
              <w:spacing w:after="0"/>
              <w:rPr>
                <w:sz w:val="16"/>
                <w:szCs w:val="16"/>
                <w:color w:val="auto"/>
              </w:rPr>
            </w:pPr>
          </w:p>
        </w:tc>
        <w:tc>
          <w:tcPr>
            <w:tcW w:w="2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1720" w:type="dxa"/>
            <w:vAlign w:val="bottom"/>
            <w:tcBorders>
              <w:top w:val="single" w:sz="8" w:color="0000EE"/>
            </w:tcBorders>
            <w:gridSpan w:val="9"/>
          </w:tcPr>
          <w:p>
            <w:pPr>
              <w:spacing w:after="0"/>
              <w:rPr>
                <w:sz w:val="17"/>
                <w:szCs w:val="17"/>
                <w:color w:val="auto"/>
              </w:rPr>
            </w:pPr>
          </w:p>
        </w:tc>
        <w:tc>
          <w:tcPr>
            <w:tcW w:w="6140" w:type="dxa"/>
            <w:vAlign w:val="bottom"/>
            <w:gridSpan w:val="9"/>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7500" w:type="dxa"/>
            <w:vAlign w:val="bottom"/>
            <w:gridSpan w:val="1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SUMMARY HISTORICAL CONSOLIDATED FINANCIAL AND OTHER DATA</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60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740" w:type="dxa"/>
            <w:vAlign w:val="bottom"/>
            <w:gridSpan w:val="2"/>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00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S-19</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S-21</w:t>
            </w: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5360" w:type="dxa"/>
            <w:vAlign w:val="bottom"/>
            <w:tcBorders>
              <w:top w:val="single" w:sz="8" w:color="0000EE"/>
            </w:tcBorders>
            <w:gridSpan w:val="12"/>
          </w:tcPr>
          <w:p>
            <w:pPr>
              <w:spacing w:after="0"/>
              <w:rPr>
                <w:sz w:val="17"/>
                <w:szCs w:val="17"/>
                <w:color w:val="auto"/>
              </w:rPr>
            </w:pPr>
          </w:p>
        </w:tc>
        <w:tc>
          <w:tcPr>
            <w:tcW w:w="1840" w:type="dxa"/>
            <w:vAlign w:val="bottom"/>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S-23</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320" w:type="dxa"/>
            <w:vAlign w:val="bottom"/>
            <w:gridSpan w:val="1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S-31</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S-32</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S-33</w:t>
            </w:r>
          </w:p>
        </w:tc>
      </w:tr>
      <w:tr>
        <w:trPr>
          <w:trHeight w:val="196"/>
        </w:trPr>
        <w:tc>
          <w:tcPr>
            <w:tcW w:w="38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4980" w:type="dxa"/>
            <w:vAlign w:val="bottom"/>
            <w:gridSpan w:val="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S-34</w:t>
            </w:r>
          </w:p>
        </w:tc>
      </w:tr>
      <w:tr>
        <w:trPr>
          <w:trHeight w:val="453"/>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80" w:type="dxa"/>
            <w:vAlign w:val="bottom"/>
            <w:gridSpan w:val="4"/>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180" w:type="dxa"/>
            <w:vAlign w:val="bottom"/>
          </w:tcPr>
          <w:p>
            <w:pPr>
              <w:spacing w:after="0"/>
              <w:rPr>
                <w:sz w:val="24"/>
                <w:szCs w:val="24"/>
                <w:color w:val="auto"/>
              </w:rPr>
            </w:pPr>
          </w:p>
        </w:tc>
      </w:tr>
      <w:tr>
        <w:trPr>
          <w:trHeight w:val="418"/>
        </w:trPr>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SOTERA HEALTH COMPANY</w:t>
            </w:r>
          </w:p>
        </w:tc>
        <w:tc>
          <w:tcPr>
            <w:tcW w:w="5740" w:type="dxa"/>
            <w:vAlign w:val="bottom"/>
            <w:gridSpan w:val="6"/>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5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000" w:type="dxa"/>
            <w:vAlign w:val="bottom"/>
            <w:gridSpan w:val="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200" w:type="dxa"/>
            <w:vAlign w:val="bottom"/>
            <w:gridSpan w:val="13"/>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9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840" w:type="dxa"/>
            <w:vAlign w:val="bottom"/>
            <w:gridSpan w:val="7"/>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2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580" w:type="dxa"/>
            <w:vAlign w:val="bottom"/>
            <w:gridSpan w:val="11"/>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6740" w:type="dxa"/>
            <w:vAlign w:val="bottom"/>
            <w:gridSpan w:val="1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28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4"/>
          </w:tcPr>
          <w:p>
            <w:pPr>
              <w:spacing w:after="0"/>
              <w:rPr>
                <w:sz w:val="17"/>
                <w:szCs w:val="17"/>
                <w:color w:val="auto"/>
              </w:rPr>
            </w:pPr>
          </w:p>
        </w:tc>
        <w:tc>
          <w:tcPr>
            <w:tcW w:w="4980" w:type="dxa"/>
            <w:vAlign w:val="bottom"/>
            <w:gridSpan w:val="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320" w:type="dxa"/>
            <w:vAlign w:val="bottom"/>
            <w:gridSpan w:val="14"/>
          </w:tcPr>
          <w:p>
            <w:pPr>
              <w:spacing w:after="0"/>
              <w:rPr>
                <w:sz w:val="17"/>
                <w:szCs w:val="17"/>
                <w:color w:val="auto"/>
              </w:rPr>
            </w:pP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w:t>
      </w:r>
    </w:p>
    <w:p>
      <w:pPr>
        <w:spacing w:after="0" w:line="183"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carefully read this prospectus supplement, the accompanying prospectus and any free writing prospectus prepared by or on behalf of us, together with the additional information described under the heading “Where You Can Find More Information.”</w:t>
      </w:r>
    </w:p>
    <w:p>
      <w:pPr>
        <w:spacing w:after="0" w:line="155" w:lineRule="exact"/>
        <w:rPr>
          <w:sz w:val="20"/>
          <w:szCs w:val="20"/>
          <w:color w:val="auto"/>
        </w:rPr>
      </w:pPr>
    </w:p>
    <w:p>
      <w:pPr>
        <w:jc w:val="both"/>
        <w:ind w:left="1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w:t>
      </w:r>
    </w:p>
    <w:p>
      <w:pPr>
        <w:spacing w:after="0" w:line="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40"/>
          </w:cols>
          <w:pgMar w:left="320" w:top="455"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the offering varies between this prospectus supplement and the accompanying prospectus, you should rely on the information in this prospectus supplement.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418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44189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8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S-11 of this prospectus supplement and “Risk Factors” in Part I, Item 1A of our Annual Report on Form 10-K for the year ended December 31, 2024 (the “Annual Report”).</w:t>
      </w:r>
    </w:p>
    <w:p>
      <w:pPr>
        <w:spacing w:after="0" w:line="1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3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In 2024, our customers included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w:t>
      </w:r>
    </w:p>
    <w:p>
      <w:pPr>
        <w:spacing w:after="0" w:line="200" w:lineRule="exact"/>
        <w:rPr>
          <w:sz w:val="20"/>
          <w:szCs w:val="20"/>
          <w:color w:val="auto"/>
        </w:rPr>
      </w:pPr>
    </w:p>
    <w:p>
      <w:pPr>
        <w:ind w:left="300" w:right="260" w:firstLine="426"/>
        <w:spacing w:after="0" w:line="261" w:lineRule="auto"/>
        <w:rPr>
          <w:sz w:val="20"/>
          <w:szCs w:val="20"/>
          <w:color w:val="auto"/>
        </w:rPr>
      </w:pPr>
      <w:r>
        <w:rPr>
          <w:rFonts w:ascii="Times New Roman" w:cs="Times New Roman" w:eastAsia="Times New Roman" w:hAnsi="Times New Roman"/>
          <w:sz w:val="18"/>
          <w:szCs w:val="18"/>
          <w:color w:val="auto"/>
        </w:rPr>
        <w:t>We are a trusted partner to approximately 5,000 customers in over 50 countries. We strive to give our customers confidence that their products meet regulatory, safety and effectiveness requirements. With our industry-recognized scientific and technological expertise, we help promote the safety of millions of patients and healthcare practitioners around the world. Across our 62 facilities worldwide, we have over 3,000 employees who are dedicated to safety and quality.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corporate headquarters and principal executive offices are located at 9100 South Hills Boulevard, Suite 300, Broadview Heights, Ohio 44147.</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telephone number is (440) 262-1410.</w:t>
      </w: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87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256" w:lineRule="exact"/>
        <w:rPr>
          <w:sz w:val="20"/>
          <w:szCs w:val="20"/>
          <w:color w:val="auto"/>
        </w:rPr>
      </w:pPr>
    </w:p>
    <w:p>
      <w:pPr>
        <w:ind w:left="300" w:right="60"/>
        <w:spacing w:after="0" w:line="406" w:lineRule="auto"/>
        <w:rPr>
          <w:sz w:val="20"/>
          <w:szCs w:val="20"/>
          <w:color w:val="auto"/>
        </w:rPr>
      </w:pPr>
      <w:r>
        <w:rPr>
          <w:rFonts w:ascii="Times New Roman" w:cs="Times New Roman" w:eastAsia="Times New Roman" w:hAnsi="Times New Roman"/>
          <w:sz w:val="18"/>
          <w:szCs w:val="18"/>
          <w:color w:val="auto"/>
        </w:rPr>
        <w:t>Common stock offered by the selling stockholders Selling stockholders</w:t>
      </w:r>
    </w:p>
    <w:p>
      <w:pPr>
        <w:spacing w:after="0" w:line="2" w:lineRule="exact"/>
        <w:rPr>
          <w:sz w:val="20"/>
          <w:szCs w:val="20"/>
          <w:color w:val="auto"/>
        </w:rPr>
      </w:pPr>
    </w:p>
    <w:p>
      <w:pPr>
        <w:ind w:left="300"/>
        <w:spacing w:after="0" w:line="438" w:lineRule="auto"/>
        <w:rPr>
          <w:sz w:val="20"/>
          <w:szCs w:val="20"/>
          <w:color w:val="auto"/>
        </w:rPr>
      </w:pPr>
      <w:r>
        <w:rPr>
          <w:rFonts w:ascii="Times New Roman" w:cs="Times New Roman" w:eastAsia="Times New Roman" w:hAnsi="Times New Roman"/>
          <w:sz w:val="18"/>
          <w:szCs w:val="18"/>
          <w:color w:val="auto"/>
        </w:rPr>
        <w:t>Common stock to be outstanding after this offering Use of proceeds</w:t>
      </w:r>
    </w:p>
    <w:p>
      <w:pPr>
        <w:spacing w:after="0" w:line="3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Recent developments affecting Sponsor rights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 xml:space="preserve">       </w:t>
        <w:tab/>
        <w:t>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“Selling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284,046,606 shares.</w:t>
      </w:r>
    </w:p>
    <w:p>
      <w:pPr>
        <w:spacing w:after="0" w:line="14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selling stockholders will receive all of the net proceeds from the sale of shares of common stock in this offering. We will not receive any proceeds from the sale of shares of common stock by the selling stockholders.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affiliates of Warburg Pincus LLC (“Warburg Pincus”) and GTCR LLC (“GTCR” and, together with Warburg Pincus, collectively, the “Sponsors”) have special rights relating to our corporate governance. For more information, see “Certain Sponsor Rights” in our Definitive Proxy Statement on Schedule 14A, which is incorporated by reference in this prospectus supplement. As a result of the Sponsors’ most recent offering of our common stock, which closed September 6, 2024, the Sponsors ceased to own a majority of our outstanding common stock, which affects certain of these rights, and related matters. In particular, as a result of the Sponsors ceasing to own a majority of our outstanding common stock:</w:t>
      </w:r>
    </w:p>
    <w:p>
      <w:pPr>
        <w:spacing w:after="0" w:line="94" w:lineRule="exact"/>
        <w:rPr>
          <w:sz w:val="20"/>
          <w:szCs w:val="20"/>
          <w:color w:val="auto"/>
        </w:rPr>
      </w:pPr>
    </w:p>
    <w:p>
      <w:pPr>
        <w:ind w:left="500" w:right="140" w:hanging="289"/>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 longer qualify as a “controlled company” within the meaning of the Nasdaq corporate governance standards (although we do not currently avail ourselves of related exemptions).</w:t>
      </w:r>
    </w:p>
    <w:p>
      <w:pPr>
        <w:spacing w:after="0" w:line="81" w:lineRule="exact"/>
        <w:rPr>
          <w:rFonts w:ascii="Times New Roman" w:cs="Times New Roman" w:eastAsia="Times New Roman" w:hAnsi="Times New Roman"/>
          <w:sz w:val="18"/>
          <w:szCs w:val="18"/>
          <w:color w:val="auto"/>
        </w:rPr>
      </w:pPr>
    </w:p>
    <w:p>
      <w:pPr>
        <w:jc w:val="both"/>
        <w:ind w:left="500" w:right="600" w:hanging="289"/>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certain provisions of our amended and restated certificate of incorporation and amended and restated bylaws requires a 66 2/3% majority approval (in place of a simple majority).</w:t>
      </w:r>
    </w:p>
    <w:p>
      <w:pPr>
        <w:spacing w:after="0" w:line="81" w:lineRule="exact"/>
        <w:rPr>
          <w:rFonts w:ascii="Times New Roman" w:cs="Times New Roman" w:eastAsia="Times New Roman" w:hAnsi="Times New Roman"/>
          <w:sz w:val="18"/>
          <w:szCs w:val="18"/>
          <w:color w:val="auto"/>
        </w:rPr>
      </w:pPr>
    </w:p>
    <w:p>
      <w:pPr>
        <w:ind w:left="500" w:right="60" w:hanging="289"/>
        <w:spacing w:after="0" w:line="266"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of stockholders which could have been taken without prior notice and not at an annual or special meeting of stockholders now require such notice and forum.</w:t>
      </w:r>
    </w:p>
    <w:p>
      <w:pPr>
        <w:spacing w:after="0" w:line="81" w:lineRule="exact"/>
        <w:rPr>
          <w:rFonts w:ascii="Times New Roman" w:cs="Times New Roman" w:eastAsia="Times New Roman" w:hAnsi="Times New Roman"/>
          <w:sz w:val="18"/>
          <w:szCs w:val="18"/>
          <w:color w:val="auto"/>
        </w:rPr>
      </w:pPr>
    </w:p>
    <w:p>
      <w:pPr>
        <w:ind w:left="500" w:hanging="289"/>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calling of special meetings of stockholders is limited.</w:t>
      </w:r>
    </w:p>
    <w:p>
      <w:pPr>
        <w:spacing w:after="0" w:line="130" w:lineRule="exact"/>
        <w:rPr>
          <w:rFonts w:ascii="Times New Roman" w:cs="Times New Roman" w:eastAsia="Times New Roman" w:hAnsi="Times New Roman"/>
          <w:sz w:val="18"/>
          <w:szCs w:val="18"/>
          <w:color w:val="auto"/>
        </w:rPr>
      </w:pPr>
    </w:p>
    <w:p>
      <w:pPr>
        <w:ind w:left="500" w:right="140" w:hanging="289"/>
        <w:spacing w:after="0" w:line="312" w:lineRule="auto"/>
        <w:tabs>
          <w:tab w:leader="none" w:pos="5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Removal for cause of directors designated by the Sponsors requires the affirmative vote of at least 75% of the voting power of our outstanding common stock.</w:t>
      </w:r>
    </w:p>
    <w:p>
      <w:pPr>
        <w:spacing w:after="0" w:line="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additional information, see “Risk Factors – Risks Related to the Offering and Our Common Stock” — “If the ownership of our common stock continues to be highly concentrated, it may prevent minority stockholders from influencing significant corporate decisions and may result in conflicts of interest” and “Anti-takeover provisions in our amended and restated certificate of incorporation, amended and restated bylaws and our Stockholders’ Agreement, as well as Delaware law, could discourage a change in control of our</w:t>
      </w:r>
    </w:p>
    <w:p>
      <w:pPr>
        <w:spacing w:after="0" w:line="200" w:lineRule="exact"/>
        <w:rPr>
          <w:sz w:val="20"/>
          <w:szCs w:val="20"/>
          <w:color w:val="auto"/>
        </w:rPr>
      </w:pPr>
    </w:p>
    <w:p>
      <w:pPr>
        <w:sectPr>
          <w:pgSz w:w="11900" w:h="16838" w:orient="portrait"/>
          <w:cols w:equalWidth="0" w:num="2">
            <w:col w:w="3980" w:space="360"/>
            <w:col w:w="6600"/>
          </w:cols>
          <w:pgMar w:left="320" w:top="455" w:right="639" w:bottom="1440" w:gutter="0" w:footer="0" w:header="0"/>
          <w:type w:val="continuous"/>
        </w:sectPr>
      </w:pPr>
    </w:p>
    <w:p>
      <w:pPr>
        <w:spacing w:after="0" w:line="1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940"/>
          </w:cols>
          <w:pgMar w:left="320" w:top="455" w:right="6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76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spacing w:after="0" w:line="253" w:lineRule="auto"/>
        <w:rPr>
          <w:sz w:val="20"/>
          <w:szCs w:val="20"/>
          <w:color w:val="auto"/>
        </w:rPr>
      </w:pPr>
      <w:r>
        <w:rPr>
          <w:rFonts w:ascii="Times New Roman" w:cs="Times New Roman" w:eastAsia="Times New Roman" w:hAnsi="Times New Roman"/>
          <w:sz w:val="18"/>
          <w:szCs w:val="18"/>
          <w:color w:val="auto"/>
        </w:rPr>
        <w:t>company or a change in our management.” Additionally, the number of directors that each of the Sponsors is entitled to designate for election to our board of directors declines as that Sponsor’s ownership of our shares falls below set percentage thresholds. See “Certain Sponsor Rights” in our Definitive Proxy Statement on Schedule 14A, which is incorporated by reference in this prospectus supplement. As a result of the Sponsors’ most recent offering of our common stock, the number of directors that GTCR is entitled to designate was reduced from three to two. The number of directors that the Sponsors are entitled to designate will be further reduced as a result of this offering if it causes a Sponsor’s ownership to fall beneath a relevant threshold. In particular, if Warburg Pincus’ ownership falls below 60% of the amount of our common stock that it held immediately following our IPO, or if GTCR’s ownership falls below 40% of the amount of our common stock that it held immediately following our IPO, the number of our directors that it will be entitled to designate, respectively, will be reduced.</w:t>
      </w:r>
    </w:p>
    <w:p>
      <w:pPr>
        <w:sectPr>
          <w:pgSz w:w="11900" w:h="16838" w:orient="portrait"/>
          <w:cols w:equalWidth="0" w:num="1">
            <w:col w:w="10940"/>
          </w:cols>
          <w:pgMar w:left="320" w:top="455" w:right="639" w:bottom="1440" w:gutter="0" w:footer="0" w:header="0"/>
        </w:sectPr>
      </w:pPr>
    </w:p>
    <w:p>
      <w:pPr>
        <w:spacing w:after="0" w:line="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Dividend policy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currently do not expect to pay dividends on our common stock. Instead, we anticipate that all of our earnings in the foreseeable future will be used for the operation and growth of our business and the repayment of indebtedness. See “Dividend Policy.”</w:t>
      </w:r>
    </w:p>
    <w:p>
      <w:pPr>
        <w:spacing w:after="0" w:line="81"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340"/>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for a discussion of factors you should carefully consider before deciding to invest in our common stock.</w:t>
      </w:r>
    </w:p>
    <w:p>
      <w:pPr>
        <w:spacing w:after="0" w:line="81"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“SHC”</w:t>
      </w:r>
    </w:p>
    <w:p>
      <w:pPr>
        <w:spacing w:after="0" w:line="211"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39"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Except as otherwise noted, the number of shares of common stock to be outstanding after the offering is based on 284,046,606 shares of common stock outstanding as of July 29, 2025 and excludes as of such date:</w:t>
      </w:r>
    </w:p>
    <w:p>
      <w:pPr>
        <w:spacing w:after="0" w:line="67" w:lineRule="exact"/>
        <w:rPr>
          <w:sz w:val="20"/>
          <w:szCs w:val="20"/>
          <w:color w:val="auto"/>
        </w:rPr>
      </w:pPr>
    </w:p>
    <w:p>
      <w:pPr>
        <w:ind w:left="1240" w:right="60" w:hanging="415"/>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8,278,249 shares of common stock issuable upon the exercise of outstanding options as of June 30, 2025, with a weighted average exercise price of $14.91 per share (provided that 8,299 shares of common stock are no longer issuable upon the exercise of outstanding options due to forfeitures subsequent to June 30, 2025, such forfeited options having a weighted-average exercise price of $19.89 per share);</w:t>
      </w:r>
    </w:p>
    <w:p>
      <w:pPr>
        <w:spacing w:after="0" w:line="85"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3,783,961 shares issuable pursuant to restricted stock units (“RSUs”) and performance stock units (“PSUs”) outstanding as of June 30, 2025, of which:</w:t>
      </w:r>
    </w:p>
    <w:p>
      <w:pPr>
        <w:spacing w:after="0" w:line="67"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shares of common stock have ceased to be issuable due to forfeitures of RSUs subsequent to June 30, 2025;</w:t>
      </w:r>
    </w:p>
    <w:p>
      <w:pPr>
        <w:spacing w:after="0" w:line="130" w:lineRule="exact"/>
        <w:rPr>
          <w:rFonts w:ascii="Times New Roman" w:cs="Times New Roman" w:eastAsia="Times New Roman" w:hAnsi="Times New Roman"/>
          <w:sz w:val="18"/>
          <w:szCs w:val="18"/>
          <w:color w:val="auto"/>
        </w:rPr>
      </w:pPr>
    </w:p>
    <w:p>
      <w:pPr>
        <w:ind w:left="1640" w:right="220" w:hanging="289"/>
        <w:spacing w:after="0" w:line="261" w:lineRule="auto"/>
        <w:tabs>
          <w:tab w:leader="none" w:pos="1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shares of common stock that have ceased to be issuable due to the vesting and settlement of RSUs subsequent to June 30, 2025 (and any shares of common stock that are outstanding following the satisfaction of tax withholding obligations in respect of such vested RSUs are included in the number of shares of common stock outstanding as of July 29, 2025 set forth above); and</w:t>
      </w:r>
    </w:p>
    <w:p>
      <w:pPr>
        <w:spacing w:after="0" w:line="85"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shares of common stock were released net of taxes between June 30, 2025 and July 29, 2025;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13,515,736 additional shares of common stock reserved for future issuance under our 2020 Omnibus Incentive Plan (the “2020 Plan”).</w:t>
      </w:r>
    </w:p>
    <w:p>
      <w:pPr>
        <w:spacing w:after="0" w:line="3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62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The following tables present our summary historical consolidated financial and other data. The summary historical consolidated statements of operations data and statements of cash flows data for the years ended December 31, 2024, 2023 and 2022 and the summary historical balance sheet data as of December 31, 2024 and December 31, 2023 have been derived from our audited consolidated financial statements incorporated by reference from our Annual Report. The summary historical consolidated statements of operations data and statements of cash flows data for the six months ended June 30, 2025 and 2024 and the summary historical balance sheet data as of June 30, 2025 have been derived from our unaudited consolidated interim financial statements incorporated by reference from our Quarterly Report on Form 10-Q for the quarter ended June 30, 2025.</w:t>
      </w:r>
    </w:p>
    <w:p>
      <w:pPr>
        <w:spacing w:after="0" w:line="187" w:lineRule="exact"/>
        <w:rPr>
          <w:sz w:val="20"/>
          <w:szCs w:val="20"/>
          <w:color w:val="auto"/>
        </w:rPr>
      </w:pPr>
    </w:p>
    <w:p>
      <w:pPr>
        <w:ind w:left="300" w:right="300" w:firstLine="426"/>
        <w:spacing w:after="0" w:line="258" w:lineRule="auto"/>
        <w:rPr>
          <w:sz w:val="20"/>
          <w:szCs w:val="20"/>
          <w:color w:val="auto"/>
        </w:rPr>
      </w:pPr>
      <w:r>
        <w:rPr>
          <w:rFonts w:ascii="Times New Roman" w:cs="Times New Roman" w:eastAsia="Times New Roman" w:hAnsi="Times New Roman"/>
          <w:sz w:val="18"/>
          <w:szCs w:val="18"/>
          <w:color w:val="auto"/>
        </w:rPr>
        <w:t>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and from our unaudited consolidated interim financial statements incorporated by reference from our Quarterly Report on Form 10-Q for the quarter ended June 30, 2025. Our historical results are not necessarily indicative of our results in any future period.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4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980" w:type="dxa"/>
            <w:vAlign w:val="bottom"/>
            <w:gridSpan w:val="2"/>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00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941,822</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905,598</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864,828</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481,184</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138,859</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67,680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4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1,100,441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1,049,288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1,003,687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548,864</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439,543</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418,611</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390,860</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220,922</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55,823</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25,889</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4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498,146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472,130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446,683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246,811</w:t>
            </w:r>
          </w:p>
        </w:tc>
        <w:tc>
          <w:tcPr>
            <w:tcW w:w="3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602,295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557,004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302,053</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242,630</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236,667</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245,714</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131,954</w:t>
            </w:r>
          </w:p>
        </w:tc>
        <w:tc>
          <w:tcPr>
            <w:tcW w:w="3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62,039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62,940</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24,625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Illinois EO litigation settlements</w:t>
            </w:r>
          </w:p>
        </w:tc>
        <w:tc>
          <w:tcPr>
            <w:tcW w:w="4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22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64,943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Georgia EO litigation settlement</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refinancing of debt</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24,168</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investment in unconsolidated affiliate</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164,691</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142,878</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80,144</w:t>
            </w:r>
          </w:p>
        </w:tc>
        <w:tc>
          <w:tcPr>
            <w:tcW w:w="22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81,527</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916</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(5,306)</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(7,372)</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(6,441)</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(6,066)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(243,111)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3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44,398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(233,570)</w:t>
            </w: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(5,298)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S-6</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56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15620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6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(118,635)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101,777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(71,171)</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65,347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(256,657)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94,665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(37,638)</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224,164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(147,732)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277,961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112,937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(178,996)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(214,906)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(181,896)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Net Income</w:t>
            </w:r>
            <w:r>
              <w:rPr>
                <w:rFonts w:ascii="Times New Roman" w:cs="Times New Roman" w:eastAsia="Times New Roman" w:hAnsi="Times New Roman"/>
                <w:sz w:val="25"/>
                <w:szCs w:val="25"/>
                <w:color w:val="auto"/>
                <w:vertAlign w:val="superscript"/>
              </w:rPr>
              <w:t>(a)</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95,106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(a)</w:t>
            </w:r>
          </w:p>
        </w:tc>
        <w:tc>
          <w:tcPr>
            <w:tcW w:w="1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528,029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272,574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249,279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720" w:right="60" w:hanging="422"/>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(as defined below), to Adjusted Net Income and Adjusted EBITDA, see “—Non-GAAP Financial Measures.”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6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2"/>
        </w:trPr>
        <w:tc>
          <w:tcPr>
            <w:tcW w:w="6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2"/>
                <w:szCs w:val="12"/>
                <w:color w:val="auto"/>
              </w:rPr>
            </w:pPr>
          </w:p>
        </w:tc>
        <w:tc>
          <w:tcPr>
            <w:tcW w:w="860" w:type="dxa"/>
            <w:vAlign w:val="bottom"/>
            <w:tcBorders>
              <w:top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(a)</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277,242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296,407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332,437</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Working capital</w:t>
            </w:r>
            <w:r>
              <w:rPr>
                <w:rFonts w:ascii="Times New Roman" w:cs="Times New Roman" w:eastAsia="Times New Roman" w:hAnsi="Times New Roman"/>
                <w:sz w:val="25"/>
                <w:szCs w:val="25"/>
                <w:color w:val="auto"/>
                <w:vertAlign w:val="superscript"/>
              </w:rPr>
              <w:t>(b)</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335,035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326,590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361,855</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3,071,648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3,216,729</w:t>
            </w:r>
          </w:p>
        </w:tc>
        <w:tc>
          <w:tcPr>
            <w:tcW w:w="60" w:type="dxa"/>
            <w:vAlign w:val="bottom"/>
            <w:shd w:val="clear" w:color="auto" w:fill="CCEEFF"/>
          </w:tcPr>
          <w:p>
            <w:pPr>
              <w:spacing w:after="0"/>
              <w:rPr>
                <w:sz w:val="18"/>
                <w:szCs w:val="18"/>
                <w:color w:val="auto"/>
              </w:rPr>
            </w:pPr>
          </w:p>
        </w:tc>
      </w:tr>
      <w:tr>
        <w:trPr>
          <w:trHeight w:val="198"/>
        </w:trPr>
        <w:tc>
          <w:tcPr>
            <w:tcW w:w="6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long-term and short-term debt (including current portion, less unamortized debt</w:t>
            </w: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and debt discounts)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2,222,903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2,228,471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2,217,471</w:t>
            </w:r>
          </w:p>
        </w:tc>
        <w:tc>
          <w:tcPr>
            <w:tcW w:w="60" w:type="dxa"/>
            <w:vAlign w:val="bottom"/>
          </w:tcPr>
          <w:p>
            <w:pPr>
              <w:spacing w:after="0"/>
              <w:rPr>
                <w:sz w:val="20"/>
                <w:szCs w:val="20"/>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2,666,737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2,686,686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2,705,446</w:t>
            </w:r>
          </w:p>
        </w:tc>
        <w:tc>
          <w:tcPr>
            <w:tcW w:w="60" w:type="dxa"/>
            <w:vAlign w:val="bottom"/>
            <w:shd w:val="clear" w:color="auto" w:fill="CCEEFF"/>
          </w:tcPr>
          <w:p>
            <w:pPr>
              <w:spacing w:after="0"/>
              <w:rPr>
                <w:sz w:val="18"/>
                <w:szCs w:val="18"/>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404,911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443,734</w:t>
            </w:r>
          </w:p>
        </w:tc>
        <w:tc>
          <w:tcPr>
            <w:tcW w:w="14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511,283</w:t>
            </w:r>
          </w:p>
        </w:tc>
      </w:tr>
    </w:tbl>
    <w:p>
      <w:pPr>
        <w:spacing w:after="0" w:line="85"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8"/>
          <w:szCs w:val="18"/>
          <w:color w:val="auto"/>
        </w:rPr>
        <w:t>(a)</w:t>
        <w:tab/>
        <w:t>Cash and cash equivalents excludes restricted cash.</w:t>
      </w:r>
    </w:p>
    <w:p>
      <w:pPr>
        <w:spacing w:after="0" w:line="131"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8"/>
          <w:szCs w:val="18"/>
          <w:color w:val="auto"/>
        </w:rPr>
        <w:t>(b)</w:t>
        <w:tab/>
        <w:t>Working capital represents current assets less current liabilities.</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10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Generally Accepted Accounting Principles (“GAAP”), we consider Adjusted Net Income and Adjusted EBITDA, financial measures that are not based on any standardized methodology prescribed by GAAP.</w:t>
      </w:r>
    </w:p>
    <w:p>
      <w:pPr>
        <w:spacing w:after="0" w:line="135"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Cobalt-60 (“Co-60”) used in our operations) and income tax provision applicable to Adjusted Net Income.</w:t>
      </w:r>
    </w:p>
    <w:p>
      <w:pPr>
        <w:spacing w:after="0" w:line="153" w:lineRule="exact"/>
        <w:rPr>
          <w:sz w:val="20"/>
          <w:szCs w:val="20"/>
          <w:color w:val="auto"/>
        </w:rPr>
      </w:pPr>
    </w:p>
    <w:p>
      <w:pPr>
        <w:ind w:left="300" w:firstLine="426"/>
        <w:spacing w:after="0" w:line="270" w:lineRule="auto"/>
        <w:rPr>
          <w:sz w:val="20"/>
          <w:szCs w:val="20"/>
          <w:color w:val="auto"/>
        </w:rPr>
      </w:pPr>
      <w:r>
        <w:rPr>
          <w:rFonts w:ascii="Times New Roman" w:cs="Times New Roman" w:eastAsia="Times New Roman" w:hAnsi="Times New Roman"/>
          <w:sz w:val="17"/>
          <w:szCs w:val="17"/>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3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w:t>
      </w:r>
    </w:p>
    <w:p>
      <w:pPr>
        <w:spacing w:after="0" w:line="41" w:lineRule="exact"/>
        <w:rPr>
          <w:sz w:val="20"/>
          <w:szCs w:val="20"/>
          <w:color w:val="auto"/>
        </w:rPr>
      </w:pPr>
    </w:p>
    <w:p>
      <w:pPr>
        <w:ind w:left="700" w:right="8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recurring non-cash charges such as depreciation of fixed assets, although these assets may have to be replaced in the future, as well as amortization of acquired intangible assets and asset retirement obligations (“ARO”);</w:t>
      </w:r>
    </w:p>
    <w:p>
      <w:pPr>
        <w:spacing w:after="0" w:line="26"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acquiring and integrating businesses, which will continue to be a part of our growth strategy;</w:t>
      </w:r>
    </w:p>
    <w:p>
      <w:pPr>
        <w:spacing w:after="0" w:line="90" w:lineRule="exact"/>
        <w:rPr>
          <w:rFonts w:ascii="Times New Roman" w:cs="Times New Roman" w:eastAsia="Times New Roman" w:hAnsi="Times New Roman"/>
          <w:sz w:val="18"/>
          <w:szCs w:val="18"/>
          <w:color w:val="auto"/>
        </w:rPr>
      </w:pPr>
    </w:p>
    <w:p>
      <w:pPr>
        <w:ind w:left="700" w:right="40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or losses from fluctuations in foreign currency exchange rates, and the mark-to-fair value of derivatives not designated as hedging instruments, which includes the embedded derivatives relating to certain customer and supply contracts at Nordion;</w:t>
      </w:r>
    </w:p>
    <w:p>
      <w:pPr>
        <w:spacing w:after="0" w:line="26"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long-lived assets, intangible assets and investments accounted for under the equity method;</w:t>
      </w:r>
    </w:p>
    <w:p>
      <w:pPr>
        <w:spacing w:after="0" w:line="9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refinancing of debt incurred in connection with refinancing or early extinguishment of long-term debt;</w:t>
      </w:r>
    </w:p>
    <w:p>
      <w:pPr>
        <w:spacing w:after="0" w:line="9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secondary offerings of our common stock and other shareholder activities;</w:t>
      </w:r>
    </w:p>
    <w:p>
      <w:pPr>
        <w:spacing w:after="0" w:line="90" w:lineRule="exact"/>
        <w:rPr>
          <w:rFonts w:ascii="Times New Roman" w:cs="Times New Roman" w:eastAsia="Times New Roman" w:hAnsi="Times New Roman"/>
          <w:sz w:val="18"/>
          <w:szCs w:val="18"/>
          <w:color w:val="auto"/>
        </w:rPr>
      </w:pPr>
    </w:p>
    <w:p>
      <w:pPr>
        <w:ind w:left="700" w:right="180" w:hanging="307"/>
        <w:spacing w:after="0" w:line="312" w:lineRule="auto"/>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and charges related to the litigation, settlement agreements, and other activities associated with our ethylene oxide (“EO”) sterilization facilities, including those related to Willowbrook, Illinois, Atlanta, Georgia, Santa Teresa, New Mexico and Vernon, California;</w:t>
      </w:r>
    </w:p>
    <w:p>
      <w:pPr>
        <w:spacing w:after="0" w:line="4" w:lineRule="exact"/>
        <w:rPr>
          <w:rFonts w:ascii="Times New Roman" w:cs="Times New Roman" w:eastAsia="Times New Roman" w:hAnsi="Times New Roman"/>
          <w:sz w:val="17"/>
          <w:szCs w:val="17"/>
          <w:color w:val="auto"/>
        </w:rPr>
      </w:pPr>
    </w:p>
    <w:p>
      <w:pPr>
        <w:ind w:left="700" w:right="66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Adjusted EBITDA, interest expense or the cash requirements necessary to service interest or principal payments on our indebtedness; and</w:t>
      </w:r>
    </w:p>
    <w:p>
      <w:pPr>
        <w:spacing w:after="0" w:line="26" w:lineRule="exact"/>
        <w:rPr>
          <w:rFonts w:ascii="Times New Roman" w:cs="Times New Roman" w:eastAsia="Times New Roman" w:hAnsi="Times New Roman"/>
          <w:sz w:val="18"/>
          <w:szCs w:val="18"/>
          <w:color w:val="auto"/>
        </w:rPr>
      </w:pPr>
    </w:p>
    <w:p>
      <w:pPr>
        <w:ind w:left="700" w:right="120" w:hanging="307"/>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which has been, and will continue to be for the foreseeable future, a significant recurring expense and an important part of our compensation strategy.</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24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10"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6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$(233,570)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79,377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81,348</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81,554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Share-based compensation</w:t>
            </w:r>
            <w:r>
              <w:rPr>
                <w:rFonts w:ascii="Times New Roman" w:cs="Times New Roman" w:eastAsia="Times New Roman" w:hAnsi="Times New Roman"/>
                <w:sz w:val="25"/>
                <w:szCs w:val="25"/>
                <w:color w:val="auto"/>
                <w:vertAlign w:val="superscript"/>
              </w:rPr>
              <w: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32,364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Loss on refinancing of debt</w:t>
            </w:r>
            <w:r>
              <w:rPr>
                <w:rFonts w:ascii="Times New Roman" w:cs="Times New Roman" w:eastAsia="Times New Roman" w:hAnsi="Times New Roman"/>
                <w:sz w:val="25"/>
                <w:szCs w:val="25"/>
                <w:color w:val="auto"/>
                <w:vertAlign w:val="superscript"/>
              </w:rPr>
              <w:t>(b)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loss on foreign currency and derivatives not designated as hedging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6"/>
                <w:szCs w:val="26"/>
                <w:color w:val="auto"/>
                <w:vertAlign w:val="superscript"/>
              </w:rPr>
              <w:t>(c)</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Business optimization expenses</w:t>
            </w:r>
            <w:r>
              <w:rPr>
                <w:rFonts w:ascii="Times New Roman" w:cs="Times New Roman" w:eastAsia="Times New Roman" w:hAnsi="Times New Roman"/>
                <w:sz w:val="25"/>
                <w:szCs w:val="25"/>
                <w:color w:val="auto"/>
                <w:vertAlign w:val="superscript"/>
              </w:rPr>
              <w: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Impairment of investment in unconsolidated affiliate</w:t>
            </w:r>
            <w:r>
              <w:rPr>
                <w:rFonts w:ascii="Times New Roman" w:cs="Times New Roman" w:eastAsia="Times New Roman" w:hAnsi="Times New Roman"/>
                <w:sz w:val="25"/>
                <w:szCs w:val="25"/>
                <w:color w:val="auto"/>
                <w:vertAlign w:val="superscript"/>
              </w:rPr>
              <w: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Professional services relating to EO sterilization facilities</w:t>
            </w:r>
            <w:r>
              <w:rPr>
                <w:rFonts w:ascii="Times New Roman" w:cs="Times New Roman" w:eastAsia="Times New Roman" w:hAnsi="Times New Roman"/>
                <w:sz w:val="25"/>
                <w:szCs w:val="25"/>
                <w:color w:val="auto"/>
                <w:vertAlign w:val="superscript"/>
              </w:rPr>
              <w:t>(f)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45,312</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72,639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Illinois EO litigation settlements</w:t>
            </w:r>
            <w:r>
              <w:rPr>
                <w:rFonts w:ascii="Times New Roman" w:cs="Times New Roman" w:eastAsia="Times New Roman" w:hAnsi="Times New Roman"/>
                <w:sz w:val="25"/>
                <w:szCs w:val="25"/>
                <w:color w:val="auto"/>
                <w:vertAlign w:val="superscript"/>
              </w:rPr>
              <w:t>(g)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64,943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Georgia EO litigation settlement</w:t>
            </w:r>
            <w:r>
              <w:rPr>
                <w:rFonts w:ascii="Times New Roman" w:cs="Times New Roman" w:eastAsia="Times New Roman" w:hAnsi="Times New Roman"/>
                <w:sz w:val="25"/>
                <w:szCs w:val="25"/>
                <w:color w:val="auto"/>
                <w:vertAlign w:val="superscript"/>
              </w:rPr>
              <w: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Accretion of asset retirement obligations</w:t>
            </w:r>
            <w:r>
              <w:rPr>
                <w:rFonts w:ascii="Times New Roman" w:cs="Times New Roman" w:eastAsia="Times New Roman" w:hAnsi="Times New Roman"/>
                <w:sz w:val="25"/>
                <w:szCs w:val="25"/>
                <w:color w:val="auto"/>
                <w:vertAlign w:val="superscript"/>
              </w:rPr>
              <w:t>(i)</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COVID-19 expenses</w:t>
            </w:r>
            <w:r>
              <w:rPr>
                <w:rFonts w:ascii="Times New Roman" w:cs="Times New Roman" w:eastAsia="Times New Roman" w:hAnsi="Times New Roman"/>
                <w:sz w:val="25"/>
                <w:szCs w:val="25"/>
                <w:color w:val="auto"/>
                <w:vertAlign w:val="superscript"/>
              </w:rPr>
              <w:t>(j)</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Income tax benefit associated with pre-tax adjustments</w:t>
            </w:r>
            <w:r>
              <w:rPr>
                <w:rFonts w:ascii="Times New Roman" w:cs="Times New Roman" w:eastAsia="Times New Roman" w:hAnsi="Times New Roman"/>
                <w:sz w:val="25"/>
                <w:szCs w:val="25"/>
                <w:color w:val="auto"/>
                <w:vertAlign w:val="superscript"/>
              </w:rPr>
              <w:t>(k)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(49,597)</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(24,844)</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198,500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204,326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95,106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164,691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142,878</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78,490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81,527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Depreciation</w:t>
            </w:r>
            <w:r>
              <w:rPr>
                <w:rFonts w:ascii="Times New Roman" w:cs="Times New Roman" w:eastAsia="Times New Roman" w:hAnsi="Times New Roman"/>
                <w:sz w:val="25"/>
                <w:szCs w:val="25"/>
                <w:color w:val="auto"/>
                <w:vertAlign w:val="superscript"/>
              </w:rPr>
              <w:t>(l)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76,577</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Income tax provision applicable to Adjusted Net Income</w:t>
            </w:r>
            <w:r>
              <w:rPr>
                <w:rFonts w:ascii="Times New Roman" w:cs="Times New Roman" w:eastAsia="Times New Roman" w:hAnsi="Times New Roman"/>
                <w:sz w:val="25"/>
                <w:szCs w:val="25"/>
                <w:color w:val="auto"/>
                <w:vertAlign w:val="superscript"/>
              </w:rPr>
              <w:t>(m)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102,963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104,248</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35,923</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5"/>
                <w:szCs w:val="25"/>
                <w:color w:val="auto"/>
                <w:vertAlign w:val="superscript"/>
              </w:rPr>
              <w:t>(n)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548,574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528,029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$ 506,249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272,574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249,279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720" w:hanging="42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related to employees and Non-Employee Directors.</w:t>
      </w:r>
    </w:p>
    <w:p>
      <w:pPr>
        <w:spacing w:after="0" w:line="90" w:lineRule="exact"/>
        <w:rPr>
          <w:rFonts w:ascii="Times New Roman" w:cs="Times New Roman" w:eastAsia="Times New Roman" w:hAnsi="Times New Roman"/>
          <w:sz w:val="18"/>
          <w:szCs w:val="18"/>
          <w:color w:val="auto"/>
        </w:rPr>
      </w:pPr>
    </w:p>
    <w:p>
      <w:pPr>
        <w:ind w:left="720" w:right="200" w:hanging="422"/>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write-off of unamortized debt issuance costs and discounts, as well as certain other costs incurred related to the Refinancing Term Loans, the Secured Notes and the Revolving Credit Facility.</w:t>
      </w:r>
    </w:p>
    <w:p>
      <w:pPr>
        <w:spacing w:after="0" w:line="26" w:lineRule="exact"/>
        <w:rPr>
          <w:rFonts w:ascii="Times New Roman" w:cs="Times New Roman" w:eastAsia="Times New Roman" w:hAnsi="Times New Roman"/>
          <w:sz w:val="18"/>
          <w:szCs w:val="18"/>
          <w:color w:val="auto"/>
        </w:rPr>
      </w:pPr>
    </w:p>
    <w:p>
      <w:pPr>
        <w:ind w:left="720" w:right="40" w:hanging="422"/>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w:t>
      </w:r>
    </w:p>
    <w:p>
      <w:pPr>
        <w:spacing w:after="0" w:line="81" w:lineRule="exact"/>
        <w:rPr>
          <w:rFonts w:ascii="Times New Roman" w:cs="Times New Roman" w:eastAsia="Times New Roman" w:hAnsi="Times New Roman"/>
          <w:sz w:val="18"/>
          <w:szCs w:val="18"/>
          <w:color w:val="auto"/>
        </w:rPr>
      </w:pPr>
    </w:p>
    <w:p>
      <w:pPr>
        <w:ind w:left="720" w:right="20" w:hanging="422"/>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 The year ended December 31, 2023 includes a $1.0 million cancellation fee received from a tenant in connection with the termination of an office space lease at the Nordion facility.</w:t>
      </w:r>
    </w:p>
    <w:p>
      <w:pPr>
        <w:spacing w:after="0" w:line="85"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impairment charge on an equity method investment in a joint venture.</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596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3596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litigation and other professional fees associated with our EO sterilization facilities.</w:t>
      </w:r>
    </w:p>
    <w:p>
      <w:pPr>
        <w:spacing w:after="0" w:line="130" w:lineRule="exact"/>
        <w:rPr>
          <w:rFonts w:ascii="Times New Roman" w:cs="Times New Roman" w:eastAsia="Times New Roman" w:hAnsi="Times New Roman"/>
          <w:sz w:val="18"/>
          <w:szCs w:val="18"/>
          <w:color w:val="auto"/>
        </w:rPr>
      </w:pPr>
    </w:p>
    <w:p>
      <w:pPr>
        <w:ind w:left="720" w:right="40" w:hanging="422"/>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for the year ended December 31, 2022 represent the cost to settle 880 pending and threatened EO claims in Illinois pursuant to settlement agreements entered into on January 9, 2023 and finalized on March 28, 2023. Amounts presented for the six months ended June 30, 2025 represent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88"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cost to settle 79 pending EO claims in Georgia under a settlement entered into on December 21, 2023.</w:t>
      </w:r>
    </w:p>
    <w:p>
      <w:pPr>
        <w:spacing w:after="0" w:line="130" w:lineRule="exact"/>
        <w:rPr>
          <w:rFonts w:ascii="Times New Roman" w:cs="Times New Roman" w:eastAsia="Times New Roman" w:hAnsi="Times New Roman"/>
          <w:sz w:val="18"/>
          <w:szCs w:val="18"/>
          <w:color w:val="auto"/>
        </w:rPr>
      </w:pPr>
    </w:p>
    <w:p>
      <w:pPr>
        <w:ind w:left="72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accretion of ARO related to Co-60 gamma and EO sterilization facilities, which are based on estimated site remediation costs for any future decommissioning of these facilities and are accreted over the life of the asset.</w:t>
      </w:r>
    </w:p>
    <w:p>
      <w:pPr>
        <w:spacing w:after="0" w:line="67" w:lineRule="exact"/>
        <w:rPr>
          <w:rFonts w:ascii="Times New Roman" w:cs="Times New Roman" w:eastAsia="Times New Roman" w:hAnsi="Times New Roman"/>
          <w:sz w:val="18"/>
          <w:szCs w:val="18"/>
          <w:color w:val="auto"/>
        </w:rPr>
      </w:pPr>
    </w:p>
    <w:p>
      <w:pPr>
        <w:ind w:left="720" w:right="24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associated with the COVID-19 pandemic, including incremental costs to implement workplace health and safety measures.</w:t>
      </w:r>
    </w:p>
    <w:p>
      <w:pPr>
        <w:spacing w:after="0" w:line="67" w:lineRule="exact"/>
        <w:rPr>
          <w:rFonts w:ascii="Times New Roman" w:cs="Times New Roman" w:eastAsia="Times New Roman" w:hAnsi="Times New Roman"/>
          <w:sz w:val="18"/>
          <w:szCs w:val="18"/>
          <w:color w:val="auto"/>
        </w:rPr>
      </w:pPr>
    </w:p>
    <w:p>
      <w:pPr>
        <w:ind w:left="720" w:right="8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67" w:lineRule="exact"/>
        <w:rPr>
          <w:rFonts w:ascii="Times New Roman" w:cs="Times New Roman" w:eastAsia="Times New Roman" w:hAnsi="Times New Roman"/>
          <w:sz w:val="18"/>
          <w:szCs w:val="18"/>
          <w:color w:val="auto"/>
        </w:rPr>
      </w:pPr>
    </w:p>
    <w:p>
      <w:pPr>
        <w:ind w:left="720" w:right="32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 The year ended December 31, 2024 and six months ended June 30, 2025 exclude accelerated depreciation associated with business optimization activities.</w:t>
      </w:r>
    </w:p>
    <w:p>
      <w:pPr>
        <w:spacing w:after="0" w:line="67" w:lineRule="exact"/>
        <w:rPr>
          <w:rFonts w:ascii="Times New Roman" w:cs="Times New Roman" w:eastAsia="Times New Roman" w:hAnsi="Times New Roman"/>
          <w:sz w:val="18"/>
          <w:szCs w:val="18"/>
          <w:color w:val="auto"/>
        </w:rPr>
      </w:pPr>
    </w:p>
    <w:p>
      <w:pPr>
        <w:ind w:left="720" w:right="200" w:hanging="422"/>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income tax provision/benefit as determined under U.S. GAAP and the income tax provision/benefit associated with pre-tax adjustments described in footnote (k).</w:t>
      </w:r>
    </w:p>
    <w:p>
      <w:pPr>
        <w:spacing w:after="0" w:line="67" w:lineRule="exact"/>
        <w:rPr>
          <w:rFonts w:ascii="Times New Roman" w:cs="Times New Roman" w:eastAsia="Times New Roman" w:hAnsi="Times New Roman"/>
          <w:sz w:val="18"/>
          <w:szCs w:val="18"/>
          <w:color w:val="auto"/>
        </w:rPr>
      </w:pPr>
    </w:p>
    <w:p>
      <w:pPr>
        <w:ind w:left="720" w:right="140" w:hanging="422"/>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$97.1 million and $94.1 million of the adjustments for the year ended December 31, 2024, and 2023, respectively, and $48.6 million and $47.2 million of the adjustments for the six months ended June 30, 2025 and 2024, respectively, are included in cost of revenues, primarily consisting of amortization of intangible assets, depreciation, and accretion of ARO.</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860"/>
          </w:cols>
          <w:pgMar w:left="320" w:top="455" w:right="7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risks together will the other information included or incorporated by reference in this prospectus supplement and the accompanying prospectus before deciding to invest in our common stock, including the risks described under “Risk Factors” in Part I, Item. 1A of our Annual Report.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 and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and trading volume of our common stock may be volatile, and you could lose all or part of your investment.</w:t>
      </w:r>
    </w:p>
    <w:p>
      <w:pPr>
        <w:spacing w:after="0" w:line="22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and the following, some of which are beyond our control:</w:t>
      </w:r>
    </w:p>
    <w:p>
      <w:pPr>
        <w:spacing w:after="0" w:line="85" w:lineRule="exact"/>
        <w:rPr>
          <w:sz w:val="20"/>
          <w:szCs w:val="20"/>
          <w:color w:val="auto"/>
        </w:rPr>
      </w:pPr>
    </w:p>
    <w:p>
      <w:pPr>
        <w:jc w:val="both"/>
        <w:ind w:left="540" w:hanging="316"/>
        <w:spacing w:after="0" w:line="266"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jurisdictions in which we operate;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us or the industries in which we participate;</w:t>
      </w:r>
    </w:p>
    <w:p>
      <w:pPr>
        <w:spacing w:after="0" w:line="130"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results of operations, or in those of our competitors or of companies in the medical device and pharmaceutical industries;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or the perception that such sales may occur;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the industries in which we participate;</w:t>
      </w:r>
    </w:p>
    <w:p>
      <w:pPr>
        <w:spacing w:after="0" w:line="130" w:lineRule="exact"/>
        <w:rPr>
          <w:rFonts w:ascii="Times New Roman" w:cs="Times New Roman" w:eastAsia="Times New Roman" w:hAnsi="Times New Roman"/>
          <w:sz w:val="18"/>
          <w:szCs w:val="18"/>
          <w:color w:val="auto"/>
        </w:rPr>
      </w:pPr>
    </w:p>
    <w:p>
      <w:pPr>
        <w:ind w:left="540" w:right="8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our failure to achieve analysts’ estimates or failure of analysts to maintain coverage of us;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companies similar to us;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w:t>
      </w:r>
    </w:p>
    <w:p>
      <w:pPr>
        <w:spacing w:after="0" w:line="130" w:lineRule="exact"/>
        <w:rPr>
          <w:rFonts w:ascii="Times New Roman" w:cs="Times New Roman" w:eastAsia="Times New Roman" w:hAnsi="Times New Roman"/>
          <w:sz w:val="18"/>
          <w:szCs w:val="18"/>
          <w:color w:val="auto"/>
        </w:rPr>
      </w:pPr>
    </w:p>
    <w:p>
      <w:pPr>
        <w:ind w:left="540" w:right="64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economic downturns in the markets in which we, our suppliers or our customers are located caused by pandemics, such as the COVID-19 pandemic, and related policies and restrictions undertaken to contain the spread of such pandemics or potential pandemics;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costs associated with potential shareholder activism campaigns and outreach efforts;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Certain broad market and industry factors may decrease the market price of our common stock, regardless of our actual operating performance. The stock market in general has from time to time experienced extreme price and volume fluctuations. In addition, in the past, following periods of volatility in the overall market and the market price of companies’ securities, securities class action litigation has often been instituted against these companies, and a putative class action of this kind is currently pending against us. See Note 14, “Commitments and Contingencies” to our consolidated financial statements under the heading “Sotera Health Company Securities Litigation and Related Matters” in our Quarterly Report on Form 10-Q for the quarter ended June 30, 2025. Such litigation could result in substantial costs and a diversion of our management’s attention and resources.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common stock in connection with our incentive plans, acquisitions or otherwise will dilute all other stockholdings.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July 29, 2025, we had an aggregate of 886,109,800 shares of common stock that are not currently reserved for issuance under our 2020 Plan, as well as 1,990,546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5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19,035,813 shares as of July 29, 2025, but may be waived at any time by a majority of the members of the leadership development and compensation committee of the board of directors.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supplement, the Sponsors own approximately 43.3% of our outstanding common stock, and following completion of this offering the Sponsors will own approximately       %,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 of 1933 (the “Securities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sales of securities by any of our stockholders described above could have a material adverse effect on the market price of our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interests of the Sponsors may differ from the interests of other stockholders of the company.</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supplement, the Sponsors own approximately 43.3% of our outstanding common stock, and following completion of this offering we expect that the Sponsors will own approximately       %, and retain the right to designate     of our directors (subject to further reduction as ownership levels decrease). As a result, even after their ownership is reduced by this offering, the Sponsors will have substantial influence over all matters requiring a stockholder vote. The Stockholders Agreement contains agreements with respect to certain other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the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w:t>
      </w:r>
    </w:p>
    <w:p>
      <w:pPr>
        <w:spacing w:after="0" w:line="19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This concentration of ownership, together with the Sponsors’ rights under the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the Stockholders Agreement, may adversely affect the trading price of our common stock because investors may perceive disadvantages in owning shares in a company with significant stockholders with correspondingly significant voting rights.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stockholders have the right to engage or invest in the same or similar businesses as us.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amended and restated bylaws and the Stockholders Agreement, as well as Delaware law, could discourage a change in control of our company or a change in our management.</w:t>
      </w:r>
    </w:p>
    <w:p>
      <w:pPr>
        <w:spacing w:after="0" w:line="5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the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prevent or frustrate attempts by our stockholders to replace or remove our management. These provisions include:</w:t>
      </w:r>
    </w:p>
    <w:p>
      <w:pPr>
        <w:spacing w:after="0" w:line="85" w:lineRule="exact"/>
        <w:rPr>
          <w:sz w:val="20"/>
          <w:szCs w:val="20"/>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540" w:right="90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with three-year staggered terms, which could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540" w:right="82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 by the affirmative vote of the holders of at least 75% of the voting power of our outstanding common stock;</w:t>
      </w:r>
    </w:p>
    <w:p>
      <w:pPr>
        <w:spacing w:after="0" w:line="67" w:lineRule="exact"/>
        <w:rPr>
          <w:rFonts w:ascii="Times New Roman" w:cs="Times New Roman" w:eastAsia="Times New Roman" w:hAnsi="Times New Roman"/>
          <w:sz w:val="18"/>
          <w:szCs w:val="18"/>
          <w:color w:val="auto"/>
        </w:rPr>
      </w:pPr>
    </w:p>
    <w:p>
      <w:pPr>
        <w:ind w:left="540" w:right="200" w:hanging="316"/>
        <w:spacing w:after="0" w:line="258"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88" w:lineRule="exact"/>
        <w:rPr>
          <w:rFonts w:ascii="Times New Roman" w:cs="Times New Roman" w:eastAsia="Times New Roman" w:hAnsi="Times New Roman"/>
          <w:sz w:val="18"/>
          <w:szCs w:val="18"/>
          <w:color w:val="auto"/>
        </w:rPr>
      </w:pPr>
    </w:p>
    <w:p>
      <w:pPr>
        <w:ind w:left="540" w:right="4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81" w:lineRule="exact"/>
        <w:rPr>
          <w:rFonts w:ascii="Times New Roman" w:cs="Times New Roman" w:eastAsia="Times New Roman" w:hAnsi="Times New Roman"/>
          <w:sz w:val="18"/>
          <w:szCs w:val="18"/>
          <w:color w:val="auto"/>
        </w:rPr>
      </w:pPr>
    </w:p>
    <w:p>
      <w:pPr>
        <w:ind w:left="540" w:right="64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 2/3% of the voting power of our outstanding common stock to amend certain provisions of our amended and restated certificate of incorporation and amended and restated bylaws;</w:t>
      </w:r>
    </w:p>
    <w:p>
      <w:pPr>
        <w:spacing w:after="0" w:line="67" w:lineRule="exact"/>
        <w:rPr>
          <w:rFonts w:ascii="Times New Roman" w:cs="Times New Roman" w:eastAsia="Times New Roman" w:hAnsi="Times New Roman"/>
          <w:sz w:val="18"/>
          <w:szCs w:val="18"/>
          <w:color w:val="auto"/>
        </w:rPr>
      </w:pPr>
    </w:p>
    <w:p>
      <w:pPr>
        <w:ind w:left="540" w:hanging="316"/>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40"/>
        <w:spacing w:after="0" w:line="266" w:lineRule="auto"/>
        <w:rPr>
          <w:sz w:val="20"/>
          <w:szCs w:val="20"/>
          <w:color w:val="auto"/>
        </w:rPr>
      </w:pPr>
      <w:r>
        <w:rPr>
          <w:rFonts w:ascii="Times New Roman" w:cs="Times New Roman" w:eastAsia="Times New Roman" w:hAnsi="Times New Roman"/>
          <w:sz w:val="18"/>
          <w:szCs w:val="18"/>
          <w:color w:val="auto"/>
        </w:rPr>
        <w:t>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81" w:lineRule="exact"/>
        <w:rPr>
          <w:sz w:val="20"/>
          <w:szCs w:val="20"/>
          <w:color w:val="auto"/>
        </w:rPr>
      </w:pPr>
    </w:p>
    <w:p>
      <w:pPr>
        <w:ind w:left="540" w:right="20" w:hanging="316"/>
        <w:spacing w:after="0" w:line="254"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97" w:lineRule="exact"/>
        <w:rPr>
          <w:rFonts w:ascii="Times New Roman" w:cs="Times New Roman" w:eastAsia="Times New Roman" w:hAnsi="Times New Roman"/>
          <w:sz w:val="18"/>
          <w:szCs w:val="18"/>
          <w:color w:val="auto"/>
        </w:rPr>
      </w:pPr>
    </w:p>
    <w:p>
      <w:pPr>
        <w:ind w:left="540" w:right="480" w:hanging="316"/>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issue blank check preferred stock without stockholder approval, which could be used to dilute the stock ownership of a potential hostile acquirer or adopt a stockholder rights plan;</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stockholders may only take action at annual or special meetings of our stockholders and may not act by written consent;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and bring business before special meetings; and</w:t>
      </w:r>
    </w:p>
    <w:p>
      <w:pPr>
        <w:spacing w:after="0" w:line="130" w:lineRule="exact"/>
        <w:rPr>
          <w:rFonts w:ascii="Times New Roman" w:cs="Times New Roman" w:eastAsia="Times New Roman" w:hAnsi="Times New Roman"/>
          <w:sz w:val="18"/>
          <w:szCs w:val="18"/>
          <w:color w:val="auto"/>
        </w:rPr>
      </w:pPr>
    </w:p>
    <w:p>
      <w:pPr>
        <w:ind w:left="540" w:right="380" w:hanging="316"/>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forum to the Court of Chancery of the State of Delaware or federal court located within the State of Delaware for certain types of actions and proceedings that may be initiated against us by stockholders.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w:t>
      </w:r>
    </w:p>
    <w:p>
      <w:pPr>
        <w:spacing w:after="0" w:line="183"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These provisions might discourage, delay or prevent a change in control of our company or a change in our management. For example, because investment funds and entities affiliated with either Warburg Pincus or GTCR together will continue to own a substantial portion of the voting power of our common stock, they could prevent or make more difficult a third party acquisition of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2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6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right="360" w:hanging="4"/>
        <w:spacing w:after="0" w:line="253" w:lineRule="auto"/>
        <w:tabs>
          <w:tab w:leader="none" w:pos="3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Securities Exchange Act of 1934, as amended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 and, consequently, our stockholders’ ability to achieve a return on their investment depends on appreciation in the price of our common stock.</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to declare or pay dividends on our common stock in the foreseeable future. We currently expect to use any cash flow generated by operations to pay for our operations, grow our business and repay existing indebtedness.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facilities and senior secured first lien notes. As a result, capital appreciation, if any, of our common stock will be the sole source of potential gain for the foreseeable future, and our stockholders will have to sell some or all of their common stock holdings to generate cash flow from their investment.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any documents incorporated by reference in this prospectus supplement and accompanying prospectus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4" w:lineRule="exact"/>
        <w:rPr>
          <w:sz w:val="20"/>
          <w:szCs w:val="20"/>
          <w:color w:val="auto"/>
        </w:rPr>
      </w:pPr>
    </w:p>
    <w:p>
      <w:pPr>
        <w:ind w:left="1080" w:right="2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EO, Co-60 or our other direct materials, services and supplies, including as a result of geopolitical instability and/or sanctions against Russia by the United States, Canada, United Kingdom and/or the European Union;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changes in environmental, health and safety regulations or preferences, and general economic, social and business conditions;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conditions for settlement of the EO claims related to our former facility in Willowbrook, Illinois;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changes, including inflationary trends and the impact of tariffs, that impact our long-term supply contracts with variable price clauses and increase our cost of revenues;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various applicable laws and potentially inconsistent laws and regulations in multiple jurisdictions;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unauthorized data disclosures, and our dependence on information technology systems;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profitability in future periods;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U.S. tax legislation or other changes in U.S. or non-U.S. taxation of our operations;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and</w:t>
      </w:r>
    </w:p>
    <w:p>
      <w:pPr>
        <w:spacing w:after="0" w:line="85"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control that certain investment funds and entities affiliated with the Sponsors to have over us, which could limit stockholders’ ability to influence the outcome of key transactions, including a change of control.</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date of this prospectus supplement by each of the selling stockholders covered by this prospectus supplement.</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284,046,606 shares of common stock outstanding as of July 29, 2025.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40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580" w:type="dxa"/>
            <w:vAlign w:val="bottom"/>
            <w:gridSpan w:val="4"/>
            <w:vMerge w:val="restart"/>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Shares Beneficially Owned After the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240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the</w:t>
            </w:r>
          </w:p>
        </w:tc>
        <w:tc>
          <w:tcPr>
            <w:tcW w:w="25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320" w:type="dxa"/>
            <w:vAlign w:val="bottom"/>
            <w:tcBorders>
              <w:bottom w:val="single" w:sz="8" w:color="auto"/>
            </w:tcBorders>
            <w:gridSpan w:val="2"/>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6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80" w:type="dxa"/>
            <w:vAlign w:val="bottom"/>
          </w:tcPr>
          <w:p>
            <w:pPr>
              <w:spacing w:after="0"/>
              <w:rPr>
                <w:sz w:val="10"/>
                <w:szCs w:val="10"/>
                <w:color w:val="auto"/>
              </w:rPr>
            </w:pPr>
          </w:p>
        </w:tc>
        <w:tc>
          <w:tcPr>
            <w:tcW w:w="132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Pr>
          <w:p>
            <w:pPr>
              <w:spacing w:after="0"/>
              <w:rPr>
                <w:sz w:val="10"/>
                <w:szCs w:val="10"/>
                <w:color w:val="auto"/>
              </w:rPr>
            </w:pPr>
          </w:p>
        </w:tc>
        <w:tc>
          <w:tcPr>
            <w:tcW w:w="136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r>
              <w:rPr>
                <w:rFonts w:ascii="Times New Roman" w:cs="Times New Roman" w:eastAsia="Times New Roman" w:hAnsi="Times New Roman"/>
                <w:sz w:val="10"/>
                <w:szCs w:val="10"/>
                <w:b w:val="1"/>
                <w:bCs w:val="1"/>
                <w:color w:val="auto"/>
              </w:rPr>
              <w:t>(1)</w:t>
            </w: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4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Held</w:t>
            </w:r>
          </w:p>
        </w:tc>
        <w:tc>
          <w:tcPr>
            <w:tcW w:w="4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Hereby</w:t>
            </w:r>
          </w:p>
        </w:tc>
        <w:tc>
          <w:tcPr>
            <w:tcW w:w="4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Held</w:t>
            </w:r>
          </w:p>
        </w:tc>
        <w:tc>
          <w:tcPr>
            <w:tcW w:w="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line="210" w:lineRule="exact"/>
              <w:rPr>
                <w:sz w:val="20"/>
                <w:szCs w:val="20"/>
                <w:color w:val="auto"/>
              </w:rPr>
            </w:pPr>
            <w:r>
              <w:rPr>
                <w:rFonts w:ascii="Times New Roman" w:cs="Times New Roman" w:eastAsia="Times New Roman" w:hAnsi="Times New Roman"/>
                <w:sz w:val="17"/>
                <w:szCs w:val="17"/>
                <w:color w:val="auto"/>
              </w:rPr>
              <w:t>Investment funds and entities affiliated with Warburg Pincus</w:t>
            </w:r>
            <w:r>
              <w:rPr>
                <w:rFonts w:ascii="Times New Roman" w:cs="Times New Roman" w:eastAsia="Times New Roman" w:hAnsi="Times New Roman"/>
                <w:sz w:val="24"/>
                <w:szCs w:val="24"/>
                <w:color w:val="auto"/>
                <w:vertAlign w:val="superscript"/>
              </w:rPr>
              <w:t>(2)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73,822,952</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25.99%</w:t>
            </w: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39"/>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r>
              <w:rPr>
                <w:rFonts w:ascii="Times New Roman" w:cs="Times New Roman" w:eastAsia="Times New Roman" w:hAnsi="Times New Roman"/>
                <w:sz w:val="26"/>
                <w:szCs w:val="26"/>
                <w:color w:val="auto"/>
                <w:vertAlign w:val="superscript"/>
              </w:rPr>
              <w:t>(3)</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49,215,301</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17.33%</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540" w:right="140" w:hanging="424"/>
        <w:spacing w:after="0" w:line="258"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shown in the table above include shares held in the selling stockholder’s name or jointly with others, or in the name of a bank, nominee or trustee for the selling stockholder’s account.</w:t>
      </w:r>
    </w:p>
    <w:p>
      <w:pPr>
        <w:spacing w:after="0" w:line="88"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59,079,058 shares held of record by Bull Holdco L.P., a Delaware limited partnership (“Bull Holdco”) and (ii) 14,743,894 shares held of record by Bull Co-Invest L.P., a Delaware limited partnership (“Bull Co-Invest”).</w:t>
      </w:r>
    </w:p>
    <w:p>
      <w:pPr>
        <w:spacing w:after="0" w:line="53" w:lineRule="exact"/>
        <w:rPr>
          <w:rFonts w:ascii="Times New Roman" w:cs="Times New Roman" w:eastAsia="Times New Roman" w:hAnsi="Times New Roman"/>
          <w:sz w:val="18"/>
          <w:szCs w:val="18"/>
          <w:color w:val="auto"/>
        </w:rPr>
      </w:pPr>
    </w:p>
    <w:p>
      <w:pPr>
        <w:ind w:left="56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75" w:lineRule="exact"/>
        <w:rPr>
          <w:rFonts w:ascii="Times New Roman" w:cs="Times New Roman" w:eastAsia="Times New Roman" w:hAnsi="Times New Roman"/>
          <w:sz w:val="18"/>
          <w:szCs w:val="18"/>
          <w:color w:val="auto"/>
        </w:rPr>
      </w:pPr>
    </w:p>
    <w:p>
      <w:pPr>
        <w:ind w:left="56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w:t>
      </w:r>
    </w:p>
    <w:p>
      <w:pPr>
        <w:spacing w:after="0" w:line="85" w:lineRule="exact"/>
        <w:rPr>
          <w:sz w:val="20"/>
          <w:szCs w:val="20"/>
          <w:color w:val="auto"/>
        </w:rPr>
      </w:pPr>
    </w:p>
    <w:p>
      <w:pPr>
        <w:ind w:left="540" w:right="120" w:hanging="424"/>
        <w:spacing w:after="0" w:line="253"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39,061,101 shares held of record by GTCR Fund XI/A LP, (ii) 9,841,141 shares held of record by GTCR Fund XI/C LP and (iii) 313,059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w:t>
      </w:r>
    </w:p>
    <w:p>
      <w:pPr>
        <w:spacing w:after="0" w:line="19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tax treaty.</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Investors should consult their own tax advisors about how these information reporting and withholding tax rules may apply to their investment in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Non-U.S. Holders generally will not be subject to U.S. federal income tax with respect to gain recognized on a sale, exchange or other taxable disposition of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do not currently expect to pay any dividends on our common stock. Instead, we intend to use any future earnings for the operation and growth of our business and the repayment of indebtedness.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Future cash dividends on our common stock,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our stockholders’ ability to achieve a return on their investment depends on appreciation in the price of our common stock.”</w:t>
      </w:r>
    </w:p>
    <w:p>
      <w:pPr>
        <w:spacing w:after="0" w:line="18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of the application of withholding taxes on dividends, see “Material U.S. Federal Income Tax Considerations for Non-U.S. Holders.”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the selling stockholders and Goldman Sachs &amp; Co. LLC (the “underwriter”) have entered into an underwriting agreement with respect to the shares of our common stock being offered by the selling stockholders. Subject to certain conditions, the underwriter has agreed to purchase an aggregate of       shares of our common stock from the selling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 is committed to take and pay for all of the shares of our common stock being offered by the selling stockholders, if any are taken.</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underwriter proposes to offer the common stock from time to time for sale in one or more transactions on Nasdaq, in the over-the-counter market, through negotiated transactions or otherwise at market prices prevailing at the time of sale, at prices related to prevailing market prices or at negotiated prices, subject to receipt and acceptance by the underwriter and subject to its right to reject any order in whole or in part. The underwriter may offer shares of common stock for sale at different prices at the same time. In connection with the sale of the common stock, the underwriter may be deemed to have received compensation in the form of underwriting discounts. The underwriter may effect such transactions by selling the common stock to or through dealers, and such dealers may receive compensation in the form of discounts, concessions or commissions from the underwriter and/or purchasers of the common stock for whom they may act as an agent or to whom they may sell as principal. The difference between the price at which the underwriter purchases the common stock and the price at which the underwriter resells such shares may be deemed underwriting compensation.</w:t>
      </w:r>
    </w:p>
    <w:p>
      <w:pPr>
        <w:spacing w:after="0" w:line="18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$500,000.</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without the prior written consent of the underwriter for a period of 45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the selling stockholders have entered into lock-up agreements with the underwriter pursuant to which each of them, subject to certain exceptions, for a period of 45 days after the date of this prospectus supplement, may not, without the prior written consent of the underwriter,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lock-up restrictions described in the immediately preceding paragraph are subject to certain exceptions including, without limitation:</w:t>
      </w:r>
    </w:p>
    <w:p>
      <w:pPr>
        <w:spacing w:after="0" w:line="27" w:lineRule="exact"/>
        <w:rPr>
          <w:sz w:val="20"/>
          <w:szCs w:val="20"/>
          <w:color w:val="auto"/>
        </w:rPr>
      </w:pPr>
    </w:p>
    <w:p>
      <w:pPr>
        <w:jc w:val="both"/>
        <w:ind w:left="120" w:right="80" w:hanging="4"/>
        <w:spacing w:after="0" w:line="255"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 part of a sale of lock-up securities in open market transactions after the closing of this offering, (ii) transfers to us in connection with the vesting, settlement, or exercise of restricted stock units, performance stock units, shares of restricted stock, options, warrants or other rights to purchase shares of common stock, (iii) transfers pursuant to an order of a court or regulatory agency related to the lock-up</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party’s ownership of the lock-up securities; and (iv) transfers by pledging, hypothecating or otherwise granting a security interest in any lock-up securities as collateral and transfer such lock-up securities upon foreclosure, among others.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selling stockholders have agreed to indemnify the underwriter against certain liabilities, including liabilities under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“SHC.”</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 of a greater number of shares of common stock than it is required to purchase in this offering, and purchasing shares of common stock on the open market to cover positions created by short sales.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underwriter and its affiliates may have provided in the past to us and our affiliates and may provide from time to time in the future certain commercial banking, financial advisory, investment banking and other services for us and such affiliates in the ordinary course of their business, for which they may have received and may from time to time in the future receive customary fees and commissions. In addition, from time to time, the underwriter and its affiliates may effect transactions for their own account or the account of customers, and hold on behalf of themselves or their customers, long or short positions in our debt or equity securities or loans, and may do so in the future. The underwriter and/or its affiliates are lenders, and/or act as agents or arrangers, under our senior secured first lien credit facility.</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 and its affiliates may also communicate independent investment recommendations, market color or trading ideas and/or publish or express independent research views in respect of such securities or instruments and may at any time hold, or recommend to clients that they should acquire, long and/or short positions in such assets, securities and instruments.</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the selling stockholders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w:t>
      </w:r>
    </w:p>
    <w:p>
      <w:pPr>
        <w:spacing w:after="0" w:line="89"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540" w:right="380" w:hanging="424"/>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540" w:right="360" w:hanging="424"/>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shall require the company or the underwriter to publish a prospectus pursuant to Article 3 of the Prospectus Regulation or supplement a prospectus pursuant to Article 23 of the Prospectus Regulation.</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person in a Relevant Member State (other than a Relevant Member State where there is a permitted public offer) who initially acquires any shares or to whom any offer is made will be deemed to have represented, acknowledged and agreed to and with the company and the underwriter that it is a qualified investor within the meaning of the Prospectus Regulation.</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 has been obtained to each such proposed offer or resale.</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 and their affiliates will rely upon the truth and accuracy of the foregoing representations, acknowledgements and agreements.</w:t>
      </w:r>
    </w:p>
    <w:p>
      <w:pPr>
        <w:spacing w:after="0" w:line="162"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or is to be treated as if it had been approved by the Financial Conduct Authority in accordance with the transitional provisions in Article 74 (transitional provisions) of the Prospectus Amendment etc (EU Exit) Regulations 2019/1234, except that the Shares may be offered to the public in the United Kingdom at any time:</w:t>
      </w:r>
    </w:p>
    <w:p>
      <w:pPr>
        <w:spacing w:after="0" w:line="85" w:lineRule="exact"/>
        <w:rPr>
          <w:sz w:val="20"/>
          <w:szCs w:val="20"/>
          <w:color w:val="auto"/>
        </w:rPr>
      </w:pPr>
    </w:p>
    <w:p>
      <w:pPr>
        <w:ind w:left="5460" w:right="3140" w:hanging="4804"/>
        <w:spacing w:after="0" w:line="454" w:lineRule="auto"/>
        <w:tabs>
          <w:tab w:leader="none" w:pos="10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 S-26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225"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Issuer or any Manager to publish a prospectus pursuant to Section 85 of the FSMA or supplement a prospectus pursuant to Article 23 of the UK Prospectus Regulation.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of Prospective Investors in Switzerland</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(“FinSA”):</w:t>
      </w:r>
    </w:p>
    <w:p>
      <w:pPr>
        <w:spacing w:after="0" w:line="81"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provided that no such offer of shares shall require the Company or any underwriter to publish a prospectus pursuant to Article 35 FinSA.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have not been and will not be listed or admitted to trading on a trading venue in Switzerland.</w:t>
      </w:r>
    </w:p>
    <w:p>
      <w:pPr>
        <w:spacing w:after="0" w:line="225"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Dubai International Financial Centre</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31" w:lineRule="exact"/>
        <w:rPr>
          <w:sz w:val="20"/>
          <w:szCs w:val="20"/>
          <w:color w:val="auto"/>
        </w:rPr>
      </w:pPr>
    </w:p>
    <w:p>
      <w:pPr>
        <w:ind w:left="1080" w:right="4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underwriter has acknowledged that this prospectus supplement has not been registered as a prospectus with the Monetary Authority of Singapore. Accordingly, the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w:t>
      </w:r>
    </w:p>
    <w:p>
      <w:pPr>
        <w:spacing w:after="0" w:line="93" w:lineRule="exact"/>
        <w:rPr>
          <w:sz w:val="20"/>
          <w:szCs w:val="20"/>
          <w:color w:val="auto"/>
        </w:rPr>
      </w:pPr>
    </w:p>
    <w:p>
      <w:pPr>
        <w:ind w:left="540" w:right="1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540" w:right="8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540" w:right="12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to be issued in this offering. Certain legal matters will be passed upon for the underwriter by Simpson Thacher &amp; Bartlett LLP, New York, New York.</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0580"/>
          </w:cols>
          <w:pgMar w:left="320" w:top="455"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Sotera Health Company appearing in Sotera Health Company’s Annual Report on Form 10-K for the year ended December 31, 2024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https://investors.soterahealth.com. Information accessible on or through our website is not a part of this prospectus supplement.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27, 2025;</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w:t>
      </w:r>
      <w:hyperlink r:id="rId5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quarters ended March 31, 2025, filed with the SEC on May 1, 2025, and </w:t>
      </w:r>
      <w:hyperlink r:id="rId58">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filed with the SEC on August 8, 2025;</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w:t>
      </w:r>
      <w:hyperlink r:id="rId59">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dated January 2, 2025, filed with the SEC on January 6, 2025, and </w:t>
      </w:r>
      <w:hyperlink r:id="rId60">
        <w:r>
          <w:rPr>
            <w:rFonts w:ascii="Times New Roman" w:cs="Times New Roman" w:eastAsia="Times New Roman" w:hAnsi="Times New Roman"/>
            <w:sz w:val="18"/>
            <w:szCs w:val="18"/>
            <w:u w:val="single" w:color="auto"/>
            <w:color w:val="0000EE"/>
          </w:rPr>
          <w:t>May 21, 2025</w:t>
        </w:r>
      </w:hyperlink>
      <w:r>
        <w:rPr>
          <w:rFonts w:ascii="Times New Roman" w:cs="Times New Roman" w:eastAsia="Times New Roman" w:hAnsi="Times New Roman"/>
          <w:sz w:val="18"/>
          <w:szCs w:val="18"/>
          <w:color w:val="auto"/>
        </w:rPr>
        <w:t>, filed with the SEC on May 23, 2025; and</w:t>
      </w:r>
    </w:p>
    <w:p>
      <w:pPr>
        <w:spacing w:after="0" w:line="67"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6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w:t>
      </w:r>
      <w:hyperlink r:id="rId61">
        <w:r>
          <w:rPr>
            <w:rFonts w:ascii="Times New Roman" w:cs="Times New Roman" w:eastAsia="Times New Roman" w:hAnsi="Times New Roman"/>
            <w:sz w:val="18"/>
            <w:szCs w:val="18"/>
            <w:u w:val="single" w:color="auto"/>
            <w:color w:val="0000EE"/>
          </w:rPr>
          <w:t>April 10,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supplemented on </w:t>
      </w:r>
      <w:hyperlink r:id="rId62">
        <w:r>
          <w:rPr>
            <w:rFonts w:ascii="Times New Roman" w:cs="Times New Roman" w:eastAsia="Times New Roman" w:hAnsi="Times New Roman"/>
            <w:sz w:val="18"/>
            <w:szCs w:val="18"/>
            <w:u w:val="single" w:color="auto"/>
            <w:color w:val="0000EE"/>
          </w:rPr>
          <w:t>May 2, 2025</w:t>
        </w:r>
      </w:hyperlink>
      <w:r>
        <w:rPr>
          <w:rFonts w:ascii="Times New Roman" w:cs="Times New Roman" w:eastAsia="Times New Roman" w:hAnsi="Times New Roman"/>
          <w:sz w:val="18"/>
          <w:szCs w:val="18"/>
          <w:color w:val="auto"/>
        </w:rPr>
        <w:t xml:space="preserve">, as amended (solely to the extent specifically incorporated by reference into our Annual Report on </w:t>
      </w:r>
      <w:hyperlink r:id="rId5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w:t>
      </w:r>
    </w:p>
    <w:p>
      <w:pPr>
        <w:spacing w:after="0" w:line="176" w:lineRule="exact"/>
        <w:rPr>
          <w:rFonts w:ascii="Times New Roman" w:cs="Times New Roman" w:eastAsia="Times New Roman" w:hAnsi="Times New Roman"/>
          <w:sz w:val="18"/>
          <w:szCs w:val="18"/>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176" w:lineRule="exact"/>
        <w:rPr>
          <w:rFonts w:ascii="Times New Roman" w:cs="Times New Roman" w:eastAsia="Times New Roman" w:hAnsi="Times New Roman"/>
          <w:sz w:val="18"/>
          <w:szCs w:val="18"/>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w:t>
      </w:r>
    </w:p>
    <w:p>
      <w:pPr>
        <w:spacing w:after="0" w:line="180" w:lineRule="exact"/>
        <w:rPr>
          <w:rFonts w:ascii="Times New Roman" w:cs="Times New Roman" w:eastAsia="Times New Roman" w:hAnsi="Times New Roman"/>
          <w:sz w:val="18"/>
          <w:szCs w:val="18"/>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supplement will not be sent, however, unless those exhibits have been specifically referenced in this prospectus supplement or the accompanying prospectus.</w:t>
      </w:r>
    </w:p>
    <w:p>
      <w:pPr>
        <w:spacing w:after="0" w:line="94"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60"/>
          </w:cols>
          <w:pgMar w:left="320" w:top="455"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97155</wp:posOffset>
            </wp:positionV>
            <wp:extent cx="1560195"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15601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w:t>
      </w:r>
    </w:p>
    <w:p>
      <w:pPr>
        <w:spacing w:after="0" w:line="183"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w:t>
      </w:r>
    </w:p>
    <w:p>
      <w:pPr>
        <w:spacing w:after="0" w:line="176"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not an offer to sell our common stock, and it is not soliciting an offer to buy our common stock, in any state or other jurisdiction where the offer or sale is not permitted.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“SHC.”</w:t>
      </w:r>
    </w:p>
    <w:p>
      <w:pPr>
        <w:spacing w:after="0" w:line="212" w:lineRule="exact"/>
        <w:rPr>
          <w:sz w:val="20"/>
          <w:szCs w:val="20"/>
          <w:color w:val="auto"/>
        </w:rPr>
      </w:pPr>
    </w:p>
    <w:p>
      <w:pPr>
        <w:jc w:val="both"/>
        <w:ind w:left="120" w:right="1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w:t>
      </w:r>
    </w:p>
    <w:p>
      <w:pPr>
        <w:spacing w:after="0" w:line="176"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27, 2024.</w:t>
      </w:r>
    </w:p>
    <w:p>
      <w:pPr>
        <w:sectPr>
          <w:pgSz w:w="11900" w:h="16838" w:orient="portrait"/>
          <w:cols w:equalWidth="0" w:num="1">
            <w:col w:w="11120"/>
          </w:cols>
          <w:pgMar w:left="320" w:top="455" w:right="4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SOTERA HEALTH COMPANY</w:t>
            </w:r>
          </w:p>
        </w:tc>
        <w:tc>
          <w:tcPr>
            <w:tcW w:w="558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9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68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40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3"/>
          </w:tcPr>
          <w:p>
            <w:pPr>
              <w:spacing w:after="0"/>
              <w:rPr>
                <w:sz w:val="17"/>
                <w:szCs w:val="17"/>
                <w:color w:val="auto"/>
              </w:rPr>
            </w:pPr>
          </w:p>
        </w:tc>
        <w:tc>
          <w:tcPr>
            <w:tcW w:w="48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6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w:t>
      </w:r>
    </w:p>
    <w:p>
      <w:pPr>
        <w:spacing w:after="0" w:line="9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prospectus supplement; and</w:t>
      </w:r>
    </w:p>
    <w:p>
      <w:pPr>
        <w:spacing w:after="0" w:line="130" w:lineRule="exact"/>
        <w:rPr>
          <w:rFonts w:ascii="Times New Roman" w:cs="Times New Roman" w:eastAsia="Times New Roman" w:hAnsi="Times New Roman"/>
          <w:sz w:val="18"/>
          <w:szCs w:val="18"/>
          <w:color w:val="auto"/>
        </w:rPr>
      </w:pPr>
    </w:p>
    <w:p>
      <w:pPr>
        <w:ind w:left="5600" w:right="2400" w:hanging="4944"/>
        <w:spacing w:after="0" w:line="454" w:lineRule="auto"/>
        <w:tabs>
          <w:tab w:leader="none" w:pos="10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referred to in “Where You Can Find More Information” and “Incorporation by Reference.” i</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SOTERA HEALTH COMPANY</w:t>
      </w:r>
    </w:p>
    <w:p>
      <w:pPr>
        <w:spacing w:after="0" w:line="229" w:lineRule="exact"/>
        <w:rPr>
          <w:sz w:val="20"/>
          <w:szCs w:val="20"/>
          <w:color w:val="auto"/>
        </w:rPr>
      </w:pPr>
    </w:p>
    <w:p>
      <w:pPr>
        <w:ind w:left="120" w:right="40" w:firstLine="440"/>
        <w:spacing w:after="0" w:line="238" w:lineRule="auto"/>
        <w:rPr>
          <w:sz w:val="20"/>
          <w:szCs w:val="20"/>
          <w:color w:val="auto"/>
        </w:rPr>
      </w:pPr>
      <w:r>
        <w:rPr>
          <w:rFonts w:ascii="Times New Roman" w:cs="Times New Roman" w:eastAsia="Times New Roman" w:hAnsi="Times New Roman"/>
          <w:sz w:val="18"/>
          <w:szCs w:val="18"/>
          <w:color w:val="auto"/>
        </w:rPr>
        <w:t>We are a leading global provider of mission-critical end-to-end sterilization solutions, lab testing and advisory services for the healthcare industry. We are driven by our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20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4" w:lineRule="exact"/>
        <w:rPr>
          <w:sz w:val="20"/>
          <w:szCs w:val="20"/>
          <w:color w:val="auto"/>
        </w:rPr>
      </w:pPr>
    </w:p>
    <w:p>
      <w:pPr>
        <w:ind w:left="1080" w:right="3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or preferences, and general economic, social and business conditions;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storage, transportation and disposal of potentially hazardous materials such as EO and Co-60;</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services and potential product liability claims, recalls, penalties and reputational harm;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extensive regulatory requirements to which we are subject, the related costs, and any failures to receive or maintain, or delays in receiving, required clearances or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changes, including inflationary trends, that impact our long-term supply contracts with variable price clauses and increase our cost of revenues;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including supply chain disruptions and other risks associated with our operations;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 including global and regional economic and political instability and compliance with numerous and sometimes inconsistent laws and regulations in multiple jurisdictions;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build new facilities in a timely and cost-effective manner and renew leases for our leased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health events or environmental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unauthorized data disclosures, our dependence on information technology systems;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pursue strategic transactions, find suitable acquisition targets, or integrate strategic acquisitions into our business successfully;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have infringed or misappropriated, or are infringing or misappropriating, their intellectual property rights;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rapidly evolving data privacy and security laws and regulations in various jurisdictions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 as well as other long-lived assets and intangible assets with definite lives;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unionization efforts and labor regulations in countries in which we operate;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or the interpretation and application of recent U.S. tax legislation or other changes in U.S. or non-U.S. taxation of our operations;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320" w:top="455"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a prospectus supplement, we intend to use the net proceeds from any sale of our common stock described in this prospectus for our general corporate purposes.</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we will not receive any proceeds from any sale of our common stock by the selling stockholders.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one class of securities, common stock, par value $0.01 per share, registered pursuant to Section 12 of the Securities Exchange Act of 1934, as amended (the “Exchange Act”).</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w:t>
      </w:r>
    </w:p>
    <w:p>
      <w:pPr>
        <w:spacing w:after="0" w:line="18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may periodically issue shares of our common stock or other securities that can be exercised, converted or exchanged into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Capitalization</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We are authorized to issue 1,200,000,000 shares of common stock, par value $0.01 per share, of which 282,832,200 shares were outstanding as of February 20, 2024, and 120,000,000 shares of preferred stock, par value $0.01 per share, of which no shares were outstanding as of February 20, 2024.</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common stock are entitled to one vote for each share held on all matters submitted to a vote of stockholders,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92"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be applicable to any then-outstanding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those dividends, if any, as may be declared by the board of directors out of legally available funds.</w:t>
      </w:r>
    </w:p>
    <w:p>
      <w:pPr>
        <w:spacing w:after="0" w:line="158"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Dissolution, and Winding Up</w:t>
      </w:r>
      <w:r>
        <w:rPr>
          <w:rFonts w:ascii="Times New Roman" w:cs="Times New Roman" w:eastAsia="Times New Roman" w:hAnsi="Times New Roman"/>
          <w:sz w:val="18"/>
          <w:szCs w:val="18"/>
          <w:color w:val="auto"/>
        </w:rPr>
        <w:t>. Upon our liquidation, dissolution or winding up, the holders of our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 Preemptive or Similar Rights</w:t>
      </w:r>
      <w:r>
        <w:rPr>
          <w:rFonts w:ascii="Times New Roman" w:cs="Times New Roman" w:eastAsia="Times New Roman" w:hAnsi="Times New Roman"/>
          <w:sz w:val="18"/>
          <w:szCs w:val="18"/>
          <w:color w:val="auto"/>
        </w:rPr>
        <w:t>. Holders of our common stock have no preemptive or conversion rights or other subscription rights, and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redemption or sinking fund provisions applicable to our common stock.</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Assessment</w:t>
      </w:r>
      <w:r>
        <w:rPr>
          <w:rFonts w:ascii="Times New Roman" w:cs="Times New Roman" w:eastAsia="Times New Roman" w:hAnsi="Times New Roman"/>
          <w:sz w:val="18"/>
          <w:szCs w:val="18"/>
          <w:color w:val="auto"/>
        </w:rPr>
        <w:t>. All outstanding shares of our common stock are fully paid and nonassessable.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Effects of Provisions of Our Amended and Restated Certificate of Incorporation, Our Amended and Restated Bylaws and Delaware Law</w:t>
      </w:r>
    </w:p>
    <w:p>
      <w:pPr>
        <w:spacing w:after="0" w:line="5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1"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Classified board of directors; removal of directors</w:t>
      </w:r>
      <w:r>
        <w:rPr>
          <w:rFonts w:ascii="Times New Roman" w:cs="Times New Roman" w:eastAsia="Times New Roman" w:hAnsi="Times New Roman"/>
          <w:sz w:val="18"/>
          <w:szCs w:val="18"/>
          <w:color w:val="auto"/>
        </w:rPr>
        <w:t>. Our amended and restated certificate of incorporation provides that our board of directors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divided into three classes of directors, with the classes to be as nearly equal in number as possible, and with staggered three-year terms. As a result, approximately one-third of our board of directors will be elected each year.</w:t>
      </w:r>
    </w:p>
    <w:p>
      <w:pPr>
        <w:spacing w:after="0" w:line="17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r>
        <w:rPr>
          <w:rFonts w:ascii="Times New Roman" w:cs="Times New Roman" w:eastAsia="Times New Roman" w:hAnsi="Times New Roman"/>
          <w:sz w:val="17"/>
          <w:szCs w:val="17"/>
          <w:color w:val="auto"/>
        </w:rPr>
        <w:t>. Our amended and restated bylaws provide advance notice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7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Amendment of certificate of incorporation and bylaws provisions</w:t>
      </w:r>
      <w:r>
        <w:rPr>
          <w:rFonts w:ascii="Times New Roman" w:cs="Times New Roman" w:eastAsia="Times New Roman" w:hAnsi="Times New Roman"/>
          <w:sz w:val="18"/>
          <w:szCs w:val="18"/>
          <w:color w:val="auto"/>
        </w:rPr>
        <w:t>. Our amended and restated certificate of incorporation provides that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Authorized but unissued or undesignated capital stock</w:t>
      </w:r>
      <w:r>
        <w:rPr>
          <w:rFonts w:ascii="Times New Roman" w:cs="Times New Roman" w:eastAsia="Times New Roman" w:hAnsi="Times New Roman"/>
          <w:sz w:val="18"/>
          <w:szCs w:val="18"/>
          <w:color w:val="auto"/>
        </w:rPr>
        <w:t>. Our authorized capital stock consists of 1,200,000,000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r>
        <w:rPr>
          <w:rFonts w:ascii="Times New Roman" w:cs="Times New Roman" w:eastAsia="Times New Roman" w:hAnsi="Times New Roman"/>
          <w:sz w:val="18"/>
          <w:szCs w:val="18"/>
          <w:color w:val="auto"/>
        </w:rPr>
        <w:t>. Our amended and restated certificate of incorporation provides that our stockholders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cumulate votes in the election of directors unless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83"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Supermajority voting on board actions</w:t>
      </w:r>
      <w:r>
        <w:rPr>
          <w:rFonts w:ascii="Times New Roman" w:cs="Times New Roman" w:eastAsia="Times New Roman" w:hAnsi="Times New Roman"/>
          <w:sz w:val="18"/>
          <w:szCs w:val="18"/>
          <w:color w:val="auto"/>
        </w:rPr>
        <w:t>. For so long as investment funds and entities affiliated with either Warburg Pincus or GTCR have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to designate at least three directors for election to our board of directors, the following actions may only be effected with the affirmative vote of 75% of our board of directors:</w:t>
      </w:r>
    </w:p>
    <w:p>
      <w:pPr>
        <w:spacing w:after="0" w:line="8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acquisitions, mergers, other business combination transactions and dispositions;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any provision of the certificate of incorporation or bylaws;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and composition of the board of directors or the compensation of its committees, other than in accordance with the Stockholders’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chief executive officer or designation of a new chief executive officer;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ordinary course compensation arrangements, entering into, or modifying, any compensation arrangements with an executive officer or any of an executive officer’s affiliates or associates;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of Company or subsidiaries’ capital stock, subject to certain limited exceptions;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certain indebtedness.</w:t>
      </w:r>
    </w:p>
    <w:p>
      <w:pPr>
        <w:spacing w:after="0" w:line="22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not subject to the provisions of Section 203 of the DGCL. In general, Section 203 prohibits a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however, our amended and restated certificate of incorporation contains similar provisions providing that we may not engage in certain “business combinations” with any “interested shareholder” for a three-year period following the time that the shareholder became an interested shareholder, unless:</w:t>
      </w:r>
    </w:p>
    <w:p>
      <w:pPr>
        <w:spacing w:after="0" w:line="81" w:lineRule="exact"/>
        <w:rPr>
          <w:sz w:val="20"/>
          <w:szCs w:val="20"/>
          <w:color w:val="auto"/>
        </w:rPr>
      </w:pPr>
    </w:p>
    <w:p>
      <w:pPr>
        <w:ind w:left="1080" w:right="3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shareholder becoming an interested shareholder;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51" w:lineRule="auto"/>
        <w:tabs>
          <w:tab w:leader="none" w:pos="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this provision. The Supreme Court of Delaware has held that this type of exclusive federal forum provision is enforceable. There may be uncertainty, however, as to whether courts of other jurisdictions would enforce such provision, if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 of Officers and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Computershare Trust Company, N.A. acts as transfer agent and registrar for our common stock. The transfer agent and registrar’s address is 118 Fernwood Avenue, Edison, New Jersey 08837.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under the symbol “SHC.”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88"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footnotes below, the address for each beneficial owner is c/o Sotera Health, 9100 South Hills Blvd, Suite 300 Broadview Heights, Ohio 44147.</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r>
              <w:rPr>
                <w:rFonts w:ascii="Times New Roman" w:cs="Times New Roman" w:eastAsia="Times New Roman" w:hAnsi="Times New Roman"/>
                <w:sz w:val="10"/>
                <w:szCs w:val="10"/>
                <w:b w:val="1"/>
                <w:bCs w:val="1"/>
                <w:color w:val="auto"/>
              </w:rPr>
              <w:t>(1)</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72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6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funds and entities affiliated with Warburg</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540"/>
              <w:spacing w:after="0" w:line="235" w:lineRule="exact"/>
              <w:rPr>
                <w:sz w:val="20"/>
                <w:szCs w:val="20"/>
                <w:color w:val="auto"/>
              </w:rPr>
            </w:pPr>
            <w:r>
              <w:rPr>
                <w:rFonts w:ascii="Times New Roman" w:cs="Times New Roman" w:eastAsia="Times New Roman" w:hAnsi="Times New Roman"/>
                <w:sz w:val="18"/>
                <w:szCs w:val="18"/>
                <w:color w:val="auto"/>
              </w:rPr>
              <w:t>Pincus</w:t>
            </w:r>
            <w:r>
              <w:rPr>
                <w:rFonts w:ascii="Times New Roman" w:cs="Times New Roman" w:eastAsia="Times New Roman" w:hAnsi="Times New Roman"/>
                <w:sz w:val="26"/>
                <w:szCs w:val="26"/>
                <w:color w:val="auto"/>
                <w:vertAlign w:val="superscript"/>
              </w:rPr>
              <w:t>(2)</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105,417,315</w:t>
            </w: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37.27%</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Investment funds and entities affiliated with GTCR</w:t>
            </w:r>
            <w:r>
              <w:rPr>
                <w:rFonts w:ascii="Times New Roman" w:cs="Times New Roman" w:eastAsia="Times New Roman" w:hAnsi="Times New Roman"/>
                <w:sz w:val="25"/>
                <w:szCs w:val="25"/>
                <w:color w:val="auto"/>
                <w:vertAlign w:val="superscript"/>
              </w:rPr>
              <w:t>(3)</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70,278,209</w:t>
            </w:r>
          </w:p>
        </w:tc>
        <w:tc>
          <w:tcPr>
            <w:tcW w:w="1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24.85%</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Selling Stockholders: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B. Petras, Jr.</w:t>
            </w:r>
            <w:r>
              <w:rPr>
                <w:rFonts w:ascii="Times New Roman" w:cs="Times New Roman" w:eastAsia="Times New Roman" w:hAnsi="Times New Roman"/>
                <w:sz w:val="25"/>
                <w:szCs w:val="25"/>
                <w:color w:val="auto"/>
                <w:vertAlign w:val="superscript"/>
              </w:rPr>
              <w:t>(4)</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8,587,855</w:t>
            </w:r>
          </w:p>
        </w:tc>
        <w:tc>
          <w:tcPr>
            <w:tcW w:w="17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3.04%</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Michael P. Rutz</w:t>
            </w:r>
            <w:r>
              <w:rPr>
                <w:rFonts w:ascii="Times New Roman" w:cs="Times New Roman" w:eastAsia="Times New Roman" w:hAnsi="Times New Roman"/>
                <w:sz w:val="25"/>
                <w:szCs w:val="25"/>
                <w:color w:val="auto"/>
                <w:vertAlign w:val="superscript"/>
              </w:rPr>
              <w:t>(5)</w:t>
            </w: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709,336</w:t>
            </w: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Ann R. Klee</w:t>
            </w:r>
            <w:r>
              <w:rPr>
                <w:rFonts w:ascii="Times New Roman" w:cs="Times New Roman" w:eastAsia="Times New Roman" w:hAnsi="Times New Roman"/>
                <w:sz w:val="25"/>
                <w:szCs w:val="25"/>
                <w:color w:val="auto"/>
                <w:vertAlign w:val="superscript"/>
              </w:rPr>
              <w:t>(6)</w:t>
            </w:r>
          </w:p>
        </w:tc>
        <w:tc>
          <w:tcPr>
            <w:tcW w:w="16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76,773</w:t>
            </w: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14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shown in the table above include shares held in the selling stockholder’s name or jointly with others, or in the name of a bank, nominee or trustee for the selling stockholder’s account.</w:t>
      </w:r>
    </w:p>
    <w:p>
      <w:pPr>
        <w:ind w:left="540" w:right="240" w:hanging="424"/>
        <w:spacing w:after="0" w:line="26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84,363,406 shares held of record by Bull Holdco L.P., a Delaware limited partnership (“Bull Holdco”) and (ii) 21,053,909 shares held of record by Bull Co-Invest L.P., a Delaware limited partnership (“Bull Co-Invest”).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58" w:lineRule="auto"/>
        <w:rPr>
          <w:sz w:val="20"/>
          <w:szCs w:val="20"/>
          <w:color w:val="auto"/>
        </w:rPr>
      </w:pPr>
      <w:r>
        <w:rPr>
          <w:rFonts w:ascii="Times New Roman" w:cs="Times New Roman" w:eastAsia="Times New Roman" w:hAnsi="Times New Roman"/>
          <w:sz w:val="18"/>
          <w:szCs w:val="18"/>
          <w:color w:val="auto"/>
        </w:rPr>
        <w:t>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spacing w:after="0" w:line="75" w:lineRule="exact"/>
        <w:rPr>
          <w:sz w:val="20"/>
          <w:szCs w:val="20"/>
          <w:color w:val="auto"/>
        </w:rPr>
      </w:pPr>
    </w:p>
    <w:p>
      <w:pPr>
        <w:ind w:left="560" w:right="20"/>
        <w:spacing w:after="0" w:line="251" w:lineRule="auto"/>
        <w:rPr>
          <w:sz w:val="20"/>
          <w:szCs w:val="20"/>
          <w:color w:val="auto"/>
        </w:rPr>
      </w:pPr>
      <w:r>
        <w:rPr>
          <w:rFonts w:ascii="Times New Roman" w:cs="Times New Roman" w:eastAsia="Times New Roman" w:hAnsi="Times New Roman"/>
          <w:sz w:val="18"/>
          <w:szCs w:val="18"/>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w:t>
      </w:r>
    </w:p>
    <w:p>
      <w:pPr>
        <w:spacing w:after="0" w:line="11" w:lineRule="exact"/>
        <w:rPr>
          <w:sz w:val="20"/>
          <w:szCs w:val="20"/>
          <w:color w:val="auto"/>
        </w:rPr>
      </w:pPr>
    </w:p>
    <w:p>
      <w:pPr>
        <w:ind w:left="540" w:right="8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76,773 shares of common stock, of which 8,638 shares are restricted and remain subject to vesting.</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and/or the selling stockholders may offer and sell the securities covered by this prospectus from time to time, in one or more or any combination of the following transactions:</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filed with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securities at a stipulated price per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under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including in a block trade in which a broker-dealer will attempt to sell the offered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At any time a particular offering of securities covered by this prospectus is made, a revised prospectus or prospectus supplement, if required, will set forth the amount of securities covered by this prospectus being offered and terms of the offering, including:</w:t>
      </w:r>
    </w:p>
    <w:p>
      <w:pPr>
        <w:spacing w:after="0" w:line="67" w:lineRule="exact"/>
        <w:rPr>
          <w:sz w:val="20"/>
          <w:szCs w:val="20"/>
          <w:color w:val="auto"/>
        </w:rPr>
      </w:pPr>
    </w:p>
    <w:p>
      <w:pPr>
        <w:ind w:left="1080" w:right="3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brokers or agents and the amounts of securities underwritten or purchased by each of them;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if a fixed price offering, and the proceeds to us or any selling stockholders and, to the extent required, any discounts, commissions or concessions allowed or reallowed or paid to dealers.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320" w:top="455"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w:t>
      </w:r>
    </w:p>
    <w:p>
      <w:pPr>
        <w:spacing w:after="0" w:line="187"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http://investors.soterahealth.com. Information accessible on or through our website is not a part of this prospectus.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40"/>
          </w:cols>
          <w:pgMar w:left="320" w:top="455"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spacing w:after="0" w:line="89"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27, 2024;</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87">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w:t>
      </w:r>
      <w:hyperlink r:id="rId88">
        <w:r>
          <w:rPr>
            <w:rFonts w:ascii="Times New Roman" w:cs="Times New Roman" w:eastAsia="Times New Roman" w:hAnsi="Times New Roman"/>
            <w:sz w:val="18"/>
            <w:szCs w:val="18"/>
            <w:u w:val="single" w:color="auto"/>
            <w:color w:val="0000EE"/>
          </w:rPr>
          <w:t>April 13,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(solely to the extent specifically incorporated by reference into our Annual Report on </w:t>
      </w:r>
      <w:hyperlink r:id="rId8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w:t>
      </w:r>
    </w:p>
    <w:p>
      <w:pPr>
        <w:spacing w:after="0" w:line="176"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76" w:lineRule="exact"/>
        <w:rPr>
          <w:rFonts w:ascii="Times New Roman" w:cs="Times New Roman" w:eastAsia="Times New Roman" w:hAnsi="Times New Roman"/>
          <w:sz w:val="18"/>
          <w:szCs w:val="18"/>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w:t>
      </w:r>
    </w:p>
    <w:p>
      <w:pPr>
        <w:spacing w:after="0" w:line="176" w:lineRule="exact"/>
        <w:rPr>
          <w:rFonts w:ascii="Times New Roman" w:cs="Times New Roman" w:eastAsia="Times New Roman" w:hAnsi="Times New Roman"/>
          <w:sz w:val="18"/>
          <w:szCs w:val="18"/>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will not be sent, however, unless those exhibits have been specifically referenced in this prospectus.</w:t>
      </w:r>
    </w:p>
    <w:p>
      <w:pPr>
        <w:spacing w:after="0" w:line="94" w:lineRule="exact"/>
        <w:rPr>
          <w:rFonts w:ascii="Times New Roman" w:cs="Times New Roman" w:eastAsia="Times New Roman" w:hAnsi="Times New Roman"/>
          <w:sz w:val="18"/>
          <w:szCs w:val="18"/>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w:t>
      </w:r>
    </w:p>
    <w:p>
      <w:pPr>
        <w:spacing w:after="0" w:line="1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360"/>
          </w:cols>
          <w:pgMar w:left="320" w:top="455" w:right="12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60"/>
        <w:spacing w:after="0"/>
        <w:tabs>
          <w:tab w:leader="none" w:pos="5940" w:val="left"/>
        </w:tabs>
        <w:rPr>
          <w:sz w:val="20"/>
          <w:szCs w:val="20"/>
          <w:color w:val="auto"/>
        </w:rPr>
      </w:pPr>
      <w:r>
        <w:rPr>
          <w:rFonts w:ascii="Times New Roman" w:cs="Times New Roman" w:eastAsia="Times New Roman" w:hAnsi="Times New Roman"/>
          <w:sz w:val="29"/>
          <w:szCs w:val="29"/>
          <w:b w:val="1"/>
          <w:bCs w:val="1"/>
          <w:color w:val="auto"/>
        </w:rPr>
        <w:t xml:space="preserve">             </w:t>
        <w:tab/>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344170</wp:posOffset>
            </wp:positionV>
            <wp:extent cx="1251585" cy="428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2515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140" w:right="3019" w:firstLine="539"/>
        <w:spacing w:after="0" w:line="850" w:lineRule="auto"/>
        <w:tabs>
          <w:tab w:leader="none" w:pos="4934" w:val="left"/>
        </w:tabs>
        <w:numPr>
          <w:ilvl w:val="0"/>
          <w:numId w:val="37"/>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 2025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1134110</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1194435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lvl w:ilvl="1">
      <w:lvlJc w:val="left"/>
      <w:lvlText w:val="•"/>
      <w:numFmt w:val="bullet"/>
      <w:start w:val="1"/>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6"/>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3"/>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3"/>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Roman"/>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3"/>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3"/>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jpe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jpe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56" Type="http://schemas.openxmlformats.org/officeDocument/2006/relationships/hyperlink" Target="http://www.sec.gov/ix?doc=/Archives/edgar/data/1822479/000182247925000015/shc-20241231.htm" TargetMode="External"/><Relationship Id="rId57" Type="http://schemas.openxmlformats.org/officeDocument/2006/relationships/hyperlink" Target="http://www.sec.gov/ix?doc=/Archives/edgar/data/1822479/000182247925000025/shc-20250331.htm" TargetMode="External"/><Relationship Id="rId58" Type="http://schemas.openxmlformats.org/officeDocument/2006/relationships/hyperlink" Target="http://www.sec.gov/ix?doc=/Archives/edgar/data/1822479/000182247925000044/shc-20250630.htm" TargetMode="External"/><Relationship Id="rId59" Type="http://schemas.openxmlformats.org/officeDocument/2006/relationships/hyperlink" Target="http://www.sec.gov/ix?doc=/Archives/edgar/data/1822479/000182247925000003/shc-20250102.htm" TargetMode="External"/><Relationship Id="rId60" Type="http://schemas.openxmlformats.org/officeDocument/2006/relationships/hyperlink" Target="http://www.sec.gov/ix?doc=/Archives/edgar/data/1822479/000182247925000028/shc-20250521.htm" TargetMode="External"/><Relationship Id="rId61" Type="http://schemas.openxmlformats.org/officeDocument/2006/relationships/hyperlink" Target="http://www.sec.gov/ix?doc=/Archives/edgar/data/1822479/000110465925033563/tm253344-4_def14a.htm" TargetMode="External"/><Relationship Id="rId62" Type="http://schemas.openxmlformats.org/officeDocument/2006/relationships/hyperlink" Target="http://www.sec.gov/Archives/edgar/data/1822479/000110465925044107/tm2513916d1_defa14a.htm" TargetMode="External"/><Relationship Id="rId86" Type="http://schemas.openxmlformats.org/officeDocument/2006/relationships/hyperlink" Target="http://www.sec.gov/Archives/edgar/data/1822479/000182247924000011/shc-20231231.htm" TargetMode="External"/><Relationship Id="rId87" Type="http://schemas.openxmlformats.org/officeDocument/2006/relationships/hyperlink" Target="http://www.sec.gov/ix?doc=/Archives/edgar/data/1822479/000119312523099939/d425483ddef14a.htm" TargetMode="External"/><Relationship Id="rId88" Type="http://schemas.openxmlformats.org/officeDocument/2006/relationships/hyperlink" Target="http://www.sec.gov/Archives/edgar/data/1822479/000119312523099939/d425483ddef14a.htm" TargetMode="External"/><Relationship Id="rId89" Type="http://schemas.openxmlformats.org/officeDocument/2006/relationships/hyperlink" Target="http://www.sec.gov/ix?doc=/Archives/edgar/data/1822479/000182247923000015/shc-2022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2025-09-03T16:27:13Z</dcterms:created>
  <dcterms:modified xsi:type="dcterms:W3CDTF">2025-09-03T16:27:13Z</dcterms:modified>
</cp:coreProperties>
</file>