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Sotera Health Company</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(Titles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83601L 102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right="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w:t>
      </w:r>
    </w:p>
    <w:p>
      <w:pPr>
        <w:spacing w:after="0" w:line="46"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517"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WP XI, L.P.</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8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U.S. Securities and Exchange Commission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Private Equity XI,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7"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XI Partners,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Private Equity XI-B,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Private Equity XI-C,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Bull Co-Invest,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7"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7" w:name="page8"/>
    <w:bookmarkEnd w:id="7"/>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Private XI,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7"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8" w:name="page9"/>
    <w:bookmarkEnd w:id="8"/>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WP Global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7"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201.</w:t>
      </w:r>
    </w:p>
    <w:p>
      <w:pPr>
        <w:sectPr>
          <w:pgSz w:w="11900" w:h="16838" w:orient="portrait"/>
          <w:cols w:equalWidth="0" w:num="1">
            <w:col w:w="10964"/>
          </w:cols>
          <w:pgMar w:left="436" w:top="274" w:right="499" w:bottom="1440" w:gutter="0" w:footer="0" w:header="0"/>
        </w:sectPr>
      </w:pPr>
    </w:p>
    <w:bookmarkStart w:id="9" w:name="page10"/>
    <w:bookmarkEnd w:id="9"/>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Partners II,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7"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0" w:name="page11"/>
    <w:bookmarkEnd w:id="10"/>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Partners II Holdings,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1" w:name="page12"/>
    <w:bookmarkEnd w:id="11"/>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Partners GP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2" w:name="page13"/>
    <w:bookmarkEnd w:id="12"/>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&amp; Co.</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New York</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3" w:name="page14"/>
    <w:bookmarkEnd w:id="13"/>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13G</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83601L 102</w:t>
      </w:r>
    </w:p>
    <w:p>
      <w:pPr>
        <w:spacing w:after="0" w:line="144" w:lineRule="exact"/>
        <w:rPr>
          <w:sz w:val="20"/>
          <w:szCs w:val="20"/>
          <w:color w:val="auto"/>
        </w:rPr>
      </w:pPr>
    </w:p>
    <w:p>
      <w:pPr>
        <w:ind w:left="784" w:hanging="537"/>
        <w:spacing w:after="0"/>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784"/>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6926580" cy="5657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657850"/>
                    </a:xfrm>
                    <a:prstGeom prst="rect">
                      <a:avLst/>
                    </a:prstGeom>
                    <a:noFill/>
                  </pic:spPr>
                </pic:pic>
              </a:graphicData>
            </a:graphic>
          </wp:anchor>
        </w:drawing>
      </w:r>
    </w:p>
    <w:p>
      <w:pPr>
        <w:spacing w:after="0" w:line="218" w:lineRule="exact"/>
        <w:rPr>
          <w:sz w:val="20"/>
          <w:szCs w:val="20"/>
          <w:color w:val="auto"/>
        </w:rPr>
      </w:pPr>
    </w:p>
    <w:p>
      <w:pPr>
        <w:ind w:left="784"/>
        <w:spacing w:after="0"/>
        <w:rPr>
          <w:sz w:val="20"/>
          <w:szCs w:val="20"/>
          <w:color w:val="auto"/>
        </w:rPr>
      </w:pPr>
      <w:r>
        <w:rPr>
          <w:rFonts w:ascii="Arial" w:cs="Arial" w:eastAsia="Arial" w:hAnsi="Arial"/>
          <w:sz w:val="18"/>
          <w:szCs w:val="18"/>
          <w:color w:val="auto"/>
        </w:rPr>
        <w:t>Warburg Pincus (Cayman) XI, L.P.</w:t>
      </w:r>
    </w:p>
    <w:p>
      <w:pPr>
        <w:spacing w:after="0" w:line="36" w:lineRule="exact"/>
        <w:rPr>
          <w:sz w:val="20"/>
          <w:szCs w:val="20"/>
          <w:color w:val="auto"/>
        </w:rPr>
      </w:pPr>
    </w:p>
    <w:p>
      <w:pPr>
        <w:ind w:left="784" w:hanging="537"/>
        <w:spacing w:after="0"/>
        <w:tabs>
          <w:tab w:leader="none" w:pos="7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064" w:hanging="286"/>
        <w:spacing w:after="0" w:line="207" w:lineRule="exact"/>
        <w:tabs>
          <w:tab w:leader="none" w:pos="1064"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color w:val="auto"/>
        </w:rPr>
      </w:pPr>
    </w:p>
    <w:p>
      <w:pPr>
        <w:ind w:left="1084" w:hanging="306"/>
        <w:spacing w:after="0" w:line="207" w:lineRule="exact"/>
        <w:tabs>
          <w:tab w:leader="none" w:pos="1084"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12" w:lineRule="exact"/>
        <w:rPr>
          <w:sz w:val="20"/>
          <w:szCs w:val="20"/>
          <w:color w:val="auto"/>
        </w:rPr>
      </w:pPr>
    </w:p>
    <w:p>
      <w:pPr>
        <w:ind w:left="784" w:hanging="537"/>
        <w:spacing w:after="0"/>
        <w:tabs>
          <w:tab w:leader="none" w:pos="7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4" w:hanging="537"/>
        <w:spacing w:after="0"/>
        <w:tabs>
          <w:tab w:leader="none" w:pos="7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4"/>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p>
      <w:pPr>
        <w:ind w:left="2024" w:hanging="404"/>
        <w:spacing w:after="0"/>
        <w:tabs>
          <w:tab w:leader="none" w:pos="20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360" w:type="dxa"/>
            <w:vAlign w:val="bottom"/>
          </w:tcPr>
          <w:p>
            <w:pPr>
              <w:jc w:val="right"/>
              <w:ind w:right="70"/>
              <w:spacing w:after="0" w:line="162" w:lineRule="exact"/>
              <w:rPr>
                <w:sz w:val="20"/>
                <w:szCs w:val="20"/>
                <w:color w:val="auto"/>
              </w:rPr>
            </w:pPr>
            <w:r>
              <w:rPr>
                <w:rFonts w:ascii="Arial" w:cs="Arial" w:eastAsia="Arial" w:hAnsi="Arial"/>
                <w:sz w:val="18"/>
                <w:szCs w:val="18"/>
                <w:color w:val="auto"/>
              </w:rPr>
              <w:t>6</w:t>
            </w:r>
          </w:p>
        </w:tc>
        <w:tc>
          <w:tcPr>
            <w:tcW w:w="9040" w:type="dxa"/>
            <w:vAlign w:val="bottom"/>
          </w:tcPr>
          <w:p>
            <w:pPr>
              <w:ind w:left="1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36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102"/>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8"/>
                <w:szCs w:val="8"/>
                <w:color w:val="auto"/>
              </w:rPr>
            </w:pPr>
          </w:p>
        </w:tc>
        <w:tc>
          <w:tcPr>
            <w:tcW w:w="90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00" w:type="dxa"/>
            <w:vAlign w:val="bottom"/>
            <w:vMerge w:val="continue"/>
          </w:tcPr>
          <w:p>
            <w:pPr>
              <w:spacing w:after="0"/>
              <w:rPr>
                <w:sz w:val="8"/>
                <w:szCs w:val="8"/>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vMerge w:val="continue"/>
          </w:tcPr>
          <w:p>
            <w:pPr>
              <w:spacing w:after="0"/>
              <w:rPr>
                <w:sz w:val="11"/>
                <w:szCs w:val="11"/>
                <w:color w:val="auto"/>
              </w:rPr>
            </w:pPr>
          </w:p>
        </w:tc>
        <w:tc>
          <w:tcPr>
            <w:tcW w:w="9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2"/>
              </w:rPr>
              <w:t>PERSON</w:t>
            </w:r>
          </w:p>
        </w:tc>
        <w:tc>
          <w:tcPr>
            <w:tcW w:w="360" w:type="dxa"/>
            <w:vAlign w:val="bottom"/>
            <w:tcBorders>
              <w:bottom w:val="single" w:sz="8" w:color="auto"/>
            </w:tcBorders>
          </w:tcPr>
          <w:p>
            <w:pPr>
              <w:spacing w:after="0"/>
              <w:rPr>
                <w:sz w:val="13"/>
                <w:szCs w:val="13"/>
                <w:color w:val="auto"/>
              </w:rPr>
            </w:pPr>
          </w:p>
        </w:tc>
        <w:tc>
          <w:tcPr>
            <w:tcW w:w="9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300" w:type="dxa"/>
            <w:vAlign w:val="bottom"/>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84" w:right="3640" w:hanging="537"/>
        <w:spacing w:after="0" w:line="528" w:lineRule="auto"/>
        <w:tabs>
          <w:tab w:leader="none" w:pos="7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175,695,524</w:t>
      </w:r>
    </w:p>
    <w:p>
      <w:pPr>
        <w:spacing w:after="0" w:line="2" w:lineRule="exact"/>
        <w:rPr>
          <w:sz w:val="20"/>
          <w:szCs w:val="20"/>
          <w:color w:val="auto"/>
        </w:rPr>
      </w:pPr>
    </w:p>
    <w:p>
      <w:pPr>
        <w:ind w:left="784" w:hanging="627"/>
        <w:spacing w:after="0" w:line="207" w:lineRule="exact"/>
        <w:tabs>
          <w:tab w:leader="none" w:pos="7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71" w:lineRule="exact"/>
        <w:rPr>
          <w:rFonts w:ascii="Arial" w:cs="Arial" w:eastAsia="Arial" w:hAnsi="Arial"/>
          <w:sz w:val="18"/>
          <w:szCs w:val="18"/>
          <w:color w:val="auto"/>
        </w:rPr>
      </w:pPr>
    </w:p>
    <w:p>
      <w:pPr>
        <w:ind w:left="784" w:right="5240" w:hanging="627"/>
        <w:spacing w:after="0" w:line="397" w:lineRule="auto"/>
        <w:tabs>
          <w:tab w:leader="none" w:pos="7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62.1% (2)</w:t>
      </w:r>
    </w:p>
    <w:p>
      <w:pPr>
        <w:spacing w:after="0" w:line="1" w:lineRule="exact"/>
        <w:rPr>
          <w:rFonts w:ascii="Arial" w:cs="Arial" w:eastAsia="Arial" w:hAnsi="Arial"/>
          <w:sz w:val="18"/>
          <w:szCs w:val="18"/>
          <w:color w:val="auto"/>
        </w:rPr>
      </w:pPr>
    </w:p>
    <w:p>
      <w:pPr>
        <w:ind w:left="784" w:right="7680" w:hanging="627"/>
        <w:spacing w:after="0" w:line="547" w:lineRule="auto"/>
        <w:tabs>
          <w:tab w:leader="none" w:pos="7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1" w:lineRule="exact"/>
        <w:rPr>
          <w:rFonts w:ascii="Arial" w:cs="Arial" w:eastAsia="Arial" w:hAnsi="Arial"/>
          <w:sz w:val="18"/>
          <w:szCs w:val="18"/>
          <w:color w:val="auto"/>
        </w:rPr>
      </w:pPr>
    </w:p>
    <w:p>
      <w:pPr>
        <w:ind w:left="424" w:hanging="424"/>
        <w:spacing w:after="0" w:line="267" w:lineRule="auto"/>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4" w:name="page15"/>
    <w:bookmarkEnd w:id="14"/>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XI-C,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5" w:name="page16"/>
    <w:bookmarkEnd w:id="15"/>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Partners II (Cayman),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6" w:name="page17"/>
    <w:bookmarkEnd w:id="16"/>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Partners II Holdings (Cayman),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7" w:name="page18"/>
    <w:bookmarkEnd w:id="17"/>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WPP II Administrative (Cayman),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7"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8" w:name="page19"/>
    <w:bookmarkEnd w:id="18"/>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2"/>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(Bermuda) Private Equity GP,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Bermuda</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7" w:lineRule="auto"/>
        <w:tabs>
          <w:tab w:leader="none" w:pos="4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19" w:name="page20"/>
    <w:bookmarkEnd w:id="19"/>
    <w:tbl>
      <w:tblPr>
        <w:tblLayout w:type="fixed"/>
        <w:tblInd w:w="14"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ind w:left="35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83601L 102</w:t>
            </w:r>
          </w:p>
        </w:tc>
        <w:tc>
          <w:tcPr>
            <w:tcW w:w="0" w:type="dxa"/>
            <w:vAlign w:val="bottom"/>
          </w:tcPr>
          <w:p>
            <w:pPr>
              <w:spacing w:after="0"/>
              <w:rPr>
                <w:sz w:val="1"/>
                <w:szCs w:val="1"/>
                <w:color w:val="auto"/>
              </w:rPr>
            </w:pPr>
          </w:p>
        </w:tc>
      </w:tr>
      <w:tr>
        <w:trPr>
          <w:trHeight w:val="121"/>
        </w:trPr>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320" w:type="dxa"/>
            <w:vAlign w:val="bottom"/>
            <w:tcBorders>
              <w:bottom w:val="single" w:sz="8" w:color="auto"/>
            </w:tcBorders>
            <w:gridSpan w:val="2"/>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48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Warburg Pincus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105,417,315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175,695,524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62.1%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7" w:lineRule="auto"/>
        <w:tabs>
          <w:tab w:leader="none" w:pos="4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WP Investors are party to a Stockholders Agreement with the GTCR Investors and certain other holders of Common Stock of the Issuer. The WP Investors, together with the GTCR Investors, hold an aggregate total of 175,695,524 shares of Common Stock of the Issuer (approximately 62.1% of the outstanding shares of Common Stock of the Issuer), of which 70,278,209 shares of Common Stock are publicly reported as being owned by the GTCR Investors in such entities’ Form 4, filed with the Commission on March 24, 2021.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74" w:right="499" w:bottom="1440" w:gutter="0" w:footer="0" w:header="0"/>
        </w:sectPr>
      </w:pPr>
    </w:p>
    <w:bookmarkStart w:id="20" w:name="page21"/>
    <w:bookmarkEnd w:id="20"/>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issuer is Sotera Health Company, a Delaware corporation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principal executive offices of the Issuer are located at 9100 South Hills Blvd, Suite 300 Broadview Heights, Ohio 44147.</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980" w:right="60"/>
        <w:spacing w:after="0" w:line="284" w:lineRule="auto"/>
        <w:rPr>
          <w:sz w:val="20"/>
          <w:szCs w:val="20"/>
          <w:color w:val="auto"/>
        </w:rPr>
      </w:pPr>
      <w:r>
        <w:rPr>
          <w:rFonts w:ascii="Arial" w:cs="Arial" w:eastAsia="Arial" w:hAnsi="Arial"/>
          <w:sz w:val="16"/>
          <w:szCs w:val="16"/>
          <w:color w:val="auto"/>
        </w:rPr>
        <w:t>This Amendment No. 1 to Schedule 13G is being filed jointly by (i) Warburg Pincus Private Equity XI, L.P., a Delaware limited partnership (“WP XI”), (ii) Warburg Pincus XI Partners, L.P., a Delaware limited partnership (“Warburg Pincus XI Partners”), (iii) WP XI Partners, L.P., a Delaware limited partnership (“WP XI Partners”), (iv) Warburg Pincus Private Equity XI-B, L.P., a Delaware limited partnership (“WP XI-B”, and together with WP XI, Warburg Pincus XI Partners and WP XI Partners, the “WP XI Funds”), (v) Warburg Pincus Private Equity XI-C, L.P., a Delaware limited partnership (“WP XI-C”), (vi) Bull Co-Invest L.P., a Delaware limited partnership (“Bull Co-Invest”), (vii) Warburg Pincus XI, L.P., a Delaware limited partnership (“WP XI LP”), which is the general partner of the WP XI Funds, (viii) WP Global LLC, a Delaware limited liability company (“WP Global”), which is the general partner of WP XI LP,</w:t>
      </w:r>
    </w:p>
    <w:p>
      <w:pPr>
        <w:spacing w:after="0" w:line="2" w:lineRule="exact"/>
        <w:rPr>
          <w:sz w:val="20"/>
          <w:szCs w:val="20"/>
          <w:color w:val="auto"/>
        </w:rPr>
      </w:pPr>
    </w:p>
    <w:p>
      <w:pPr>
        <w:ind w:left="980" w:right="360" w:firstLine="7"/>
        <w:spacing w:after="0" w:line="281" w:lineRule="auto"/>
        <w:tabs>
          <w:tab w:leader="none" w:pos="12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Warburg Pincus Partners II, L.P., a Delaware limited partnership (“WPP II”) which is the managing member of WP Global, (x) Warburg Pincus Partners II Holdings, L.P., a Delaware limited partnership (“WPP II Holdings”), which is a limited partner of WPP II,</w:t>
      </w:r>
    </w:p>
    <w:p>
      <w:pPr>
        <w:spacing w:after="0" w:line="1" w:lineRule="exact"/>
        <w:rPr>
          <w:rFonts w:ascii="Arial" w:cs="Arial" w:eastAsia="Arial" w:hAnsi="Arial"/>
          <w:sz w:val="16"/>
          <w:szCs w:val="16"/>
          <w:color w:val="auto"/>
        </w:rPr>
      </w:pPr>
    </w:p>
    <w:p>
      <w:pPr>
        <w:ind w:left="1280" w:hanging="293"/>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Warburg Pincus Partners GP LLC, a Delaware limited liability company (“WPP GP LLC”), which is the general partner of WPP,</w:t>
      </w:r>
    </w:p>
    <w:p>
      <w:pPr>
        <w:spacing w:after="0" w:line="20" w:lineRule="exact"/>
        <w:rPr>
          <w:rFonts w:ascii="Arial" w:cs="Arial" w:eastAsia="Arial" w:hAnsi="Arial"/>
          <w:sz w:val="17"/>
          <w:szCs w:val="17"/>
          <w:color w:val="auto"/>
        </w:rPr>
      </w:pPr>
    </w:p>
    <w:p>
      <w:pPr>
        <w:ind w:left="1340" w:hanging="353"/>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Warburg Pincus &amp; Co. a New York corporation (“WP”), which is the managing member of WPP GP LLC, (xiii) Warburg Pincus</w:t>
      </w:r>
    </w:p>
    <w:p>
      <w:pPr>
        <w:spacing w:after="0" w:line="20" w:lineRule="exact"/>
        <w:rPr>
          <w:rFonts w:ascii="Arial" w:cs="Arial" w:eastAsia="Arial" w:hAnsi="Arial"/>
          <w:sz w:val="17"/>
          <w:szCs w:val="17"/>
          <w:color w:val="auto"/>
        </w:rPr>
      </w:pPr>
    </w:p>
    <w:p>
      <w:pPr>
        <w:ind w:left="980"/>
        <w:spacing w:after="0" w:line="267" w:lineRule="auto"/>
        <w:rPr>
          <w:rFonts w:ascii="Arial" w:cs="Arial" w:eastAsia="Arial" w:hAnsi="Arial"/>
          <w:sz w:val="17"/>
          <w:szCs w:val="17"/>
          <w:color w:val="auto"/>
        </w:rPr>
      </w:pPr>
      <w:r>
        <w:rPr>
          <w:rFonts w:ascii="Arial" w:cs="Arial" w:eastAsia="Arial" w:hAnsi="Arial"/>
          <w:sz w:val="17"/>
          <w:szCs w:val="17"/>
          <w:color w:val="auto"/>
        </w:rPr>
        <w:t>(Cayman) XI, L.P., a Cayman Islands limited partnership (“WP Cayman”), which is the general partner of WP XI-C, (xiv) Warburg Pincus XI-C, LLC, a Delaware limited liability company (“Warburg Pincus XI-C”), which is the general partner of WP Cayman, (xv) Warburg Pincus Partners II (Cayman), L.P., a Cayman Islands limited partnership (“WPP II Cayman”), which is the sole member of Warburg Pincus XI-C, (xvi) Warburg Pincus Partners II Holdings (Cayman), L.P., a Cayman Islands limited partnership (“WPP II Holdings Cayman”), which is a limited partner of WPP II Cayman, (xvii) WPP II Administrative (Cayman), LLC, a Cayman Islands limited liability company (“WPP II Administrative”), (xviii) Warburg Pincus (Bermuda) Private Equity GP Ltd., a Bermuda limited company (“Warburg Pincus (Bermuda)”), which is the general partner of WPP II Cayman and the managing member of WPP II Administrative, and (xix) Warburg Pincus LLC, a Delaware limited liability company (“WP LLC”) is the manager of the WP XI Funds and WP XI-C. WP Bull Manager, LLC (“WP Bull Manager”) is the general partner of Bull Co-Invest, and WP is the managing member of WP Bull Manager, LLC. The WP XI Funds, Bull Co-Invest, WP XI-C, WP XI LP, WP Global, WPP II, WPP II Holdings, WPP GP LLC, WP Cayman, Warburg Pincus XI-C, WPP II Cayman, WPP II Holdings Cayman, WPP II Administrative, Warburg Pincus (Bermuda), WP Bull Manager, WP LLC and WP are collectively referred to herein as the “Warburg Pincus Reporting Persons.”</w:t>
      </w:r>
    </w:p>
    <w:p>
      <w:pPr>
        <w:spacing w:after="0" w:line="76" w:lineRule="exact"/>
        <w:rPr>
          <w:sz w:val="20"/>
          <w:szCs w:val="20"/>
          <w:color w:val="auto"/>
        </w:rPr>
      </w:pPr>
    </w:p>
    <w:p>
      <w:pPr>
        <w:ind w:left="980" w:right="60"/>
        <w:spacing w:after="0" w:line="255" w:lineRule="auto"/>
        <w:rPr>
          <w:sz w:val="20"/>
          <w:szCs w:val="20"/>
          <w:color w:val="auto"/>
        </w:rPr>
      </w:pPr>
      <w:r>
        <w:rPr>
          <w:rFonts w:ascii="Arial" w:cs="Arial" w:eastAsia="Arial" w:hAnsi="Arial"/>
          <w:sz w:val="18"/>
          <w:szCs w:val="18"/>
          <w:color w:val="auto"/>
        </w:rPr>
        <w:t>Effective August 5, 2021, the Warburg Pincus Sponsors (as defined below), other than Bull Co-Invest, distributed their shares of Common Stock of the Issuer (the “Contributed Shares”) to Bull Holdco L.P., a Delaware limited partnership (“Bull Holdco”), pursuant to the terms of a Contribution and Exchange Agreement among such persons and Bull Holdco. The Warburg Pincus Sponsors (other than Bull Co-Invest) share limited partnership ownership in Bull Holdco on a pro rata basis in accordance with their respective numbers of Contributed Shares. WP Bull Holdco GP LLC, a Delaware limited liability company, is the general partner of Bull Holdco, and WP XI is the sole member of WP Bull Holdco GP LLC.</w:t>
      </w:r>
    </w:p>
    <w:p>
      <w:pPr>
        <w:spacing w:after="0" w:line="3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principal business address of each of the Warburg Pincus Reporting Persons is 450 Lexington Avenue, New York, New York 10017.</w:t>
      </w: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2(a).</w:t>
      </w:r>
    </w:p>
    <w:p>
      <w:pPr>
        <w:sectPr>
          <w:pgSz w:w="11900" w:h="16838" w:orient="portrait"/>
          <w:cols w:equalWidth="0" w:num="1">
            <w:col w:w="11000"/>
          </w:cols>
          <w:pgMar w:left="440" w:top="270" w:right="459" w:bottom="1440" w:gutter="0" w:footer="0" w:header="0"/>
        </w:sectPr>
      </w:pPr>
    </w:p>
    <w:bookmarkStart w:id="21" w:name="page22"/>
    <w:bookmarkEnd w:id="2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2(d).</w:t>
      </w:r>
      <w:r>
        <w:rPr>
          <w:sz w:val="20"/>
          <w:szCs w:val="20"/>
          <w:color w:val="auto"/>
        </w:rPr>
        <w:tab/>
      </w:r>
      <w:r>
        <w:rPr>
          <w:rFonts w:ascii="Arial" w:cs="Arial" w:eastAsia="Arial" w:hAnsi="Arial"/>
          <w:sz w:val="15"/>
          <w:szCs w:val="15"/>
          <w:b w:val="1"/>
          <w:bCs w:val="1"/>
          <w:color w:val="auto"/>
        </w:rPr>
        <w:t>Titles of Classes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$0.01 per share (the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83601L 102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a(n):</w:t>
      </w:r>
    </w:p>
    <w:p>
      <w:pPr>
        <w:spacing w:after="0" w:line="135" w:lineRule="exact"/>
        <w:rPr>
          <w:sz w:val="20"/>
          <w:szCs w:val="20"/>
          <w:color w:val="auto"/>
        </w:rPr>
      </w:pPr>
    </w:p>
    <w:p>
      <w:pPr>
        <w:ind w:left="1420" w:hanging="439"/>
        <w:spacing w:after="0"/>
        <w:tabs>
          <w:tab w:leader="none" w:pos="142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98" w:lineRule="exact"/>
        <w:rPr>
          <w:sz w:val="20"/>
          <w:szCs w:val="20"/>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 (15 U.S.C. 78o).</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 (15 U.S.C. 78c).</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 (15 U.S.C. 78c).</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§240.13d-1(b)(1)(ii)(E).</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§240.13d-1(b)(1)(ii)(F).</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§240.13d-1(b)(1)(ii)(G).</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(13 U.S.C. 1813).</w:t>
      </w:r>
    </w:p>
    <w:p>
      <w:pPr>
        <w:spacing w:after="0" w:line="130" w:lineRule="exact"/>
        <w:rPr>
          <w:rFonts w:ascii="Arial" w:cs="Arial" w:eastAsia="Arial" w:hAnsi="Arial"/>
          <w:sz w:val="18"/>
          <w:szCs w:val="18"/>
          <w:color w:val="auto"/>
        </w:rPr>
      </w:pPr>
    </w:p>
    <w:p>
      <w:pPr>
        <w:ind w:left="1420" w:right="180" w:hanging="439"/>
        <w:spacing w:after="0" w:line="239"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(15 U.S.C. 80a-3).</w:t>
      </w:r>
    </w:p>
    <w:p>
      <w:pPr>
        <w:spacing w:after="0" w:line="75"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§240. 13d-1(b)(1)(ii)(J).</w:t>
      </w:r>
    </w:p>
    <w:p>
      <w:pPr>
        <w:spacing w:after="0" w:line="130" w:lineRule="exact"/>
        <w:rPr>
          <w:rFonts w:ascii="Arial" w:cs="Arial" w:eastAsia="Arial" w:hAnsi="Arial"/>
          <w:sz w:val="18"/>
          <w:szCs w:val="18"/>
          <w:color w:val="auto"/>
        </w:rPr>
      </w:pPr>
    </w:p>
    <w:p>
      <w:pPr>
        <w:ind w:left="1420" w:hanging="439"/>
        <w:spacing w:after="0" w:line="207" w:lineRule="exact"/>
        <w:tabs>
          <w:tab w:leader="none" w:pos="142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filing as a non-U.S. institution in accordance with §240.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-10160</wp:posOffset>
            </wp:positionV>
            <wp:extent cx="457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5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information required by Items 4(a)-(c) is set forth in Rows 5-11 of the cover page hereto for each Warburg Pincus Reporting Person and is incorporated herein by reference for each such Warburg Pincus Reporting Person.</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On November 19, 2020, (i) the Issuer, (ii) Warburg Pincus Private Equity XI, L.P., Warburg Pincus Private Equity XI_B, L.P., Warburg Pincus Private Equity XI-C, L.P., WP XI Partners, L.P. and Bull Co-Invest (collectively, the “Warburg Pincus Sponsors”), (iii) GTCR Fund XI/A LP, GTCR Fund XI/C LP, and GTCR Co-Invest XI LP. (collectively, the “GTCR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Funds has agreed to vote the shares of Common Stock of the Issuer that each holds of record in a certain manner on matters related to the election of certain directors appointed by the Warburg Pincus Sponsors and the GTCR Sponsors. The Warburg Pincus Sponsors and the GTCR Sponsors hold an</w:t>
      </w:r>
    </w:p>
    <w:p>
      <w:pPr>
        <w:sectPr>
          <w:pgSz w:w="11900" w:h="16838" w:orient="portrait"/>
          <w:cols w:equalWidth="0" w:num="1">
            <w:col w:w="10940"/>
          </w:cols>
          <w:pgMar w:left="440" w:top="270" w:right="519" w:bottom="1440" w:gutter="0" w:footer="0" w:header="0"/>
        </w:sectPr>
      </w:pPr>
    </w:p>
    <w:bookmarkStart w:id="22" w:name="page23"/>
    <w:bookmarkEnd w:id="22"/>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total of 175,695,524 shares of Common Stock of the Issuer (approximately 62.1% of the outstanding shares of Common Stock of the Issuer), including 70,278,209 shares of Common Stock of the Issuer that are publicly reported as being owned by the GTCR Sponsors and 105,417,315 shares of Common Stock of the Issuer that are publicly reported as being owned by the Warburg Pincus Reporting Persons. The Warburg Pincus Reporting Persons are not entitled to any rights as a shareholder of the Issuer with respect to the shares of Common Stock of the Issuer beneficially owned by the Other Investors or the GTCR Sponsors except as expressly set forth in the Stockholders Agreement and the Warburg Pincus Reporting Persons do not have dispositive power over the Common Stock owned by the GTCR Sponsors.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 The number of shares of Common Stock of the Issuer owned by each Warburg Pincus Reporting Person as set forth in Rows 5 – 11 of their respective cover pages to this Schedule 13G does not reflect the aggregate shares of Common Stock of the Issuer owned by the Other Investors.</w:t>
      </w:r>
    </w:p>
    <w:p>
      <w:pPr>
        <w:spacing w:after="0" w:line="18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The aggregate total of 70,278,209 shares of Common Stock of the Issuer indicated in this Schedule 13G as being beneficially owned by the GTCR Sponsors is derived from the GTCR Sponsors’ Form 4, filed with the Commission on March 24, 2021, and is not purported to be an accurate representation of the GTCR Sponsors’ beneficial ownership as of the date of this Schedule 13G. The GTCR Sponsors are responsible for reporting their beneficial ownership of shares of Common Stock of the Issuer on their own behalf, and the Warburg Pincus Reporting Persons disclaim responsibility for reporting the shares of Common Stock of the Issuer beneficially owned by the GTCR Sponsors.</w:t>
      </w:r>
    </w:p>
    <w:p>
      <w:pPr>
        <w:spacing w:after="0" w:line="176"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The percentages used herein are calculated based upon the 282,916,909 shares of Common Stock of the Issuer outstanding as of November 3, 2021, as reported in the Issuer’s Form 10-Q filed with the Commission on November 10, 2021.</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Other than as set forth herein, no other person has the right to receive or the power to direct the receipt of dividends from, or the proceeds from the sale of, in excess of 5% of the total outstanding Common Stock.</w:t>
      </w:r>
    </w:p>
    <w:p>
      <w:pPr>
        <w:spacing w:after="0" w:line="315" w:lineRule="exact"/>
        <w:rPr>
          <w:sz w:val="20"/>
          <w:szCs w:val="20"/>
          <w:color w:val="auto"/>
        </w:rPr>
      </w:pPr>
    </w:p>
    <w:p>
      <w:pPr>
        <w:ind w:left="1084" w:right="56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 w:hanging="4"/>
        <w:spacing w:after="0" w:line="263" w:lineRule="auto"/>
        <w:tabs>
          <w:tab w:leader="none" w:pos="4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Warburg Pincus Reporting Persons are making this single, joint filing because they may be deemed to constitute a “group” within the meaning of the Exchange Act. The joint filing agreement among the Warburg Pincus Reporting Persons to file this Schedule 13G jointly in accordance with Rule 13d-1(k) of the Exchange Act is attached hereto as Exhibit 99.1.</w:t>
      </w:r>
    </w:p>
    <w:p>
      <w:pPr>
        <w:spacing w:after="0" w:line="183" w:lineRule="exact"/>
        <w:rPr>
          <w:rFonts w:ascii="Arial" w:cs="Arial" w:eastAsia="Arial" w:hAnsi="Arial"/>
          <w:sz w:val="18"/>
          <w:szCs w:val="18"/>
          <w:color w:val="auto"/>
        </w:rPr>
      </w:pPr>
    </w:p>
    <w:p>
      <w:pPr>
        <w:ind w:left="4" w:right="280" w:hanging="4"/>
        <w:spacing w:after="0" w:line="263" w:lineRule="auto"/>
        <w:tabs>
          <w:tab w:leader="none" w:pos="3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4"/>
          </w:cols>
          <w:pgMar w:left="436" w:top="274" w:right="4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EXHIBITS</w:t>
      </w:r>
    </w:p>
    <w:p>
      <w:pPr>
        <w:sectPr>
          <w:pgSz w:w="11900" w:h="16838" w:orient="portrait"/>
          <w:cols w:equalWidth="0" w:num="1">
            <w:col w:w="10019"/>
          </w:cols>
          <w:pgMar w:left="440" w:top="274" w:right="1440" w:bottom="1440" w:gutter="0" w:footer="0" w:header="0"/>
        </w:sectPr>
      </w:pPr>
    </w:p>
    <w:p>
      <w:pPr>
        <w:spacing w:after="0" w:line="255" w:lineRule="exact"/>
        <w:rPr>
          <w:sz w:val="20"/>
          <w:szCs w:val="20"/>
          <w:color w:val="auto"/>
        </w:rPr>
      </w:pPr>
    </w:p>
    <w:p>
      <w:pPr>
        <w:jc w:val="center"/>
        <w:ind w:right="45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5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spacing w:after="0" w:line="114" w:lineRule="exact"/>
        <w:rPr>
          <w:sz w:val="20"/>
          <w:szCs w:val="20"/>
          <w:color w:val="auto"/>
        </w:rPr>
      </w:pPr>
    </w:p>
    <w:p>
      <w:pPr>
        <w:sectPr>
          <w:pgSz w:w="11900" w:h="16838" w:orient="portrait"/>
          <w:cols w:equalWidth="0" w:num="2">
            <w:col w:w="5000" w:space="720"/>
            <w:col w:w="4299"/>
          </w:cols>
          <w:pgMar w:left="4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February 14, 2022.</w:t>
      </w:r>
    </w:p>
    <w:p>
      <w:pPr>
        <w:sectPr>
          <w:pgSz w:w="11900" w:h="16838" w:orient="portrait"/>
          <w:cols w:equalWidth="0" w:num="1">
            <w:col w:w="10019"/>
          </w:cols>
          <w:pgMar w:left="440" w:top="274" w:right="1440"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WARBURG PINCUS PRIVATE EQUITY XI,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WARBURG PINCUS XI PARTNERS,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WARBURG PINCUS PRIVATE EQUITY XI-B,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ectPr>
          <w:pgSz w:w="11900" w:h="16838" w:orient="portrait"/>
          <w:cols w:equalWidth="0" w:num="1">
            <w:col w:w="11020"/>
          </w:cols>
          <w:pgMar w:left="440" w:top="270" w:right="439" w:bottom="1440" w:gutter="0" w:footer="0" w:header="0"/>
        </w:sectPr>
      </w:pPr>
    </w:p>
    <w:bookmarkStart w:id="25" w:name="page26"/>
    <w:bookmarkEnd w:id="2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WP XI Partners,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PRIVATE EQUITY XI-C,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(Cayman) XI, L.P.,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XI-C,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(Cayman), L.P., its managing</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(Bermuda) Private Equity GP Ltd.,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BULL CO-INVEST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Bull Manager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XI,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ectPr>
          <w:pgSz w:w="11900" w:h="16838" w:orient="portrait"/>
          <w:cols w:equalWidth="0" w:num="1">
            <w:col w:w="10020"/>
          </w:cols>
          <w:pgMar w:left="1440" w:top="270" w:right="439" w:bottom="1440" w:gutter="0" w:footer="0" w:header="0"/>
        </w:sectPr>
      </w:pPr>
    </w:p>
    <w:bookmarkStart w:id="26" w:name="page27"/>
    <w:bookmarkEnd w:id="2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WP GLOBAL LLC</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II,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II HOLDINGS,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GP LLC</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&amp; CO.</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(CAYMAN) XI,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XI-C,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(Cayman), L.P., its managing</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(Bermuda) Private Equity GP Ltd.,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Authorised Signatory</w:t>
      </w:r>
    </w:p>
    <w:p>
      <w:pPr>
        <w:sectPr>
          <w:pgSz w:w="11900" w:h="16838" w:orient="portrait"/>
          <w:cols w:equalWidth="0" w:num="1">
            <w:col w:w="10020"/>
          </w:cols>
          <w:pgMar w:left="1440" w:top="270" w:right="439" w:bottom="1440" w:gutter="0" w:footer="0" w:header="0"/>
        </w:sectPr>
      </w:pPr>
    </w:p>
    <w:bookmarkStart w:id="27" w:name="page28"/>
    <w:bookmarkEnd w:id="2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WARBURG PINCUS XI-C, LLC</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(Cayman), L.P., its managing</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(Bermuda) Private Equity GP Ltd.,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II (CAYMAN),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(Bermuda) Private Equity GP Ltd.,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II HOLDINGS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(CAYMAN), L.P.</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WPP II Administrative (Cayman), LLC, its general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(Bermuda) Private Equity GP Ltd.,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WPP II ADMINISTRATIVE (CAYMAN), LLC</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(Bermuda) Private Equity GP Ltd.,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(BERMUDA) PRIVATE EQUITY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GP LTD.</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020"/>
          </w:cols>
          <w:pgMar w:left="1440" w:top="270"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accordance with Rule 13d-1(k)(1) promulgated under the Securities Exchange Act of 1934, as amended, the undersigned agree to the joint filing on behalf of each of them of a statement on Schedule 13G (including any and all amendments thereto) with respect to the Common Stock, $0.01 par value, of Sotera Health Company and further agree to the filing of this agreement to be included as an exhibit to such filing. In addition, each party to this agreement expressly authorizes each other party to this agreement to file on its behalf any and all amendments to such statement on Schedule 13G. Each party to this agreement agrees that this joint filing agreement may be signed in counterparts.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WARBURG PINCUS PRIVATE EQUITY XI,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WARBURG PINCUS XI PARTNERS,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ectPr>
          <w:pgSz w:w="11900" w:h="16838" w:orient="portrait"/>
          <w:cols w:equalWidth="0" w:num="1">
            <w:col w:w="11020"/>
          </w:cols>
          <w:pgMar w:left="440" w:top="121" w:right="43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WARBURG PINCUS PRIVATE EQUITY XI-B,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WP XI Partners,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 L.P.,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PRIVATE EQUITY XI-C,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(Cayman) XI, L.P.,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XI-C,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(Cayman), L.P., its managing</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(Bermuda) Private Equity GP Ltd.,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BULL CO-INVEST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Bull Manager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Partner</w:t>
      </w:r>
    </w:p>
    <w:p>
      <w:pPr>
        <w:sectPr>
          <w:pgSz w:w="11900" w:h="16838" w:orient="portrait"/>
          <w:cols w:equalWidth="0" w:num="1">
            <w:col w:w="10020"/>
          </w:cols>
          <w:pgMar w:left="1440" w:top="270" w:right="439" w:bottom="1440" w:gutter="0" w:footer="0" w:header="0"/>
        </w:sectPr>
      </w:pPr>
    </w:p>
    <w:bookmarkStart w:id="30" w:name="page31"/>
    <w:bookmarkEnd w:id="3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WARBURG PINCUS XI,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WP Global LLC, its general partner</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WP GLOBAL LLC</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Warburg Pincus Partners II, L.P., its managing member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II,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II HOLDINGS, L.P.</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Warburg Pincus Partners GP LLC, its general partner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PARTNERS GP LLC</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Warburg Pincus &amp; Co., its managing member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WARBURG PINCUS &amp; CO.</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Harsha Marti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Partner</w:t>
      </w:r>
    </w:p>
    <w:p>
      <w:pPr>
        <w:sectPr>
          <w:pgSz w:w="11900" w:h="16838" w:orient="portrait"/>
          <w:cols w:equalWidth="0" w:num="1">
            <w:col w:w="10020"/>
          </w:cols>
          <w:pgMar w:left="1440" w:top="270" w:right="439" w:bottom="1440" w:gutter="0" w:footer="0" w:header="0"/>
        </w:sectPr>
      </w:pPr>
    </w:p>
    <w:bookmarkStart w:id="31" w:name="page32"/>
    <w:bookmarkEnd w:id="31"/>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WARBURG PINCUS (CAYMAN) XI, L.P.</w:t>
      </w:r>
    </w:p>
    <w:p>
      <w:pPr>
        <w:spacing w:after="0" w:line="1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Warburg Pincus XI-C, LLC, its general partner</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By: Warburg Pincus Partners II (Cayman), L.P., its managing member</w:t>
      </w:r>
    </w:p>
    <w:p>
      <w:pPr>
        <w:spacing w:after="0" w:line="140"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Warburg Pincus (Bermuda) Private Equity GP Ltd., its general</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9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WARBURG PINCUS XI-C, LLC</w:t>
      </w:r>
    </w:p>
    <w:p>
      <w:pPr>
        <w:spacing w:after="0" w:line="121"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By: Warburg Pincus Partners II (Cayman), L.P., its managing member</w:t>
      </w:r>
    </w:p>
    <w:p>
      <w:pPr>
        <w:spacing w:after="0" w:line="140"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Warburg Pincus (Bermuda) Private Equity GP Ltd., its general</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9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WARBURG PINCUS PARTNERS II (CAYMAN), L.P.</w:t>
      </w:r>
    </w:p>
    <w:p>
      <w:pPr>
        <w:spacing w:after="0" w:line="12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Warburg Pincus (Bermuda) Private Equity GP Ltd., its general</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9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WARBURG PINCUS PARTNERS II HOLDINGS (CAYMAN), L.P.</w:t>
      </w:r>
    </w:p>
    <w:p>
      <w:pPr>
        <w:spacing w:after="0" w:line="13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WPP II Administrative (Cayman), LLC, its general partner</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Warburg Pincus (Bermuda) Private Equity GP Ltd., its managing</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WPP II ADMINISTRATIVE (CAYMAN), LLC</w:t>
      </w:r>
    </w:p>
    <w:p>
      <w:pPr>
        <w:spacing w:after="0" w:line="12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Warburg Pincus (Bermuda) Private Equity GP Ltd., its managing</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9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WARBURG PINCUS (BERMUDA) PRIVATE EQUITY GP LTD.</w:t>
      </w:r>
    </w:p>
    <w:p>
      <w:pPr>
        <w:spacing w:after="0" w:line="229"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Authorised Signatory</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WARBURG PINCUS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Harsha Marti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Harsha Marti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bullet"/>
      <w:start w:val="1"/>
    </w:lvl>
  </w:abstractNum>
  <w:abstractNum w:abstractNumId="15">
    <w:nsid w:val="8EDBDAB"/>
    <w:multiLevelType w:val="hybridMultilevel"/>
    <w:lvl w:ilvl="0">
      <w:lvlJc w:val="left"/>
      <w:lvlText w:val="2"/>
      <w:numFmt w:val="bullet"/>
      <w:start w:val="1"/>
    </w:lvl>
    <w:lvl w:ilvl="1">
      <w:lvlJc w:val="left"/>
      <w:lvlText w:val="(%2)"/>
      <w:numFmt w:val="lowerLetter"/>
      <w:start w:val="1"/>
    </w:lvl>
  </w:abstractNum>
  <w:abstractNum w:abstractNumId="16">
    <w:nsid w:val="79838CB2"/>
    <w:multiLevelType w:val="hybridMultilevel"/>
    <w:lvl w:ilvl="0">
      <w:lvlJc w:val="left"/>
      <w:lvlText w:val="3"/>
      <w:numFmt w:val="bullet"/>
      <w:start w:val="1"/>
    </w:lvl>
  </w:abstractNum>
  <w:abstractNum w:abstractNumId="17">
    <w:nsid w:val="4353D0CD"/>
    <w:multiLevelType w:val="hybridMultilevel"/>
    <w:lvl w:ilvl="0">
      <w:lvlJc w:val="left"/>
      <w:lvlText w:val="4"/>
      <w:numFmt w:val="bullet"/>
      <w:start w:val="1"/>
    </w:lvl>
  </w:abstractNum>
  <w:abstractNum w:abstractNumId="18">
    <w:nsid w:val="B03E0C6"/>
    <w:multiLevelType w:val="hybridMultilevel"/>
    <w:lvl w:ilvl="0">
      <w:lvlJc w:val="left"/>
      <w:lvlText w:val="5"/>
      <w:numFmt w:val="bullet"/>
      <w:start w:val="1"/>
    </w:lvl>
  </w:abstractNum>
  <w:abstractNum w:abstractNumId="19">
    <w:nsid w:val="189A769B"/>
    <w:multiLevelType w:val="hybridMultilevel"/>
    <w:lvl w:ilvl="0">
      <w:lvlJc w:val="left"/>
      <w:lvlText w:val="9"/>
      <w:numFmt w:val="bullet"/>
      <w:start w:val="1"/>
    </w:lvl>
  </w:abstractNum>
  <w:abstractNum w:abstractNumId="20">
    <w:nsid w:val="54E49EB4"/>
    <w:multiLevelType w:val="hybridMultilevel"/>
    <w:lvl w:ilvl="0">
      <w:lvlJc w:val="left"/>
      <w:lvlText w:val="%1"/>
      <w:numFmt w:val="decimal"/>
      <w:start w:val="1"/>
    </w:lvl>
    <w:lvl w:ilvl="1">
      <w:lvlJc w:val="left"/>
      <w:lvlText w:val="%2"/>
      <w:numFmt w:val="decimal"/>
      <w:start w:val="10"/>
    </w:lvl>
  </w:abstractNum>
  <w:abstractNum w:abstractNumId="21">
    <w:nsid w:val="71F32454"/>
    <w:multiLevelType w:val="hybridMultilevel"/>
    <w:lvl w:ilvl="0">
      <w:lvlJc w:val="left"/>
      <w:lvlText w:val="(%1)"/>
      <w:numFmt w:val="decimal"/>
      <w:start w:val="1"/>
    </w:lvl>
    <w:lvl w:ilvl="1">
      <w:lvlJc w:val="left"/>
      <w:lvlText w:val="%2"/>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Roman"/>
      <w:start w:val="9"/>
    </w:lvl>
  </w:abstractNum>
  <w:abstractNum w:abstractNumId="29">
    <w:nsid w:val="737B8DDC"/>
    <w:multiLevelType w:val="hybridMultilevel"/>
    <w:lvl w:ilvl="0">
      <w:lvlJc w:val="left"/>
      <w:lvlText w:val="(%1)"/>
      <w:numFmt w:val="lowerRoman"/>
      <w:start w:val="1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2022-02-14T17:22:18Z</dcterms:created>
  <dcterms:modified xsi:type="dcterms:W3CDTF">2022-02-14T17:22:18Z</dcterms:modified>
</cp:coreProperties>
</file>