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9893d424b7.htm"/>
        <w:bookmarkStart w:id="1" w:name="ksd69893d424b7"/>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424(b)(7)</w:t>
        <w:br/>
        <w:t xml:space="preserve">Registration No. 333-277418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February 27, 2024) </w:t>
      </w:r>
    </w:p>
    <w:p>
      <w:pPr>
        <w:pStyle w:val="TextBody"/>
        <w:bidi w:val="0"/>
        <w:spacing w:before="240" w:after="0"/>
        <w:jc w:val="center"/>
        <w:rPr>
          <w:rFonts w:ascii="Times New Roman" w:hAnsi="Times New Roman"/>
          <w:b/>
          <w:sz w:val="36"/>
        </w:rPr>
      </w:pPr>
      <w:r>
        <w:rPr>
          <w:rFonts w:ascii="Times New Roman" w:hAnsi="Times New Roman"/>
          <w:b/>
          <w:sz w:val="36"/>
        </w:rPr>
        <w:t xml:space="preserve">30,000,000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398905" cy="473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8905" cy="4730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Sotera Health Company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of Sotera Health Company identified in this prospectus supplement are offering 30,000,000 shares of our common stock, par value $0.01 per share, (the “common stock”) pursuant to this prospectus supplement and the accompanying prospectus. We are not selling any shares of common stock under this prospectus supplement and will not receive any proceeds from the sale of the shares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and traded on the Nasdaq Global Select Market (“Nasdaq”) under the symbol “SHC.” On November 6, 2025, the last reported sale price of our common stock on Nasdaq was $16.01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a high degree of risk. See “</w:t>
      </w:r>
      <w:hyperlink w:anchor="supp69893_6">
        <w:r>
          <w:rPr>
            <w:rStyle w:val="InternetLink"/>
            <w:rFonts w:ascii="Times New Roman" w:hAnsi="Times New Roman"/>
            <w:b/>
            <w:sz w:val="24"/>
          </w:rPr>
          <w:t>Risk Factors</w:t>
        </w:r>
      </w:hyperlink>
      <w:r>
        <w:rPr>
          <w:rFonts w:ascii="Times New Roman" w:hAnsi="Times New Roman"/>
          <w:b/>
          <w:sz w:val="24"/>
        </w:rPr>
        <w:t xml:space="preserve">” beginning on page S-12 of this prospectus supplement and in the documents incorporated by reference into this prospectus supplement to read about factors you should consider before deciding to invest in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22"/>
        <w:gridCol w:w="221"/>
        <w:gridCol w:w="140"/>
        <w:gridCol w:w="692"/>
        <w:gridCol w:w="60"/>
        <w:gridCol w:w="221"/>
        <w:gridCol w:w="140"/>
        <w:gridCol w:w="1245"/>
        <w:gridCol w:w="64"/>
      </w:tblGrid>
      <w:tr>
        <w:trPr/>
        <w:tc>
          <w:tcPr>
            <w:tcW w:w="7422"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42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7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15.70</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471,000,000</w:t>
            </w:r>
          </w:p>
        </w:tc>
        <w:tc>
          <w:tcPr>
            <w:tcW w:w="64" w:type="dxa"/>
            <w:tcBorders/>
            <w:shd w:fill="CCEEFF" w:val="clear"/>
            <w:vAlign w:val="bottom"/>
          </w:tcPr>
          <w:p>
            <w:pPr>
              <w:pStyle w:val="TableContents"/>
              <w:bidi w:val="0"/>
              <w:spacing w:before="0" w:after="283"/>
              <w:jc w:val="left"/>
              <w:rPr/>
            </w:pPr>
            <w:r>
              <w:rPr/>
              <w:t> </w:t>
            </w:r>
          </w:p>
        </w:tc>
      </w:tr>
      <w:tr>
        <w:trPr/>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0.049</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1,470,000</w:t>
            </w:r>
          </w:p>
        </w:tc>
        <w:tc>
          <w:tcPr>
            <w:tcW w:w="64" w:type="dxa"/>
            <w:tcBorders/>
            <w:vAlign w:val="bottom"/>
          </w:tcPr>
          <w:p>
            <w:pPr>
              <w:pStyle w:val="TableContents"/>
              <w:bidi w:val="0"/>
              <w:spacing w:before="0" w:after="283"/>
              <w:jc w:val="left"/>
              <w:rPr/>
            </w:pPr>
            <w:r>
              <w:rPr/>
              <w:t> </w:t>
            </w:r>
          </w:p>
        </w:tc>
      </w:tr>
      <w:tr>
        <w:trPr/>
        <w:tc>
          <w:tcPr>
            <w:tcW w:w="7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selling stockholders, before expenses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15.651</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469,530,000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Delivery of the shares of common stock is expected to be made on or about November 10, 2025.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Goldman Sachs &amp; Co. LLC </w:t>
      </w:r>
    </w:p>
    <w:p>
      <w:pPr>
        <w:pStyle w:val="TextBody"/>
        <w:bidi w:val="0"/>
        <w:spacing w:before="480" w:after="0"/>
        <w:jc w:val="center"/>
        <w:rPr>
          <w:rFonts w:ascii="Times New Roman" w:hAnsi="Times New Roman"/>
          <w:b/>
          <w:sz w:val="20"/>
        </w:rPr>
      </w:pPr>
      <w:r>
        <w:rPr>
          <w:rFonts w:ascii="Times New Roman" w:hAnsi="Times New Roman"/>
          <w:b/>
          <w:sz w:val="20"/>
        </w:rPr>
        <w:t xml:space="preserve">The date of this prospectus supplement is November 6, 2025.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2">
              <w:r>
                <w:rPr>
                  <w:rStyle w:val="InternetLink"/>
                  <w:rFonts w:ascii="Times New Roman" w:hAnsi="Times New Roman"/>
                  <w:sz w:val="20"/>
                </w:rPr>
                <w:t>MARKET AND INDUSTRY DATA</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3">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4">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5">
              <w:r>
                <w:rPr>
                  <w:rStyle w:val="InternetLink"/>
                  <w:rFonts w:ascii="Times New Roman" w:hAnsi="Times New Roman"/>
                  <w:sz w:val="20"/>
                </w:rPr>
                <w:t>SUMMARY HISTORICAL CONSOLIDATED FINANCIAL AND OTHER DATA</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6">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7">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8">
              <w:r>
                <w:rPr>
                  <w:rStyle w:val="InternetLink"/>
                  <w:rFonts w:ascii="Times New Roman" w:hAnsi="Times New Roman"/>
                  <w:sz w:val="20"/>
                </w:rPr>
                <w:t>SELLING STOCKHOLDERS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9">
              <w:r>
                <w:rPr>
                  <w:rStyle w:val="InternetLink"/>
                  <w:rFonts w:ascii="Times New Roman" w:hAnsi="Times New Roman"/>
                  <w:sz w:val="20"/>
                </w:rPr>
                <w:t>MATERIAL U.S. FEDERAL INCOME TAX CONSIDERATIONS FOR NON-U.S.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10">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11">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12">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13">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14">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15">
              <w:r>
                <w:rPr>
                  <w:rStyle w:val="InternetLink"/>
                  <w:rFonts w:ascii="Times New Roman" w:hAnsi="Times New Roman"/>
                  <w:sz w:val="20"/>
                </w:rPr>
                <w:t>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69893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2">
              <w:r>
                <w:rPr>
                  <w:rStyle w:val="InternetLink"/>
                  <w:rFonts w:ascii="Times New Roman" w:hAnsi="Times New Roman"/>
                  <w:sz w:val="20"/>
                </w:rPr>
                <w:t>ABOUT SOTERA HEALTH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6">
              <w:r>
                <w:rPr>
                  <w:rStyle w:val="InternetLink"/>
                  <w:rFonts w:ascii="Times New Roman" w:hAnsi="Times New Roman"/>
                  <w:sz w:val="20"/>
                </w:rPr>
                <w:t>DESCRIPTION OF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9">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10">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we nor the selling stockholders have authorized anyone to provide you with information different from that contained or incorporated by reference in this prospectus supplement, any amendment or supplement to this prospectus supplement, the accompanying prospectus or in any free writing prospectus prepared by us or on our behalf. Neither we nor the selling stockholders take any responsibility for, or provide any assurance as to the reliability of, any information other than the information contained or incorporated by reference in this prospectus supplement, any amendment or supplement to this prospectus supplement, the accompanying prospectus or in any free writing prospectus prepared by us or on our behalf. The selling stockholders are not making an offer to sell these securities in any jurisdiction where the offer or sale is not permitted.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assume that the information appearing in this prospectus supplement, the accompanying prospectus or in any free writing prospectus prepared by us is accurate only as of their respective dates or on the date or dates that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 Information contained in our website does not constitute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 should carefully read this prospectus supplement, the accompanying prospectus and any free writing prospectus prepared by or on behalf of us, together with the additional information described under the heading “Where You Can Find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 action is being taken in any jurisdiction outside the United States to permit a public offering of our common stock. Persons who come into possession of this prospectus supplement or the accompanying prospectus in jurisdictions outside the United States are required to inform themselves about and to observe any restriction as to this offering and the distribution of this prospectus applicable to those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69893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indicated or the context requires otherwise, the terms “Sotera Health,” “Company,” “we,” “us,” and “our” in this document refer to Sotera Health Company, a Delaware corporation, and, where appropriate, its subsidiaries on a consolidated basis.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documents incorporated by reference and the additional information described in the accompanying prospectus under the heading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If the description of the offering varies between this prospectus supplement and the accompanying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The information we have included in this prospectus supplement and the accompanying prospectus is accurate only as of the date of this prospectus supplement or the accompanying prospectus, and any information we have incorporated by reference is accurate only as of the date of the document incorporated by reference. Our business, financial condition, results of operations and prospects may have changed since any such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69893_2"/>
      <w:bookmarkEnd w:id="4"/>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Historical and current market data used throughout this prospectus supplement or incorporated herein were obtained from internal company analyses, consultants’ reports and industry publications. Industry surveys and publications generally state that the information contained therein has been obtained from sources believed to be reliable. This information involves many assumptions and limitations, and you are cautioned not to give undue weight to these estimates and information. We have not independently verified this market data. While we are not aware of any misstatements regarding any industry or similar data presented herein, such data involve risks and uncertainties and are subject to change based on various factors, including those discussed under the “Risk Factors” section in this prospectus supplement and in our Annual Report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69893_3"/>
      <w:bookmarkEnd w:id="5"/>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important information about this offering and information contained elsewhere or incorporated by reference in this prospectus supplement and the accompanying prospectus. This summary does not contain all the information that you should consider before investing in our common stock. You should read the entire prospectus supplement and the accompanying prospectus carefully, as well as the additional materials described under the captions “Where You Can Find More Information” and “Incorporation By Reference” in this prospectus supplement and in the accompanying prospectus, including “Risk Factors” beginning on page S-11 of this prospectus supplement and “Risk Factors” in Part I, Item 1A of our Annual Report on Form 10-K for the year ended December 31, 2024 (the “Annual Report”). </w:t>
      </w:r>
    </w:p>
    <w:p>
      <w:pPr>
        <w:pStyle w:val="TextBody"/>
        <w:bidi w:val="0"/>
        <w:spacing w:before="24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global provider of mission-critical end-to-end sterilization solutions, lab testing and advisory services for the healthcare industry. We are driven by our mission: Safeguarding Global Health®. We provide end-to-end sterilization as well as microbiological and analytical lab testing and advisory services to help ensure that medical, pharmaceutical and food products are safe for healthcare practitioners, patients and consumers in the United States and around the world. In 2024, our customers included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our services are necessary for our customers to satisfy applicable government requirements.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trusted partner to approximately 5,000 customers in over 50 countries. We strive to give our customers confidence that their products meet regulatory, safety and effectiveness requirements. With our industry-recognized scientific and technological expertise, we help promote the safety of millions of patients and healthcare practitioners around the world. Across our 62 facilities worldwide, we have over 3,000 employees who are dedicated to safety and quality.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69893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999"/>
        <w:gridCol w:w="5206"/>
      </w:tblGrid>
      <w:tr>
        <w:trPr/>
        <w:tc>
          <w:tcPr>
            <w:tcW w:w="499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5206" w:type="dxa"/>
            <w:tcBorders/>
          </w:tcPr>
          <w:p>
            <w:pPr>
              <w:pStyle w:val="TableContents"/>
              <w:bidi w:val="0"/>
              <w:spacing w:before="0" w:after="283"/>
              <w:jc w:val="left"/>
              <w:rPr/>
            </w:pPr>
            <w:r>
              <w:rPr/>
              <w:t xml:space="preserve">30,000,000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999"/>
        <w:gridCol w:w="5206"/>
      </w:tblGrid>
      <w:tr>
        <w:trPr/>
        <w:tc>
          <w:tcPr>
            <w:tcW w:w="499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Selling stockholders </w:t>
            </w:r>
          </w:p>
        </w:tc>
        <w:tc>
          <w:tcPr>
            <w:tcW w:w="5206" w:type="dxa"/>
            <w:tcBorders/>
          </w:tcPr>
          <w:p>
            <w:pPr>
              <w:pStyle w:val="TableContents"/>
              <w:bidi w:val="0"/>
              <w:spacing w:before="0" w:after="283"/>
              <w:jc w:val="left"/>
              <w:rPr/>
            </w:pPr>
            <w:r>
              <w:rPr/>
              <w:t xml:space="preserve">See “Selling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0"/>
        <w:gridCol w:w="5205"/>
      </w:tblGrid>
      <w:tr>
        <w:trPr/>
        <w:tc>
          <w:tcPr>
            <w:tcW w:w="500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w:t>
            </w:r>
          </w:p>
        </w:tc>
        <w:tc>
          <w:tcPr>
            <w:tcW w:w="5205" w:type="dxa"/>
            <w:tcBorders/>
          </w:tcPr>
          <w:p>
            <w:pPr>
              <w:pStyle w:val="TableContents"/>
              <w:bidi w:val="0"/>
              <w:spacing w:before="0" w:after="283"/>
              <w:jc w:val="left"/>
              <w:rPr/>
            </w:pPr>
            <w:r>
              <w:rPr/>
              <w:t xml:space="preserve">284,093,929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0"/>
        <w:gridCol w:w="5205"/>
      </w:tblGrid>
      <w:tr>
        <w:trPr/>
        <w:tc>
          <w:tcPr>
            <w:tcW w:w="500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5205" w:type="dxa"/>
            <w:tcBorders/>
          </w:tcPr>
          <w:p>
            <w:pPr>
              <w:pStyle w:val="TableContents"/>
              <w:bidi w:val="0"/>
              <w:spacing w:before="0" w:after="283"/>
              <w:jc w:val="left"/>
              <w:rPr/>
            </w:pPr>
            <w:r>
              <w:rPr/>
              <w:t xml:space="preserve">The selling stockholders will receive all of the net proceeds from the sale of shares of common stock in this offering. We will not receive any proceeds from the sale of shares of common stock by the selling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999"/>
        <w:gridCol w:w="5206"/>
      </w:tblGrid>
      <w:tr>
        <w:trPr/>
        <w:tc>
          <w:tcPr>
            <w:tcW w:w="499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Recent developments affecting Sponsor rights </w:t>
            </w:r>
          </w:p>
        </w:tc>
        <w:tc>
          <w:tcPr>
            <w:tcW w:w="5206" w:type="dxa"/>
            <w:tcBorders/>
          </w:tcPr>
          <w:p>
            <w:pPr>
              <w:pStyle w:val="TableContents"/>
              <w:bidi w:val="0"/>
              <w:spacing w:before="0" w:after="283"/>
              <w:jc w:val="left"/>
              <w:rPr/>
            </w:pPr>
            <w:r>
              <w:rPr/>
              <w:t xml:space="preserve">Certain affiliates of Warburg Pincus LLC (“Warburg Pincus”) and GTCR LLC (“GTCR” and, together with Warburg Pincus, collectively, the “Sponsors”) have special rights relating to our corporate governance. For more information, see “Certain Sponsor Rights” in our Definitive Proxy Statement on Schedule 14A, which is incorporated by reference in this prospectus supplement. As a result of the Sponsors’ offering of our common stock that closed on September 6, 2024, the Sponsors ceased to own a majority of our outstanding common stock, which affects certain of these rights, and related matters. In particular, as a result of the Sponsors ceasing to own a majority of our outstanding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206"/>
        <w:gridCol w:w="101"/>
        <w:gridCol w:w="100"/>
        <w:gridCol w:w="4798"/>
      </w:tblGrid>
      <w:tr>
        <w:trPr/>
        <w:tc>
          <w:tcPr>
            <w:tcW w:w="5206"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no longer qualify as a “controlled company” within the meaning of the Nasdaq corporate governance standards (although we do not currently avail ourselves of related exemptions).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205"/>
        <w:gridCol w:w="101"/>
        <w:gridCol w:w="101"/>
        <w:gridCol w:w="4798"/>
      </w:tblGrid>
      <w:tr>
        <w:trPr/>
        <w:tc>
          <w:tcPr>
            <w:tcW w:w="5205"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of certain provisions of our amended and restated certificate of incorporation and amended and restated bylaws requires a 66 2/3% majority approval (in place of a simple majority).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204"/>
        <w:gridCol w:w="102"/>
        <w:gridCol w:w="102"/>
        <w:gridCol w:w="4797"/>
      </w:tblGrid>
      <w:tr>
        <w:trPr/>
        <w:tc>
          <w:tcPr>
            <w:tcW w:w="5204"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actions of stockholders which could have been taken without prior notice and not at an annual or special meeting of stockholders now require such notice and forum.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204"/>
        <w:gridCol w:w="102"/>
        <w:gridCol w:w="102"/>
        <w:gridCol w:w="4797"/>
      </w:tblGrid>
      <w:tr>
        <w:trPr/>
        <w:tc>
          <w:tcPr>
            <w:tcW w:w="5204"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calling of special meetings of stockholders is limited.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205"/>
        <w:gridCol w:w="101"/>
        <w:gridCol w:w="102"/>
        <w:gridCol w:w="4797"/>
      </w:tblGrid>
      <w:tr>
        <w:trPr/>
        <w:tc>
          <w:tcPr>
            <w:tcW w:w="5205"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Removal for cause of directors designated by the Sponsors requires the affirmative vote of at least 75% of the voting power of our outstanding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205"/>
        <w:gridCol w:w="101"/>
        <w:gridCol w:w="100"/>
        <w:gridCol w:w="4799"/>
      </w:tblGrid>
      <w:tr>
        <w:trPr/>
        <w:tc>
          <w:tcPr>
            <w:tcW w:w="5205"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additional information, see “Risk Factors – Risks Related to the Offering and Our Common Stock” — “If the ownership of our common stock continues to be highly concentrated, it may prevent minority stockholders from influencing significant corporate decisions and may result in conflicts of interest”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410"/>
        <w:gridCol w:w="4795"/>
      </w:tblGrid>
      <w:tr>
        <w:trPr/>
        <w:tc>
          <w:tcPr>
            <w:tcW w:w="5410" w:type="dxa"/>
            <w:tcBorders/>
            <w:vAlign w:val="center"/>
          </w:tcPr>
          <w:p>
            <w:pPr>
              <w:pStyle w:val="TableContents"/>
              <w:bidi w:val="0"/>
              <w:spacing w:before="0" w:after="283"/>
              <w:jc w:val="left"/>
              <w:rPr/>
            </w:pPr>
            <w:r>
              <w:rPr/>
              <w:t> </w:t>
            </w:r>
          </w:p>
        </w:tc>
        <w:tc>
          <w:tcPr>
            <w:tcW w:w="4795" w:type="dxa"/>
            <w:tcBorders/>
          </w:tcPr>
          <w:p>
            <w:pPr>
              <w:pStyle w:val="TableContents"/>
              <w:bidi w:val="0"/>
              <w:spacing w:before="0" w:after="0"/>
              <w:jc w:val="left"/>
              <w:rPr/>
            </w:pPr>
            <w:r>
              <w:rPr/>
              <w:t>“</w:t>
            </w:r>
            <w:r>
              <w:rPr>
                <w:rFonts w:ascii="Times New Roman" w:hAnsi="Times New Roman"/>
                <w:sz w:val="20"/>
              </w:rPr>
              <w:t xml:space="preserve">Anti-takeover provisions in our amended and restated certificate of incorporation, amended and restated bylaws and our Stockholders’ Agreement, as well as Delaware law, could discourage a change in control of our company or a change in our management.” Additionally, the number of directors that each of the Sponsors is entitled to designate for election to our board of directors declines as that Sponsor’s ownership of our shares falls below set percentage thresholds. See “Certain Sponsor Rights” in our Definitive Proxy Statement on Schedule 14A, which is incorporated by reference in this prospectus supplement. As a result of the Sponsors’ most recent offering of our common stock that closed on September 5, 2025, the number of directors that Warburg Pincus is entitled to designate was reduced from four to three. The number of directors that the Sponsors are entitled to designate will be further reduced as a result of this offering. In particular, each of GTCR’s and Warburg Pincus’ ownership will fall below 40% of the amount of our common stock that it held immediately following our IPO. The number of our directors that GTCR will be entitled to designate will be reduced from two to one, and the number of directors that Warburg Pincus will be entitled to designate will be reduced from three to two.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1"/>
        <w:gridCol w:w="5204"/>
      </w:tblGrid>
      <w:tr>
        <w:trPr/>
        <w:tc>
          <w:tcPr>
            <w:tcW w:w="5001"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Dividend policy </w:t>
            </w:r>
          </w:p>
        </w:tc>
        <w:tc>
          <w:tcPr>
            <w:tcW w:w="5204" w:type="dxa"/>
            <w:tcBorders/>
          </w:tcPr>
          <w:p>
            <w:pPr>
              <w:pStyle w:val="TableContents"/>
              <w:bidi w:val="0"/>
              <w:spacing w:before="0" w:after="283"/>
              <w:jc w:val="left"/>
              <w:rPr/>
            </w:pPr>
            <w:r>
              <w:rPr/>
              <w:t xml:space="preserve">We currently do not expect to pay dividends on our common stock. Instead, we anticipate that all of our earnings in the foreseeable future will be used for the operation and growth of our business and the repayment of indebtedness. See “Dividend Policy.”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1"/>
        <w:gridCol w:w="5204"/>
      </w:tblGrid>
      <w:tr>
        <w:trPr/>
        <w:tc>
          <w:tcPr>
            <w:tcW w:w="5001"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5204" w:type="dxa"/>
            <w:tcBorders/>
          </w:tcPr>
          <w:p>
            <w:pPr>
              <w:pStyle w:val="TableContents"/>
              <w:bidi w:val="0"/>
              <w:spacing w:before="0" w:after="283"/>
              <w:jc w:val="left"/>
              <w:rPr/>
            </w:pPr>
            <w:r>
              <w:rPr/>
              <w:t xml:space="preserve">Investing in our common stock involves a high degree of risk. See “Risk Factors” for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2"/>
        <w:gridCol w:w="5203"/>
      </w:tblGrid>
      <w:tr>
        <w:trPr/>
        <w:tc>
          <w:tcPr>
            <w:tcW w:w="5002"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symbol </w:t>
            </w:r>
          </w:p>
        </w:tc>
        <w:tc>
          <w:tcPr>
            <w:tcW w:w="5203" w:type="dxa"/>
            <w:tcBorders/>
          </w:tcPr>
          <w:p>
            <w:pPr>
              <w:pStyle w:val="TableContents"/>
              <w:bidi w:val="0"/>
              <w:spacing w:before="0" w:after="283"/>
              <w:jc w:val="left"/>
              <w:rPr/>
            </w:pPr>
            <w:r>
              <w:rPr/>
              <w:t>“</w:t>
            </w:r>
            <w:r>
              <w:rPr/>
              <w:t xml:space="preserve">SHC”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noted, the number of shares of common stock to be outstanding after the offering is based on 284,093,929 shares of common stock outstanding as of October 28, 2025 and excludes as of such date: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8,237,662 shares of common stock issuable upon the exercise of outstanding options as of September 30, 2025, with a weighted average exercise price of $14.91 per share (provided that 9,501 shares of common stock are no longer issuable upon the exercise of outstanding options due to forfeitures subsequent to September 30, 2025, such forfeited options having a weighted-average exercise price of $15.44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3,719,787 shares issuable pursuant to restricted stock units (“RSUs”) and performance stock units (“PSUs”) outstanding as of September 30, 2025, of which: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22,912 shares of common stock have ceased to be issuable due to forfeitures of RSUs and PSUs subsequent to September 30,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such shares of common stock that have ceased to be issuable due to the vesting and settlement of RSUs subsequent to September 30, 2025 (and any shares of common stock that are outstanding following the satisfaction of tax withholding obligations in respect of such vested RSUs are included in the number of shares of common stock outstanding as of October 28, 2025 set forth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such shares of common stock were released net of taxes between September 30, 2025 and October 28, 2025;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13,601,088 additional shares of common stock reserved for future issuance under our 2020 Omnibus Incentive Plan (the “2020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supp69893_5"/>
      <w:bookmarkEnd w:id="7"/>
      <w:r>
        <w:rPr>
          <w:rFonts w:ascii="Times New Roman" w:hAnsi="Times New Roman"/>
          <w:b/>
          <w:sz w:val="20"/>
          <w:bdr w:val="single" w:sz="8" w:space="1" w:color="000000"/>
        </w:rPr>
        <w:t xml:space="preserve">SUMMARY HISTORICAL CONSOLIDATED FINANCIAL AND OTHER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present our summary historical consolidated financial and other data. The summary historical consolidated statements of operations data and statements of cash flows data for the years ended December 31, 2024, 2023 and 2022 and the summary historical balance sheet data as of December 31, 2024 and December 31, 2023 have been derived from our audited consolidated financial statements incorporated by reference from our Annual Report. The summary historical consolidated statements of operations data and statements of cash flows data for the nine months ended September 30, 2025 and 2024 and the summary historical balance sheet data as of September 30, 2025 have been derived from our unaudited consolidated interim financial statements incorporated by reference from our Quarterly Report on Form 10-Q for the quarter ended September 30, 2025.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consolidated financial data should be read in conjunction with the information contained in “Risk Factors” in this prospectus supplement and “Management’s Discussion and Analysis of Financial Condition and Results of Operations” and the consolidated financial statements and related notes thereto incorporated by reference from our Annual Report and from our unaudited consolidated interim financial statements incorporated by reference from our Quarterly Report on Form 10-Q for the quarter ended September 30, 2025. Our historical results are not necessarily indicative of our results in any future period.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Statement of Operations Data: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916"/>
        <w:gridCol w:w="173"/>
        <w:gridCol w:w="140"/>
        <w:gridCol w:w="1034"/>
        <w:gridCol w:w="155"/>
        <w:gridCol w:w="123"/>
        <w:gridCol w:w="140"/>
        <w:gridCol w:w="1034"/>
        <w:gridCol w:w="155"/>
        <w:gridCol w:w="123"/>
        <w:gridCol w:w="140"/>
        <w:gridCol w:w="1034"/>
        <w:gridCol w:w="155"/>
        <w:gridCol w:w="123"/>
        <w:gridCol w:w="140"/>
        <w:gridCol w:w="1022"/>
        <w:gridCol w:w="214"/>
        <w:gridCol w:w="123"/>
        <w:gridCol w:w="140"/>
        <w:gridCol w:w="897"/>
        <w:gridCol w:w="224"/>
      </w:tblGrid>
      <w:tr>
        <w:trPr/>
        <w:tc>
          <w:tcPr>
            <w:tcW w:w="2916"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91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407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5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224" w:type="dxa"/>
            <w:tcBorders/>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i/>
              </w:rPr>
            </w:pPr>
            <w:r>
              <w:rPr>
                <w:i/>
              </w:rPr>
              <w:t>(in thousands, except per share amounts)</w:t>
            </w:r>
          </w:p>
        </w:tc>
        <w:tc>
          <w:tcPr>
            <w:tcW w:w="173"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24"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7"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sz w:val="4"/>
                <w:szCs w:val="4"/>
              </w:rPr>
            </w:pPr>
            <w:r>
              <w:rPr>
                <w:sz w:val="4"/>
                <w:szCs w:val="4"/>
              </w:rPr>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Service</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4" w:type="dxa"/>
            <w:tcBorders/>
            <w:vAlign w:val="bottom"/>
          </w:tcPr>
          <w:p>
            <w:pPr>
              <w:pStyle w:val="TableContents"/>
              <w:bidi w:val="0"/>
              <w:spacing w:before="0" w:after="283"/>
              <w:jc w:val="right"/>
              <w:rPr/>
            </w:pPr>
            <w:r>
              <w:rPr/>
              <w:t>941,822</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4" w:type="dxa"/>
            <w:tcBorders/>
            <w:vAlign w:val="bottom"/>
          </w:tcPr>
          <w:p>
            <w:pPr>
              <w:pStyle w:val="TableContents"/>
              <w:bidi w:val="0"/>
              <w:spacing w:before="0" w:after="283"/>
              <w:jc w:val="right"/>
              <w:rPr/>
            </w:pPr>
            <w:r>
              <w:rPr/>
              <w:t>905,598</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4" w:type="dxa"/>
            <w:tcBorders/>
            <w:vAlign w:val="bottom"/>
          </w:tcPr>
          <w:p>
            <w:pPr>
              <w:pStyle w:val="TableContents"/>
              <w:bidi w:val="0"/>
              <w:spacing w:before="0" w:after="283"/>
              <w:jc w:val="right"/>
              <w:rPr/>
            </w:pPr>
            <w:r>
              <w:rPr/>
              <w:t>864,828</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2" w:type="dxa"/>
            <w:tcBorders/>
            <w:vAlign w:val="bottom"/>
          </w:tcPr>
          <w:p>
            <w:pPr>
              <w:pStyle w:val="TableContents"/>
              <w:bidi w:val="0"/>
              <w:spacing w:before="0" w:after="283"/>
              <w:jc w:val="right"/>
              <w:rPr/>
            </w:pPr>
            <w:r>
              <w:rPr/>
              <w:t> </w:t>
            </w:r>
            <w:r>
              <w:rPr/>
              <w:t>736,713</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7" w:type="dxa"/>
            <w:tcBorders/>
            <w:vAlign w:val="bottom"/>
          </w:tcPr>
          <w:p>
            <w:pPr>
              <w:pStyle w:val="TableContents"/>
              <w:bidi w:val="0"/>
              <w:spacing w:before="0" w:after="283"/>
              <w:jc w:val="right"/>
              <w:rPr/>
            </w:pPr>
            <w:r>
              <w:rPr/>
              <w:t> </w:t>
            </w:r>
            <w:r>
              <w:rPr/>
              <w:t>703,027</w:t>
            </w:r>
          </w:p>
        </w:tc>
        <w:tc>
          <w:tcPr>
            <w:tcW w:w="224"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158,619</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143,690</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138,859</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123,463</w:t>
            </w:r>
          </w:p>
        </w:tc>
        <w:tc>
          <w:tcPr>
            <w:tcW w:w="21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107,211</w:t>
            </w:r>
          </w:p>
        </w:tc>
        <w:tc>
          <w:tcPr>
            <w:tcW w:w="224" w:type="dxa"/>
            <w:tcBorders/>
            <w:shd w:fill="CCEEFF" w:val="clear"/>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net revenues</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1,100,441</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1,049,288</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1,003,687</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860,176</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810,238</w:t>
            </w:r>
          </w:p>
        </w:tc>
        <w:tc>
          <w:tcPr>
            <w:tcW w:w="224"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 of revenues:</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7"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sz w:val="4"/>
                <w:szCs w:val="4"/>
              </w:rPr>
            </w:pPr>
            <w:r>
              <w:rPr>
                <w:sz w:val="4"/>
                <w:szCs w:val="4"/>
              </w:rPr>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Service</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439,543</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418,611</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390,860</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335,259</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331,068</w:t>
            </w:r>
          </w:p>
        </w:tc>
        <w:tc>
          <w:tcPr>
            <w:tcW w:w="224"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58,603</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53,519</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55,823</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45,303</w:t>
            </w:r>
          </w:p>
        </w:tc>
        <w:tc>
          <w:tcPr>
            <w:tcW w:w="21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41,240</w:t>
            </w:r>
          </w:p>
        </w:tc>
        <w:tc>
          <w:tcPr>
            <w:tcW w:w="224" w:type="dxa"/>
            <w:tcBorders/>
            <w:shd w:fill="CCEEFF" w:val="clear"/>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cost of revenues</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498,146</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472,130</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446,683</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  </w:t>
            </w:r>
            <w:r>
              <w:rPr/>
              <w:t>380,562</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372,308</w:t>
            </w:r>
          </w:p>
        </w:tc>
        <w:tc>
          <w:tcPr>
            <w:tcW w:w="224" w:type="dxa"/>
            <w:tcBorders/>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602,295</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577,158</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r>
              <w:rPr/>
              <w:t>557,004</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479,614</w:t>
            </w:r>
          </w:p>
        </w:tc>
        <w:tc>
          <w:tcPr>
            <w:tcW w:w="21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437,930</w:t>
            </w:r>
          </w:p>
        </w:tc>
        <w:tc>
          <w:tcPr>
            <w:tcW w:w="224" w:type="dxa"/>
            <w:tcBorders/>
            <w:shd w:fill="CCEEFF" w:val="clear"/>
            <w:vAlign w:val="bottom"/>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242,630</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236,667</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245,714</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195,248</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180,793</w:t>
            </w:r>
          </w:p>
        </w:tc>
        <w:tc>
          <w:tcPr>
            <w:tcW w:w="224"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62,039</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63,799</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62,940</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27,715</w:t>
            </w:r>
          </w:p>
        </w:tc>
        <w:tc>
          <w:tcPr>
            <w:tcW w:w="21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46,657</w:t>
            </w:r>
          </w:p>
        </w:tc>
        <w:tc>
          <w:tcPr>
            <w:tcW w:w="224" w:type="dxa"/>
            <w:tcBorders/>
            <w:shd w:fill="CCEEFF" w:val="clear"/>
            <w:vAlign w:val="bottom"/>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Illinois EO litigation settlements</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408,000</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64,943</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224"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Georgia EO litigation settlement</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35,000</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Loss on refinancing of debt</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24,168</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1,167</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24,160</w:t>
            </w:r>
          </w:p>
        </w:tc>
        <w:tc>
          <w:tcPr>
            <w:tcW w:w="224"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investment in unconsolidated affiliate</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9,613</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164,691</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142,878</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80,144</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120,674</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123,731</w:t>
            </w:r>
          </w:p>
        </w:tc>
        <w:tc>
          <w:tcPr>
            <w:tcW w:w="224"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loss (gain)</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199</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159</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145</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(612</w:t>
            </w:r>
          </w:p>
        </w:tc>
        <w:tc>
          <w:tcPr>
            <w:tcW w:w="21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(2,237</w:t>
            </w:r>
          </w:p>
        </w:tc>
        <w:tc>
          <w:tcPr>
            <w:tcW w:w="224" w:type="dxa"/>
            <w:tcBorders/>
            <w:shd w:fill="CCEEFF" w:val="clear"/>
            <w:vAlign w:val="bottom"/>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(5,306</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(7,372</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(6,441</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(6,530</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(4,084</w:t>
            </w:r>
          </w:p>
        </w:tc>
        <w:tc>
          <w:tcPr>
            <w:tcW w:w="224" w:type="dxa"/>
            <w:tcBorders/>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113,874</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106,027</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(243,111</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77,009</w:t>
            </w:r>
          </w:p>
        </w:tc>
        <w:tc>
          <w:tcPr>
            <w:tcW w:w="21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68,910</w:t>
            </w:r>
          </w:p>
        </w:tc>
        <w:tc>
          <w:tcPr>
            <w:tcW w:w="224" w:type="dxa"/>
            <w:tcBorders/>
            <w:shd w:fill="CCEEFF" w:val="clear"/>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Provision (Benefit) for income taxes</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69,476</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54,651</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(9,541</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33,907</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36,835</w:t>
            </w:r>
          </w:p>
        </w:tc>
        <w:tc>
          <w:tcPr>
            <w:tcW w:w="224" w:type="dxa"/>
            <w:tcBorders/>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Net income (loss)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44,398</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51,376</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(233,570</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xml:space="preserve">43,102 </w:t>
            </w:r>
          </w:p>
        </w:tc>
        <w:tc>
          <w:tcPr>
            <w:tcW w:w="21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32,075</w:t>
            </w:r>
          </w:p>
        </w:tc>
        <w:tc>
          <w:tcPr>
            <w:tcW w:w="224" w:type="dxa"/>
            <w:tcBorders/>
            <w:shd w:fill="CCEEFF" w:val="clear"/>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7" w:type="dxa"/>
            <w:tcBorders/>
            <w:vAlign w:val="bottom"/>
          </w:tcPr>
          <w:p>
            <w:pPr>
              <w:pStyle w:val="TableContents"/>
              <w:pBdr>
                <w:top w:val="double" w:sz="6"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147"/>
        <w:gridCol w:w="225"/>
        <w:gridCol w:w="140"/>
        <w:gridCol w:w="916"/>
        <w:gridCol w:w="155"/>
        <w:gridCol w:w="177"/>
        <w:gridCol w:w="140"/>
        <w:gridCol w:w="916"/>
        <w:gridCol w:w="155"/>
        <w:gridCol w:w="177"/>
        <w:gridCol w:w="140"/>
        <w:gridCol w:w="916"/>
        <w:gridCol w:w="155"/>
        <w:gridCol w:w="176"/>
        <w:gridCol w:w="140"/>
        <w:gridCol w:w="856"/>
        <w:gridCol w:w="215"/>
        <w:gridCol w:w="177"/>
        <w:gridCol w:w="140"/>
        <w:gridCol w:w="916"/>
        <w:gridCol w:w="226"/>
      </w:tblGrid>
      <w:tr>
        <w:trPr/>
        <w:tc>
          <w:tcPr>
            <w:tcW w:w="3147"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147"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383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4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226" w:type="dxa"/>
            <w:tcBorders/>
            <w:vAlign w:val="bottom"/>
          </w:tcPr>
          <w:p>
            <w:pPr>
              <w:pStyle w:val="TableContents"/>
              <w:bidi w:val="0"/>
              <w:spacing w:before="0" w:after="283"/>
              <w:jc w:val="left"/>
              <w:rPr/>
            </w:pPr>
            <w:r>
              <w:rPr/>
              <w:t> </w:t>
            </w:r>
          </w:p>
        </w:tc>
      </w:tr>
      <w:tr>
        <w:trPr/>
        <w:tc>
          <w:tcPr>
            <w:tcW w:w="3147" w:type="dxa"/>
            <w:tcBorders/>
            <w:vAlign w:val="bottom"/>
          </w:tcPr>
          <w:p>
            <w:pPr>
              <w:pStyle w:val="TableContents"/>
              <w:bidi w:val="0"/>
              <w:spacing w:before="0" w:after="283"/>
              <w:jc w:val="left"/>
              <w:rPr>
                <w:i/>
              </w:rPr>
            </w:pPr>
            <w:r>
              <w:rPr>
                <w:i/>
              </w:rPr>
              <w:t>(in thousands, except per share amounts)</w:t>
            </w:r>
          </w:p>
        </w:tc>
        <w:tc>
          <w:tcPr>
            <w:tcW w:w="225"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1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26" w:type="dxa"/>
            <w:tcBorders/>
            <w:vAlign w:val="bottom"/>
          </w:tcPr>
          <w:p>
            <w:pPr>
              <w:pStyle w:val="TableContents"/>
              <w:bidi w:val="0"/>
              <w:spacing w:before="0" w:after="283"/>
              <w:jc w:val="left"/>
              <w:rPr/>
            </w:pPr>
            <w:r>
              <w:rPr/>
              <w:t> </w:t>
            </w:r>
          </w:p>
        </w:tc>
      </w:tr>
      <w:tr>
        <w:trPr/>
        <w:tc>
          <w:tcPr>
            <w:tcW w:w="31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(loss) income, net of tax:</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sz w:val="4"/>
                <w:szCs w:val="4"/>
              </w:rPr>
            </w:pPr>
            <w:r>
              <w:rPr>
                <w:sz w:val="4"/>
                <w:szCs w:val="4"/>
              </w:rPr>
            </w:r>
          </w:p>
        </w:tc>
      </w:tr>
      <w:tr>
        <w:trPr/>
        <w:tc>
          <w:tcPr>
            <w:tcW w:w="3147" w:type="dxa"/>
            <w:tcBorders/>
          </w:tcPr>
          <w:p>
            <w:pPr>
              <w:pStyle w:val="TableContents"/>
              <w:bidi w:val="0"/>
              <w:spacing w:before="0" w:after="0"/>
              <w:jc w:val="left"/>
              <w:rPr>
                <w:rFonts w:ascii="Times New Roman" w:hAnsi="Times New Roman"/>
                <w:sz w:val="20"/>
              </w:rPr>
            </w:pPr>
            <w:r>
              <w:rPr>
                <w:rFonts w:ascii="Times New Roman" w:hAnsi="Times New Roman"/>
                <w:sz w:val="20"/>
              </w:rPr>
              <w:t>Pension and post-retirement benefits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8,462</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(10,506)</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20,790</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69</w:t>
            </w:r>
          </w:p>
        </w:tc>
        <w:tc>
          <w:tcPr>
            <w:tcW w:w="21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6</w:t>
            </w:r>
          </w:p>
        </w:tc>
        <w:tc>
          <w:tcPr>
            <w:tcW w:w="226" w:type="dxa"/>
            <w:tcBorders/>
            <w:vAlign w:val="bottom"/>
          </w:tcPr>
          <w:p>
            <w:pPr>
              <w:pStyle w:val="TableContents"/>
              <w:bidi w:val="0"/>
              <w:spacing w:before="0" w:after="283"/>
              <w:jc w:val="left"/>
              <w:rPr/>
            </w:pPr>
            <w:r>
              <w:rPr/>
              <w:t> </w:t>
            </w:r>
          </w:p>
        </w:tc>
      </w:tr>
      <w:tr>
        <w:trPr/>
        <w:tc>
          <w:tcPr>
            <w:tcW w:w="31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rate derivatives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(5,396</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(15,697</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20,939</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(1,924</w:t>
            </w:r>
          </w:p>
        </w:tc>
        <w:tc>
          <w:tcPr>
            <w:tcW w:w="21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(6,058</w:t>
            </w:r>
          </w:p>
        </w:tc>
        <w:tc>
          <w:tcPr>
            <w:tcW w:w="226" w:type="dxa"/>
            <w:tcBorders/>
            <w:shd w:fill="CCEEFF" w:val="clear"/>
            <w:vAlign w:val="bottom"/>
          </w:tcPr>
          <w:p>
            <w:pPr>
              <w:pStyle w:val="TableContents"/>
              <w:bidi w:val="0"/>
              <w:spacing w:before="0" w:after="283"/>
              <w:jc w:val="left"/>
              <w:rPr/>
            </w:pPr>
            <w:r>
              <w:rPr/>
              <w:t>)  </w:t>
            </w:r>
          </w:p>
        </w:tc>
      </w:tr>
      <w:tr>
        <w:trPr/>
        <w:tc>
          <w:tcPr>
            <w:tcW w:w="3147"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(118,635</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40,174</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(64,816</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84,599</w:t>
            </w:r>
          </w:p>
        </w:tc>
        <w:tc>
          <w:tcPr>
            <w:tcW w:w="21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(25,885</w:t>
            </w:r>
          </w:p>
        </w:tc>
        <w:tc>
          <w:tcPr>
            <w:tcW w:w="226" w:type="dxa"/>
            <w:tcBorders/>
            <w:vAlign w:val="bottom"/>
          </w:tcPr>
          <w:p>
            <w:pPr>
              <w:pStyle w:val="TableContents"/>
              <w:bidi w:val="0"/>
              <w:spacing w:before="0" w:after="283"/>
              <w:jc w:val="left"/>
              <w:rPr/>
            </w:pPr>
            <w:r>
              <w:rPr/>
              <w:t>)  </w:t>
            </w:r>
          </w:p>
        </w:tc>
      </w:tr>
      <w:tr>
        <w:trPr/>
        <w:tc>
          <w:tcPr>
            <w:tcW w:w="314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r>
      <w:tr>
        <w:trPr/>
        <w:tc>
          <w:tcPr>
            <w:tcW w:w="314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Comprehensive income (loss)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(71,171</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65,347</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(256,657</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125,846</w:t>
            </w:r>
          </w:p>
        </w:tc>
        <w:tc>
          <w:tcPr>
            <w:tcW w:w="21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 xml:space="preserve">138 </w:t>
            </w:r>
          </w:p>
        </w:tc>
        <w:tc>
          <w:tcPr>
            <w:tcW w:w="226" w:type="dxa"/>
            <w:tcBorders/>
            <w:shd w:fill="CCEEFF" w:val="clear"/>
            <w:vAlign w:val="bottom"/>
          </w:tcPr>
          <w:p>
            <w:pPr>
              <w:pStyle w:val="TableContents"/>
              <w:bidi w:val="0"/>
              <w:spacing w:before="0" w:after="283"/>
              <w:jc w:val="left"/>
              <w:rPr/>
            </w:pPr>
            <w:r>
              <w:rPr/>
              <w:t> </w:t>
            </w:r>
          </w:p>
        </w:tc>
      </w:tr>
      <w:tr>
        <w:trPr/>
        <w:tc>
          <w:tcPr>
            <w:tcW w:w="314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r>
      <w:tr>
        <w:trPr/>
        <w:tc>
          <w:tcPr>
            <w:tcW w:w="3147" w:type="dxa"/>
            <w:tcBorders/>
          </w:tcPr>
          <w:p>
            <w:pPr>
              <w:pStyle w:val="TableContents"/>
              <w:bidi w:val="0"/>
              <w:spacing w:before="0" w:after="0"/>
              <w:jc w:val="left"/>
              <w:rPr>
                <w:rFonts w:ascii="Times New Roman" w:hAnsi="Times New Roman"/>
                <w:sz w:val="20"/>
              </w:rPr>
            </w:pPr>
            <w:r>
              <w:rPr>
                <w:rFonts w:ascii="Times New Roman" w:hAnsi="Times New Roman"/>
                <w:sz w:val="20"/>
              </w:rPr>
              <w:t>Earnings (loss) per share:</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r>
      <w:tr>
        <w:trPr/>
        <w:tc>
          <w:tcPr>
            <w:tcW w:w="31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0.16</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0.18</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(0.83</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0.15</w:t>
            </w:r>
          </w:p>
        </w:tc>
        <w:tc>
          <w:tcPr>
            <w:tcW w:w="21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0.11</w:t>
            </w:r>
          </w:p>
        </w:tc>
        <w:tc>
          <w:tcPr>
            <w:tcW w:w="226" w:type="dxa"/>
            <w:tcBorders/>
            <w:shd w:fill="CCEEFF" w:val="clear"/>
            <w:vAlign w:val="bottom"/>
          </w:tcPr>
          <w:p>
            <w:pPr>
              <w:pStyle w:val="TableContents"/>
              <w:bidi w:val="0"/>
              <w:spacing w:before="0" w:after="283"/>
              <w:jc w:val="left"/>
              <w:rPr/>
            </w:pPr>
            <w:r>
              <w:rPr/>
              <w:t> </w:t>
            </w:r>
          </w:p>
        </w:tc>
      </w:tr>
      <w:tr>
        <w:trPr/>
        <w:tc>
          <w:tcPr>
            <w:tcW w:w="3147" w:type="dxa"/>
            <w:tcBorders/>
          </w:tcPr>
          <w:p>
            <w:pPr>
              <w:pStyle w:val="TableContents"/>
              <w:bidi w:val="0"/>
              <w:spacing w:before="0" w:after="0"/>
              <w:jc w:val="left"/>
              <w:rPr>
                <w:rFonts w:ascii="Times New Roman" w:hAnsi="Times New Roman"/>
                <w:b/>
                <w:sz w:val="20"/>
              </w:rPr>
            </w:pPr>
            <w:r>
              <w:rPr>
                <w:rFonts w:ascii="Times New Roman" w:hAnsi="Times New Roman"/>
                <w:b/>
                <w:sz w:val="20"/>
              </w:rPr>
              <w:t>Selected cash flow data:</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r>
      <w:tr>
        <w:trPr/>
        <w:tc>
          <w:tcPr>
            <w:tcW w:w="31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 operating activities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224,164</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(147,732</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277,961</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184,091</w:t>
            </w:r>
          </w:p>
        </w:tc>
        <w:tc>
          <w:tcPr>
            <w:tcW w:w="21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168,447</w:t>
            </w:r>
          </w:p>
        </w:tc>
        <w:tc>
          <w:tcPr>
            <w:tcW w:w="226" w:type="dxa"/>
            <w:tcBorders/>
            <w:shd w:fill="CCEEFF" w:val="clear"/>
            <w:vAlign w:val="bottom"/>
          </w:tcPr>
          <w:p>
            <w:pPr>
              <w:pStyle w:val="TableContents"/>
              <w:bidi w:val="0"/>
              <w:spacing w:before="0" w:after="283"/>
              <w:jc w:val="left"/>
              <w:rPr/>
            </w:pPr>
            <w:r>
              <w:rPr/>
              <w:t> </w:t>
            </w:r>
          </w:p>
        </w:tc>
      </w:tr>
      <w:tr>
        <w:trPr/>
        <w:tc>
          <w:tcPr>
            <w:tcW w:w="3147"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(178,996</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(214,906</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(181,896</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(84,445</w:t>
            </w:r>
          </w:p>
        </w:tc>
        <w:tc>
          <w:tcPr>
            <w:tcW w:w="21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(113,126</w:t>
            </w:r>
          </w:p>
        </w:tc>
        <w:tc>
          <w:tcPr>
            <w:tcW w:w="226" w:type="dxa"/>
            <w:tcBorders/>
            <w:vAlign w:val="bottom"/>
          </w:tcPr>
          <w:p>
            <w:pPr>
              <w:pStyle w:val="TableContents"/>
              <w:bidi w:val="0"/>
              <w:spacing w:before="0" w:after="283"/>
              <w:jc w:val="left"/>
              <w:rPr/>
            </w:pPr>
            <w:r>
              <w:rPr/>
              <w:t>) </w:t>
            </w:r>
          </w:p>
        </w:tc>
      </w:tr>
      <w:tr>
        <w:trPr/>
        <w:tc>
          <w:tcPr>
            <w:tcW w:w="31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(50,564</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265,959</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197,761</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(92,359</w:t>
            </w:r>
          </w:p>
        </w:tc>
        <w:tc>
          <w:tcPr>
            <w:tcW w:w="21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(44,016</w:t>
            </w:r>
          </w:p>
        </w:tc>
        <w:tc>
          <w:tcPr>
            <w:tcW w:w="226" w:type="dxa"/>
            <w:tcBorders/>
            <w:shd w:fill="CCEEFF" w:val="clear"/>
            <w:vAlign w:val="bottom"/>
          </w:tcPr>
          <w:p>
            <w:pPr>
              <w:pStyle w:val="TableContents"/>
              <w:bidi w:val="0"/>
              <w:spacing w:before="0" w:after="283"/>
              <w:jc w:val="left"/>
              <w:rPr/>
            </w:pPr>
            <w:r>
              <w:rPr/>
              <w:t>)  </w:t>
            </w:r>
          </w:p>
        </w:tc>
      </w:tr>
      <w:tr>
        <w:trPr/>
        <w:tc>
          <w:tcPr>
            <w:tcW w:w="3147"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data:</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r>
      <w:tr>
        <w:trPr/>
        <w:tc>
          <w:tcPr>
            <w:tcW w:w="31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Net Income(a)</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198,500</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204,326</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270,219</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170,376</w:t>
            </w:r>
          </w:p>
        </w:tc>
        <w:tc>
          <w:tcPr>
            <w:tcW w:w="21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139,759</w:t>
            </w:r>
          </w:p>
        </w:tc>
        <w:tc>
          <w:tcPr>
            <w:tcW w:w="226" w:type="dxa"/>
            <w:tcBorders/>
            <w:shd w:fill="CCEEFF" w:val="clear"/>
            <w:vAlign w:val="bottom"/>
          </w:tcPr>
          <w:p>
            <w:pPr>
              <w:pStyle w:val="TableContents"/>
              <w:bidi w:val="0"/>
              <w:spacing w:before="0" w:after="283"/>
              <w:jc w:val="left"/>
              <w:rPr/>
            </w:pPr>
            <w:r>
              <w:rPr/>
              <w:t> </w:t>
            </w:r>
          </w:p>
        </w:tc>
      </w:tr>
      <w:tr>
        <w:trPr/>
        <w:tc>
          <w:tcPr>
            <w:tcW w:w="31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EBITDA(a)</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548,574</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528,029</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506,249</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436,764</w:t>
            </w:r>
          </w:p>
        </w:tc>
        <w:tc>
          <w:tcPr>
            <w:tcW w:w="21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395,640</w:t>
            </w:r>
          </w:p>
        </w:tc>
        <w:tc>
          <w:tcPr>
            <w:tcW w:w="226" w:type="dxa"/>
            <w:tcBorders/>
            <w:vAlign w:val="bottom"/>
          </w:tcPr>
          <w:p>
            <w:pPr>
              <w:pStyle w:val="TableContents"/>
              <w:bidi w:val="0"/>
              <w:spacing w:before="0" w:after="283"/>
              <w:jc w:val="left"/>
              <w:rPr/>
            </w:pPr>
            <w:r>
              <w:rPr/>
              <w:t> </w:t>
            </w:r>
          </w:p>
        </w:tc>
      </w:tr>
      <w:tr>
        <w:trPr/>
        <w:tc>
          <w:tcPr>
            <w:tcW w:w="314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(as defined below), to Adjusted Net Income and Adjusted EBITDA, see “ —Non-GAAP Financial Measures.”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549"/>
        <w:gridCol w:w="385"/>
        <w:gridCol w:w="140"/>
        <w:gridCol w:w="987"/>
        <w:gridCol w:w="60"/>
        <w:gridCol w:w="385"/>
        <w:gridCol w:w="140"/>
        <w:gridCol w:w="987"/>
        <w:gridCol w:w="60"/>
        <w:gridCol w:w="385"/>
        <w:gridCol w:w="250"/>
        <w:gridCol w:w="1813"/>
        <w:gridCol w:w="64"/>
      </w:tblGrid>
      <w:tr>
        <w:trPr/>
        <w:tc>
          <w:tcPr>
            <w:tcW w:w="4549"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49"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6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0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September 30,</w:t>
            </w:r>
          </w:p>
        </w:tc>
        <w:tc>
          <w:tcPr>
            <w:tcW w:w="64" w:type="dxa"/>
            <w:tcBorders/>
            <w:vAlign w:val="bottom"/>
          </w:tcPr>
          <w:p>
            <w:pPr>
              <w:pStyle w:val="TableContents"/>
              <w:bidi w:val="0"/>
              <w:spacing w:before="0" w:after="283"/>
              <w:jc w:val="left"/>
              <w:rPr/>
            </w:pPr>
            <w:r>
              <w:rPr/>
              <w:t> </w:t>
            </w:r>
          </w:p>
        </w:tc>
      </w:tr>
      <w:tr>
        <w:trPr/>
        <w:tc>
          <w:tcPr>
            <w:tcW w:w="4549"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0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45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Sheet Data</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81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49" w:type="dxa"/>
            <w:tcBorders/>
          </w:tcPr>
          <w:p>
            <w:pPr>
              <w:pStyle w:val="TableContents"/>
              <w:bidi w:val="0"/>
              <w:spacing w:before="0" w:after="0"/>
              <w:jc w:val="left"/>
              <w:rPr>
                <w:rFonts w:ascii="Times New Roman" w:hAnsi="Times New Roman"/>
                <w:i/>
                <w:sz w:val="20"/>
              </w:rPr>
            </w:pPr>
            <w:r>
              <w:rPr>
                <w:rFonts w:ascii="Times New Roman" w:hAnsi="Times New Roman"/>
                <w:i/>
                <w:sz w:val="20"/>
              </w:rPr>
              <w:t>(in thousands)</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81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5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equivalents(a)</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277,242</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296,407</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813" w:type="dxa"/>
            <w:tcBorders/>
            <w:shd w:fill="CCEEFF" w:val="clear"/>
            <w:vAlign w:val="bottom"/>
          </w:tcPr>
          <w:p>
            <w:pPr>
              <w:pStyle w:val="TableContents"/>
              <w:bidi w:val="0"/>
              <w:spacing w:before="0" w:after="283"/>
              <w:jc w:val="right"/>
              <w:rPr/>
            </w:pPr>
            <w:r>
              <w:rPr/>
              <w:t>299,192</w:t>
            </w:r>
          </w:p>
        </w:tc>
        <w:tc>
          <w:tcPr>
            <w:tcW w:w="64" w:type="dxa"/>
            <w:tcBorders/>
            <w:shd w:fill="CCEEFF" w:val="clear"/>
            <w:vAlign w:val="bottom"/>
          </w:tcPr>
          <w:p>
            <w:pPr>
              <w:pStyle w:val="TableContents"/>
              <w:bidi w:val="0"/>
              <w:spacing w:before="0" w:after="283"/>
              <w:jc w:val="left"/>
              <w:rPr/>
            </w:pPr>
            <w:r>
              <w:rPr/>
              <w:t> </w:t>
            </w:r>
          </w:p>
        </w:tc>
      </w:tr>
      <w:tr>
        <w:trPr/>
        <w:tc>
          <w:tcPr>
            <w:tcW w:w="4549" w:type="dxa"/>
            <w:tcBorders/>
          </w:tcPr>
          <w:p>
            <w:pPr>
              <w:pStyle w:val="TableContents"/>
              <w:bidi w:val="0"/>
              <w:spacing w:before="0" w:after="0"/>
              <w:jc w:val="left"/>
              <w:rPr>
                <w:rFonts w:ascii="Times New Roman" w:hAnsi="Times New Roman"/>
                <w:sz w:val="20"/>
              </w:rPr>
            </w:pPr>
            <w:r>
              <w:rPr>
                <w:rFonts w:ascii="Times New Roman" w:hAnsi="Times New Roman"/>
                <w:sz w:val="20"/>
              </w:rPr>
              <w:t>Working capital(b)</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335,035</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326,590</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right"/>
              <w:rPr/>
            </w:pPr>
            <w:r>
              <w:rPr/>
              <w:t>335,416</w:t>
            </w:r>
          </w:p>
        </w:tc>
        <w:tc>
          <w:tcPr>
            <w:tcW w:w="64" w:type="dxa"/>
            <w:tcBorders/>
            <w:vAlign w:val="bottom"/>
          </w:tcPr>
          <w:p>
            <w:pPr>
              <w:pStyle w:val="TableContents"/>
              <w:bidi w:val="0"/>
              <w:spacing w:before="0" w:after="283"/>
              <w:jc w:val="left"/>
              <w:rPr/>
            </w:pPr>
            <w:r>
              <w:rPr/>
              <w:t> </w:t>
            </w:r>
          </w:p>
        </w:tc>
      </w:tr>
      <w:tr>
        <w:trPr/>
        <w:tc>
          <w:tcPr>
            <w:tcW w:w="45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3,071,648</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3,130,420</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813" w:type="dxa"/>
            <w:tcBorders/>
            <w:shd w:fill="CCEEFF" w:val="clear"/>
            <w:vAlign w:val="bottom"/>
          </w:tcPr>
          <w:p>
            <w:pPr>
              <w:pStyle w:val="TableContents"/>
              <w:bidi w:val="0"/>
              <w:spacing w:before="0" w:after="283"/>
              <w:jc w:val="right"/>
              <w:rPr/>
            </w:pPr>
            <w:r>
              <w:rPr/>
              <w:t>3,186,162</w:t>
            </w:r>
          </w:p>
        </w:tc>
        <w:tc>
          <w:tcPr>
            <w:tcW w:w="64" w:type="dxa"/>
            <w:tcBorders/>
            <w:shd w:fill="CCEEFF" w:val="clear"/>
            <w:vAlign w:val="bottom"/>
          </w:tcPr>
          <w:p>
            <w:pPr>
              <w:pStyle w:val="TableContents"/>
              <w:bidi w:val="0"/>
              <w:spacing w:before="0" w:after="283"/>
              <w:jc w:val="left"/>
              <w:rPr/>
            </w:pPr>
            <w:r>
              <w:rPr/>
              <w:t> </w:t>
            </w:r>
          </w:p>
        </w:tc>
      </w:tr>
      <w:tr>
        <w:trPr/>
        <w:tc>
          <w:tcPr>
            <w:tcW w:w="4549"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and short-term debt (including current portion, less unamortized debt issuance costs and debt discounts)</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2,222,903</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2,228,471</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right"/>
              <w:rPr/>
            </w:pPr>
            <w:r>
              <w:rPr/>
              <w:t>2,142,960</w:t>
            </w:r>
          </w:p>
        </w:tc>
        <w:tc>
          <w:tcPr>
            <w:tcW w:w="64" w:type="dxa"/>
            <w:tcBorders/>
            <w:vAlign w:val="bottom"/>
          </w:tcPr>
          <w:p>
            <w:pPr>
              <w:pStyle w:val="TableContents"/>
              <w:bidi w:val="0"/>
              <w:spacing w:before="0" w:after="283"/>
              <w:jc w:val="left"/>
              <w:rPr/>
            </w:pPr>
            <w:r>
              <w:rPr/>
              <w:t> </w:t>
            </w:r>
          </w:p>
        </w:tc>
      </w:tr>
      <w:tr>
        <w:trPr/>
        <w:tc>
          <w:tcPr>
            <w:tcW w:w="45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2,666,737</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2,686,686</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813" w:type="dxa"/>
            <w:tcBorders/>
            <w:shd w:fill="CCEEFF" w:val="clear"/>
            <w:vAlign w:val="bottom"/>
          </w:tcPr>
          <w:p>
            <w:pPr>
              <w:pStyle w:val="TableContents"/>
              <w:bidi w:val="0"/>
              <w:spacing w:before="0" w:after="283"/>
              <w:jc w:val="right"/>
              <w:rPr/>
            </w:pPr>
            <w:r>
              <w:rPr/>
              <w:t>2,635,691</w:t>
            </w:r>
          </w:p>
        </w:tc>
        <w:tc>
          <w:tcPr>
            <w:tcW w:w="64" w:type="dxa"/>
            <w:tcBorders/>
            <w:shd w:fill="CCEEFF" w:val="clear"/>
            <w:vAlign w:val="bottom"/>
          </w:tcPr>
          <w:p>
            <w:pPr>
              <w:pStyle w:val="TableContents"/>
              <w:bidi w:val="0"/>
              <w:spacing w:before="0" w:after="283"/>
              <w:jc w:val="left"/>
              <w:rPr/>
            </w:pPr>
            <w:r>
              <w:rPr/>
              <w:t> </w:t>
            </w:r>
          </w:p>
        </w:tc>
      </w:tr>
      <w:tr>
        <w:trPr/>
        <w:tc>
          <w:tcPr>
            <w:tcW w:w="4549"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404,911</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443,734</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right"/>
              <w:rPr/>
            </w:pPr>
            <w:r>
              <w:rPr/>
              <w:t>550,471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and cash equivalents excludes restricted cash.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capital represents current assets less current liabilities.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Non-GAAP Financial Measures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supplement our consolidated financial statements presented in accordance with Generally Accepted Accounting Principles (“GAAP”), we consider Adjusted Net Income and Adjusted EBITDA, financial measures that are not based on any standardized methodology prescribed by GAAP.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Cobalt-60 (“Co-60”) used in our operations) and income tax provision applicable to Adjusted Net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primarily exclude: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recurring non-cash charges such as depreciation of fixed assets, although these assets may have to be replaced in the future, as well as amortization of acquired intangible assets and asset retirement obligations (“ARO”);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acquiring and integrating businesses, which will continue to be a part of our growth strategy;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non-cash gains or losses from fluctuations in foreign currency exchange rates, and the mark-to-fair value of derivatives not designated as hedging instruments, which includes the embedded derivatives relating to certain customer and supply contracts at Nordion;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long-lived assets, intangible assets and investments accounted for under the equity method;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on refinancing of debt incurred in connection with refinancing or early extinguishment of long-term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the secondary offerings of our common stock and other shareholder activities;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and charges related to the litigation, settlement agreements, and other activities associated with our ethylene oxide (“EO”) sterilization facilities, including those related to Willowbrook, Illinois, Atlanta, Georgia, Santa Teresa, New Mexico and Vernon, California;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Adjusted EBITDA, interest expense or the cash requirements necessary to service interest or principal payments on our indebtedness;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compensation expense, which has been, and will continue to be for the foreseeable future, a significant recurring expense and an important part of our compensation strategy.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presents a reconciliation of net income (loss), the most directly comparable financial measure calculated and presented in accordance with GAAP to Adjusted Net Income and Adjusted EBITDA, for each of the periods indicated: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507"/>
        <w:gridCol w:w="186"/>
        <w:gridCol w:w="140"/>
        <w:gridCol w:w="859"/>
        <w:gridCol w:w="155"/>
        <w:gridCol w:w="139"/>
        <w:gridCol w:w="140"/>
        <w:gridCol w:w="859"/>
        <w:gridCol w:w="155"/>
        <w:gridCol w:w="139"/>
        <w:gridCol w:w="140"/>
        <w:gridCol w:w="918"/>
        <w:gridCol w:w="155"/>
        <w:gridCol w:w="139"/>
        <w:gridCol w:w="140"/>
        <w:gridCol w:w="859"/>
        <w:gridCol w:w="214"/>
        <w:gridCol w:w="139"/>
        <w:gridCol w:w="140"/>
        <w:gridCol w:w="859"/>
        <w:gridCol w:w="223"/>
      </w:tblGrid>
      <w:tr>
        <w:trPr/>
        <w:tc>
          <w:tcPr>
            <w:tcW w:w="3507"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50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64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3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223" w:type="dxa"/>
            <w:tcBorders/>
            <w:vAlign w:val="bottom"/>
          </w:tcPr>
          <w:p>
            <w:pPr>
              <w:pStyle w:val="TableContents"/>
              <w:bidi w:val="0"/>
              <w:spacing w:before="0" w:after="283"/>
              <w:jc w:val="left"/>
              <w:rPr/>
            </w:pPr>
            <w:r>
              <w:rPr/>
              <w:t> </w:t>
            </w:r>
          </w:p>
        </w:tc>
      </w:tr>
      <w:tr>
        <w:trPr/>
        <w:tc>
          <w:tcPr>
            <w:tcW w:w="3507" w:type="dxa"/>
            <w:tcBorders/>
            <w:vAlign w:val="bottom"/>
          </w:tcPr>
          <w:p>
            <w:pPr>
              <w:pStyle w:val="TableContents"/>
              <w:bidi w:val="0"/>
              <w:spacing w:before="0" w:after="283"/>
              <w:jc w:val="left"/>
              <w:rPr>
                <w:i/>
              </w:rPr>
            </w:pPr>
            <w:r>
              <w:rPr>
                <w:i/>
              </w:rPr>
              <w:t>(in thousands)</w:t>
            </w:r>
          </w:p>
        </w:tc>
        <w:tc>
          <w:tcPr>
            <w:tcW w:w="186"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23" w:type="dxa"/>
            <w:tcBorders/>
            <w:vAlign w:val="bottom"/>
          </w:tcPr>
          <w:p>
            <w:pPr>
              <w:pStyle w:val="TableContents"/>
              <w:bidi w:val="0"/>
              <w:spacing w:before="0" w:after="283"/>
              <w:jc w:val="left"/>
              <w:rPr/>
            </w:pPr>
            <w:r>
              <w:rPr/>
              <w:t> </w:t>
            </w:r>
          </w:p>
        </w:tc>
      </w:tr>
      <w:tr>
        <w:trPr/>
        <w:tc>
          <w:tcPr>
            <w:tcW w:w="35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44,398</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51,376</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(233,570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 xml:space="preserve">43,102 </w:t>
            </w:r>
          </w:p>
        </w:tc>
        <w:tc>
          <w:tcPr>
            <w:tcW w:w="21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32,075</w:t>
            </w:r>
          </w:p>
        </w:tc>
        <w:tc>
          <w:tcPr>
            <w:tcW w:w="223" w:type="dxa"/>
            <w:tcBorders/>
            <w:shd w:fill="CCEEFF" w:val="clear"/>
            <w:vAlign w:val="bottom"/>
          </w:tcPr>
          <w:p>
            <w:pPr>
              <w:pStyle w:val="TableContents"/>
              <w:bidi w:val="0"/>
              <w:spacing w:before="0" w:after="283"/>
              <w:jc w:val="left"/>
              <w:rPr/>
            </w:pPr>
            <w:r>
              <w:rPr/>
              <w:t> </w:t>
            </w:r>
          </w:p>
        </w:tc>
      </w:tr>
      <w:tr>
        <w:trPr/>
        <w:tc>
          <w:tcPr>
            <w:tcW w:w="350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79,377</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81,348</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81,554</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36,246</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59,737</w:t>
            </w:r>
          </w:p>
        </w:tc>
        <w:tc>
          <w:tcPr>
            <w:tcW w:w="223" w:type="dxa"/>
            <w:tcBorders/>
            <w:vAlign w:val="bottom"/>
          </w:tcPr>
          <w:p>
            <w:pPr>
              <w:pStyle w:val="TableContents"/>
              <w:bidi w:val="0"/>
              <w:spacing w:before="0" w:after="283"/>
              <w:jc w:val="left"/>
              <w:rPr/>
            </w:pPr>
            <w:r>
              <w:rPr/>
              <w:t> </w:t>
            </w:r>
          </w:p>
        </w:tc>
      </w:tr>
      <w:tr>
        <w:trPr/>
        <w:tc>
          <w:tcPr>
            <w:tcW w:w="3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compensation(a)</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36,896</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32,364</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21,211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23,465</w:t>
            </w:r>
          </w:p>
        </w:tc>
        <w:tc>
          <w:tcPr>
            <w:tcW w:w="21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28,723</w:t>
            </w:r>
          </w:p>
        </w:tc>
        <w:tc>
          <w:tcPr>
            <w:tcW w:w="223" w:type="dxa"/>
            <w:tcBorders/>
            <w:shd w:fill="CCEEFF" w:val="clear"/>
            <w:vAlign w:val="bottom"/>
          </w:tcPr>
          <w:p>
            <w:pPr>
              <w:pStyle w:val="TableContents"/>
              <w:bidi w:val="0"/>
              <w:spacing w:before="0" w:after="283"/>
              <w:jc w:val="left"/>
              <w:rPr/>
            </w:pPr>
            <w:r>
              <w:rPr/>
              <w:t> </w:t>
            </w:r>
          </w:p>
        </w:tc>
      </w:tr>
      <w:tr>
        <w:trPr/>
        <w:tc>
          <w:tcPr>
            <w:tcW w:w="3507" w:type="dxa"/>
            <w:tcBorders/>
          </w:tcPr>
          <w:p>
            <w:pPr>
              <w:pStyle w:val="TableContents"/>
              <w:bidi w:val="0"/>
              <w:spacing w:before="0" w:after="0"/>
              <w:jc w:val="left"/>
              <w:rPr>
                <w:rFonts w:ascii="Times New Roman" w:hAnsi="Times New Roman"/>
                <w:sz w:val="20"/>
              </w:rPr>
            </w:pPr>
            <w:r>
              <w:rPr>
                <w:rFonts w:ascii="Times New Roman" w:hAnsi="Times New Roman"/>
                <w:sz w:val="20"/>
              </w:rPr>
              <w:t>Loss on refinancing of debt(b)</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24,168</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1,167</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24,160</w:t>
            </w:r>
          </w:p>
        </w:tc>
        <w:tc>
          <w:tcPr>
            <w:tcW w:w="223" w:type="dxa"/>
            <w:tcBorders/>
            <w:vAlign w:val="bottom"/>
          </w:tcPr>
          <w:p>
            <w:pPr>
              <w:pStyle w:val="TableContents"/>
              <w:bidi w:val="0"/>
              <w:spacing w:before="0" w:after="283"/>
              <w:jc w:val="left"/>
              <w:rPr/>
            </w:pPr>
            <w:r>
              <w:rPr/>
              <w:t> </w:t>
            </w:r>
          </w:p>
        </w:tc>
      </w:tr>
      <w:tr>
        <w:trPr/>
        <w:tc>
          <w:tcPr>
            <w:tcW w:w="3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on foreign currency and derivatives not designated as hedging instruments, net(c)</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2,448</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(1,552</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3,150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(1,294</w:t>
            </w:r>
          </w:p>
        </w:tc>
        <w:tc>
          <w:tcPr>
            <w:tcW w:w="21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(1,699</w:t>
            </w:r>
          </w:p>
        </w:tc>
        <w:tc>
          <w:tcPr>
            <w:tcW w:w="223" w:type="dxa"/>
            <w:tcBorders/>
            <w:shd w:fill="CCEEFF" w:val="clear"/>
            <w:vAlign w:val="bottom"/>
          </w:tcPr>
          <w:p>
            <w:pPr>
              <w:pStyle w:val="TableContents"/>
              <w:bidi w:val="0"/>
              <w:spacing w:before="0" w:after="283"/>
              <w:jc w:val="left"/>
              <w:rPr/>
            </w:pPr>
            <w:r>
              <w:rPr/>
              <w:t>) </w:t>
            </w:r>
          </w:p>
        </w:tc>
      </w:tr>
      <w:tr>
        <w:trPr/>
        <w:tc>
          <w:tcPr>
            <w:tcW w:w="3507" w:type="dxa"/>
            <w:tcBorders/>
          </w:tcPr>
          <w:p>
            <w:pPr>
              <w:pStyle w:val="TableContents"/>
              <w:bidi w:val="0"/>
              <w:spacing w:before="0" w:after="0"/>
              <w:jc w:val="left"/>
              <w:rPr>
                <w:rFonts w:ascii="Times New Roman" w:hAnsi="Times New Roman"/>
                <w:sz w:val="20"/>
              </w:rPr>
            </w:pPr>
            <w:r>
              <w:rPr>
                <w:rFonts w:ascii="Times New Roman" w:hAnsi="Times New Roman"/>
                <w:sz w:val="20"/>
              </w:rPr>
              <w:t>Business optimization expenses(d)</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9,368</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7,662</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8,354</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7,575</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4,733</w:t>
            </w:r>
          </w:p>
        </w:tc>
        <w:tc>
          <w:tcPr>
            <w:tcW w:w="223" w:type="dxa"/>
            <w:tcBorders/>
            <w:vAlign w:val="bottom"/>
          </w:tcPr>
          <w:p>
            <w:pPr>
              <w:pStyle w:val="TableContents"/>
              <w:bidi w:val="0"/>
              <w:spacing w:before="0" w:after="283"/>
              <w:jc w:val="left"/>
              <w:rPr/>
            </w:pPr>
            <w:r>
              <w:rPr/>
              <w:t> </w:t>
            </w:r>
          </w:p>
        </w:tc>
      </w:tr>
      <w:tr>
        <w:trPr/>
        <w:tc>
          <w:tcPr>
            <w:tcW w:w="3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investment in unconsolidated affiliate(e)</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9,613</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283"/>
              <w:jc w:val="left"/>
              <w:rPr/>
            </w:pPr>
            <w:r>
              <w:rPr/>
              <w:t> </w:t>
            </w:r>
          </w:p>
        </w:tc>
      </w:tr>
      <w:tr>
        <w:trPr/>
        <w:tc>
          <w:tcPr>
            <w:tcW w:w="3507"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services relating to EO sterilization facilities(f)</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32,694</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45,312</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72,639</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37,515</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22,357</w:t>
            </w:r>
          </w:p>
        </w:tc>
        <w:tc>
          <w:tcPr>
            <w:tcW w:w="223" w:type="dxa"/>
            <w:tcBorders/>
            <w:vAlign w:val="bottom"/>
          </w:tcPr>
          <w:p>
            <w:pPr>
              <w:pStyle w:val="TableContents"/>
              <w:bidi w:val="0"/>
              <w:spacing w:before="0" w:after="283"/>
              <w:jc w:val="left"/>
              <w:rPr/>
            </w:pPr>
            <w:r>
              <w:rPr/>
              <w:t> </w:t>
            </w:r>
          </w:p>
        </w:tc>
      </w:tr>
      <w:tr>
        <w:trPr/>
        <w:tc>
          <w:tcPr>
            <w:tcW w:w="3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Illinois EO litigation settlements(g)</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408,000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64,943</w:t>
            </w:r>
          </w:p>
        </w:tc>
        <w:tc>
          <w:tcPr>
            <w:tcW w:w="21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283"/>
              <w:jc w:val="left"/>
              <w:rPr/>
            </w:pPr>
            <w:r>
              <w:rPr/>
              <w:t> </w:t>
            </w:r>
          </w:p>
        </w:tc>
      </w:tr>
      <w:tr>
        <w:trPr/>
        <w:tc>
          <w:tcPr>
            <w:tcW w:w="3507" w:type="dxa"/>
            <w:tcBorders/>
          </w:tcPr>
          <w:p>
            <w:pPr>
              <w:pStyle w:val="TableContents"/>
              <w:bidi w:val="0"/>
              <w:spacing w:before="0" w:after="0"/>
              <w:jc w:val="left"/>
              <w:rPr>
                <w:rFonts w:ascii="Times New Roman" w:hAnsi="Times New Roman"/>
                <w:sz w:val="20"/>
              </w:rPr>
            </w:pPr>
            <w:r>
              <w:rPr>
                <w:rFonts w:ascii="Times New Roman" w:hAnsi="Times New Roman"/>
                <w:sz w:val="20"/>
              </w:rPr>
              <w:t>Georgia EO litigation settlement(h)</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35,000</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r>
      <w:tr>
        <w:trPr/>
        <w:tc>
          <w:tcPr>
            <w:tcW w:w="3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asset retirement obligations(i)</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2,638</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2,413</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2,194</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1,738</w:t>
            </w:r>
          </w:p>
        </w:tc>
        <w:tc>
          <w:tcPr>
            <w:tcW w:w="21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1,914</w:t>
            </w:r>
          </w:p>
        </w:tc>
        <w:tc>
          <w:tcPr>
            <w:tcW w:w="223" w:type="dxa"/>
            <w:tcBorders/>
            <w:shd w:fill="CCEEFF" w:val="clear"/>
            <w:vAlign w:val="bottom"/>
          </w:tcPr>
          <w:p>
            <w:pPr>
              <w:pStyle w:val="TableContents"/>
              <w:bidi w:val="0"/>
              <w:spacing w:before="0" w:after="283"/>
              <w:jc w:val="left"/>
              <w:rPr/>
            </w:pPr>
            <w:r>
              <w:rPr/>
              <w:t> </w:t>
            </w:r>
          </w:p>
        </w:tc>
      </w:tr>
      <w:tr>
        <w:trPr/>
        <w:tc>
          <w:tcPr>
            <w:tcW w:w="3507" w:type="dxa"/>
            <w:tcBorders/>
          </w:tcPr>
          <w:p>
            <w:pPr>
              <w:pStyle w:val="TableContents"/>
              <w:bidi w:val="0"/>
              <w:spacing w:before="0" w:after="0"/>
              <w:jc w:val="left"/>
              <w:rPr>
                <w:rFonts w:ascii="Times New Roman" w:hAnsi="Times New Roman"/>
                <w:sz w:val="20"/>
              </w:rPr>
            </w:pPr>
            <w:r>
              <w:rPr>
                <w:rFonts w:ascii="Times New Roman" w:hAnsi="Times New Roman"/>
                <w:sz w:val="20"/>
              </w:rPr>
              <w:t>COVID-19 expenses(j)</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155</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r>
      <w:tr>
        <w:trPr/>
        <w:tc>
          <w:tcPr>
            <w:tcW w:w="3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 associated with pre-tax adjustments(k)</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(33,487</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(49,597</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(103,081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(44,081</w:t>
            </w:r>
          </w:p>
        </w:tc>
        <w:tc>
          <w:tcPr>
            <w:tcW w:w="21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(32,241</w:t>
            </w:r>
          </w:p>
        </w:tc>
        <w:tc>
          <w:tcPr>
            <w:tcW w:w="223" w:type="dxa"/>
            <w:tcBorders/>
            <w:shd w:fill="CCEEFF" w:val="clear"/>
            <w:vAlign w:val="bottom"/>
          </w:tcPr>
          <w:p>
            <w:pPr>
              <w:pStyle w:val="TableContents"/>
              <w:bidi w:val="0"/>
              <w:spacing w:before="0" w:after="283"/>
              <w:jc w:val="left"/>
              <w:rPr/>
            </w:pPr>
            <w:r>
              <w:rPr/>
              <w:t>)  </w:t>
            </w:r>
          </w:p>
        </w:tc>
      </w:tr>
      <w:tr>
        <w:trPr/>
        <w:tc>
          <w:tcPr>
            <w:tcW w:w="3507"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r>
      <w:tr>
        <w:trPr/>
        <w:tc>
          <w:tcPr>
            <w:tcW w:w="3507"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Net Income</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198,500</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204,326</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270,219</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170,376</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139,759</w:t>
            </w:r>
          </w:p>
        </w:tc>
        <w:tc>
          <w:tcPr>
            <w:tcW w:w="223" w:type="dxa"/>
            <w:tcBorders/>
            <w:vAlign w:val="bottom"/>
          </w:tcPr>
          <w:p>
            <w:pPr>
              <w:pStyle w:val="TableContents"/>
              <w:bidi w:val="0"/>
              <w:spacing w:before="0" w:after="283"/>
              <w:jc w:val="left"/>
              <w:rPr/>
            </w:pPr>
            <w:r>
              <w:rPr/>
              <w:t> </w:t>
            </w:r>
          </w:p>
        </w:tc>
      </w:tr>
      <w:tr>
        <w:trPr/>
        <w:tc>
          <w:tcPr>
            <w:tcW w:w="3507"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r>
      <w:tr>
        <w:trPr/>
        <w:tc>
          <w:tcPr>
            <w:tcW w:w="3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164,691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142,878</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78,490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120,674</w:t>
            </w:r>
          </w:p>
        </w:tc>
        <w:tc>
          <w:tcPr>
            <w:tcW w:w="21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123,731</w:t>
            </w:r>
          </w:p>
        </w:tc>
        <w:tc>
          <w:tcPr>
            <w:tcW w:w="223" w:type="dxa"/>
            <w:tcBorders/>
            <w:shd w:fill="CCEEFF" w:val="clear"/>
            <w:vAlign w:val="bottom"/>
          </w:tcPr>
          <w:p>
            <w:pPr>
              <w:pStyle w:val="TableContents"/>
              <w:bidi w:val="0"/>
              <w:spacing w:before="0" w:after="283"/>
              <w:jc w:val="left"/>
              <w:rPr/>
            </w:pPr>
            <w:r>
              <w:rPr/>
              <w:t> </w:t>
            </w:r>
          </w:p>
        </w:tc>
      </w:tr>
      <w:tr>
        <w:trPr/>
        <w:tc>
          <w:tcPr>
            <w:tcW w:w="350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Depreciation(l)</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82,420</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76,577</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64,000</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67,726</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63,074</w:t>
            </w:r>
          </w:p>
        </w:tc>
        <w:tc>
          <w:tcPr>
            <w:tcW w:w="223" w:type="dxa"/>
            <w:tcBorders/>
            <w:vAlign w:val="bottom"/>
          </w:tcPr>
          <w:p>
            <w:pPr>
              <w:pStyle w:val="TableContents"/>
              <w:bidi w:val="0"/>
              <w:spacing w:before="0" w:after="283"/>
              <w:jc w:val="left"/>
              <w:rPr/>
            </w:pPr>
            <w:r>
              <w:rPr/>
              <w:t> </w:t>
            </w:r>
          </w:p>
        </w:tc>
      </w:tr>
      <w:tr>
        <w:trPr/>
        <w:tc>
          <w:tcPr>
            <w:tcW w:w="3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 applicable to Adjusted Net Income(m)</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102,963</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104,248</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93,540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77,988</w:t>
            </w:r>
          </w:p>
        </w:tc>
        <w:tc>
          <w:tcPr>
            <w:tcW w:w="21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69,076</w:t>
            </w:r>
          </w:p>
        </w:tc>
        <w:tc>
          <w:tcPr>
            <w:tcW w:w="223" w:type="dxa"/>
            <w:tcBorders/>
            <w:shd w:fill="CCEEFF" w:val="clear"/>
            <w:vAlign w:val="bottom"/>
          </w:tcPr>
          <w:p>
            <w:pPr>
              <w:pStyle w:val="TableContents"/>
              <w:bidi w:val="0"/>
              <w:spacing w:before="0" w:after="283"/>
              <w:jc w:val="left"/>
              <w:rPr/>
            </w:pPr>
            <w:r>
              <w:rPr/>
              <w:t> </w:t>
            </w:r>
          </w:p>
        </w:tc>
      </w:tr>
      <w:tr>
        <w:trPr/>
        <w:tc>
          <w:tcPr>
            <w:tcW w:w="3507"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r>
      <w:tr>
        <w:trPr/>
        <w:tc>
          <w:tcPr>
            <w:tcW w:w="3507" w:type="dxa"/>
            <w:tcBorders/>
          </w:tcPr>
          <w:p>
            <w:pPr>
              <w:pStyle w:val="TableContents"/>
              <w:bidi w:val="0"/>
              <w:spacing w:before="0" w:after="0"/>
              <w:jc w:val="left"/>
              <w:rPr>
                <w:rFonts w:ascii="Times New Roman" w:hAnsi="Times New Roman"/>
                <w:sz w:val="20"/>
              </w:rPr>
            </w:pPr>
            <w:r>
              <w:rPr>
                <w:rFonts w:ascii="Times New Roman" w:hAnsi="Times New Roman"/>
                <w:b/>
                <w:sz w:val="20"/>
              </w:rPr>
              <w:t>Adjusted EBITDA</w:t>
            </w:r>
            <w:r>
              <w:rPr>
                <w:rFonts w:ascii="Times New Roman" w:hAnsi="Times New Roman"/>
                <w:sz w:val="20"/>
              </w:rPr>
              <w:t>(n)</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548,574</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528,029</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506,249</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436,764</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395,640</w:t>
            </w:r>
          </w:p>
        </w:tc>
        <w:tc>
          <w:tcPr>
            <w:tcW w:w="223" w:type="dxa"/>
            <w:tcBorders/>
            <w:vAlign w:val="bottom"/>
          </w:tcPr>
          <w:p>
            <w:pPr>
              <w:pStyle w:val="TableContents"/>
              <w:bidi w:val="0"/>
              <w:spacing w:before="0" w:after="283"/>
              <w:jc w:val="left"/>
              <w:rPr/>
            </w:pPr>
            <w:r>
              <w:rPr/>
              <w:t> </w:t>
            </w:r>
          </w:p>
        </w:tc>
      </w:tr>
      <w:tr>
        <w:trPr/>
        <w:tc>
          <w:tcPr>
            <w:tcW w:w="3507"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share-based compensation expense related to employees and Non-Employee Directors.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write-off of unamortized debt issuance costs and discounts, as well as certain other costs incurred related to the refinancing activity for the Term Loans, the Secured Notes and the Revolving Credit Facility.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effects of (i) fluctuations in foreign currency exchange rates, (ii) non-cash mark-to-fair value of embedded derivatives relating to certain customer and supply contracts at Nordion, and (iii) unrealized gains and losses on interest rate derivatives not designated as hedging instruments.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 The year ended December 31, 2023 includes a $1.0 million cancellation fee received from a tenant in connection with the termination of an office space lease at the Nordion facility.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impairment charge on an equity method investment in a joint venture.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litigation and other professional fees associated with our EO sterilization facilities.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presented for the year ended December 31, 2022 represent the cost to settle 880 pending and threatened EO claims in Illinois pursuant to settlement agreements entered into on January 9, 2023 and finalized on March 28, 2023. Amounts presented for the nine months ended September 30, 2025 represent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cost to settle 79 pending EO claims in Georgia under a settlement entered into on December 21,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non-cash accretion of ARO related to Co-60 gamma and EO sterilization facilities, which are based on estimated site remediation costs for any future decommissioning of these facilities and are accreted over the life of the asset.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(j)</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non-recurring costs associated with the COVID-19 pandemic, including incremental costs to implement workplace health and safety measures.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(k)</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income tax impact of adjustments calculated based on the tax rate applicable to each item. We eliminate the effect of tax rate changes as applied to tax assets and liabilities and unusual items from our presentation of adjusted net income.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depreciation of Co-60 held at gamma irradiation sites. The year ended December 31, 2024 and nine months ended September 30, 2025 exclude accelerated depreciation associated with business optimization activities.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difference between the income tax provision/benefit as determined under U.S. GAAP and the income tax provision/benefit associated with pre-tax adjustments described in footnote (k).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(n)</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$97.1 million and $94.1 million of the adjustments for the year ended December 31, 2024, and 2023, respectively, and $72.7 million and $73.0 million of the adjustments for the nine months ended September 30, 2025 and 2024, respectively, are included in cost of revenues, primarily consisting of amortization of intangible assets, depreciation, and accretion of ARO.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69893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You should carefully consider the following risks together with the other information included or incorporated by reference in this prospectus supplement and the accompanying prospectus before deciding to invest in our common stock, including the risks described under “Risk Factors” in Part I, Item 1A of our Annual Report.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Offering and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and trading volume of our common stock may be volatile, and you could lose all or part of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our common stock may fluctuate or decline significantly in the future. Some of the factors that could negatively affect our share price or result in fluctuations in the price or trading volume of our common stock include those listed in the related Risk Factors described under “Risk Factors—Risks Related to the Company” and “—Risks Related to Our Indebtedness and Liquidity” in our Annual Report, and the following, some of which are beyond our control: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 our litigation matters and governmental investigations or additional significant lawsuits or governmental investigations relating to our services or facilities, including our susceptibility as a publicly-traded company to enforcement proceedings and civil litigation alleging that our disclosures have not complied with federal and state securities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jurisdictions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about us or the industries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our quarterly or annual results of operations, or in those of our competitors or of companies in the medical device and pharmaceutical industries;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projections we may provide to the public, any changes in these projections or our failure to meet these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our common stock by us or our stockholders in the future or the perception that such sales may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about the industries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analysts’ estimates, investors’ perceptions, recommendations by securities analysts, our failure to achieve analysts’ estimates or failure of analysts to maintain coverage of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in the trading prices and trading volumes of companies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operating performance and stock market valuations of companies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policies, guidance, interpretations or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or economic downturns in the markets in which we, our suppliers or our customers are located caused by pandemics, such as the COVID-19 pandemic, and related policies and restrictions undertaken to contain the spread of such pandemics or potential pandemics;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 and costs associated with potential shareholder activism campaigns and outreach efforts;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conditions and other factors unrelated to our operating performance or the operating performance of our competitors.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companies’ securities, securities class action litigation has often been instituted against these companies, and a putative class action of this kind is currently pending against us. See Note 14, “Commitments and Contingencies” to our consolidated financial statements under the heading “Sotera Health Company Securities Litigation and Related Matters” in our Quarterly Report on Form 10-Q for the quarter ended September 30, 2025. Such litigation could result in substantial costs and a diversion of our management’s attention and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future issuance of additional common stock in connection with our incentive plans, acquisitions or otherwise will dilute all other stockholdings. </w:t>
      </w:r>
    </w:p>
    <w:p>
      <w:pPr>
        <w:pStyle w:val="TextBody"/>
        <w:bidi w:val="0"/>
        <w:spacing w:before="120" w:after="0"/>
        <w:jc w:val="left"/>
        <w:rPr>
          <w:rFonts w:ascii="Times New Roman" w:hAnsi="Times New Roman"/>
          <w:sz w:val="20"/>
        </w:rPr>
      </w:pPr>
      <w:r>
        <w:rPr>
          <w:rFonts w:ascii="Times New Roman" w:hAnsi="Times New Roman"/>
          <w:sz w:val="20"/>
        </w:rPr>
        <w:t xml:space="preserve">As of October 28, 2025, we had an aggregate of 284,093,929 shares of common stock that are not currently reserved for issuance under our 2020 Plan, as well as 1,943,223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offerings of debt or equity securities by us may adversely affect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requiring substantial additional capital through a combination of additional issuances of equity, corporate indebtedness, asset-backed acquisition financing and/or cash from operations. </w:t>
      </w:r>
    </w:p>
    <w:p>
      <w:pPr>
        <w:pStyle w:val="TextBody"/>
        <w:bidi w:val="0"/>
        <w:spacing w:before="240" w:after="0"/>
        <w:jc w:val="left"/>
        <w:rPr>
          <w:rFonts w:ascii="Times New Roman" w:hAnsi="Times New Roman"/>
          <w:sz w:val="20"/>
        </w:rPr>
      </w:pPr>
      <w:r>
        <w:rPr>
          <w:rFonts w:ascii="Times New Roman" w:hAnsi="Times New Roman"/>
          <w:sz w:val="20"/>
        </w:rPr>
        <w:t xml:space="preserve">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w:t>
      </w:r>
    </w:p>
    <w:p>
      <w:pPr>
        <w:pStyle w:val="TextBody"/>
        <w:bidi w:val="0"/>
        <w:spacing w:before="240" w:after="0"/>
        <w:jc w:val="left"/>
        <w:rPr>
          <w:rFonts w:ascii="Times New Roman" w:hAnsi="Times New Roman"/>
          <w:sz w:val="20"/>
        </w:rPr>
      </w:pPr>
      <w:r>
        <w:rPr>
          <w:rFonts w:ascii="Times New Roman" w:hAnsi="Times New Roman"/>
          <w:sz w:val="20"/>
        </w:rPr>
        <w:t xml:space="preserve">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sale of a substantial number of shares of our common stock, or the perception that such sales might occur, may cause the price of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Future sales of substantial amounts of our common stock in the public market,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our initial public offering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individual stockholders who were members of our management before the IPO, and other persons related to these individuals, are subject to contractual restrictions on transfer of shares of our common stock until November 19, 2026. These restrictions apply to approximately 16,850,235 shares as of October 28, 2025, but may be waived at any time by a majority of the members of the leadership development and compensation committee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supplement, the Sponsors own approximately 36.27% of our outstanding common stock, and following completion of this offering the Sponsors will own approximately 25.71%, and have rights to require us to file registration statements covering their shares. The Sponsors and certain other stockholders could also require us to include their shares in registration statements that we may file for ourselves or our stockholders. Additionally, the Sponsors and our officers and directors may sell shares into the public markets in accordance with the requirements of Rule 144 under the Securities Act of 1933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Any sales of securities by any of our stockholders described above could have a material adverse effect on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interests of the Sponsors may differ from the interests of other stockholders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supplement, the Sponsors own approximately 36.27% of our outstanding common stock, and following completion of this offering we expect that the Sponsors will own approximately 25.71%, and retain the right to designate three of our directors (subject to further reduction as ownership levels decrease). As a result, even after their ownership is reduced by this offering, the Sponsors will have substantial influence over all matters requiring a stockholder vote. The Stockholders Agreement contains agreements with respect to certain other matters,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the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were sold to the public in our IPO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losses arising out of any threatened or actual litigation by reason of the fact that the indemnified person is or was a holder of our common stock or of equity interests in Sotera Health Company. Public stockholders will not benefit from this indemnification provision. </w:t>
      </w:r>
    </w:p>
    <w:p>
      <w:pPr>
        <w:pStyle w:val="TextBody"/>
        <w:bidi w:val="0"/>
        <w:spacing w:before="240" w:after="0"/>
        <w:jc w:val="left"/>
        <w:rPr>
          <w:rFonts w:ascii="Times New Roman" w:hAnsi="Times New Roman"/>
          <w:sz w:val="20"/>
        </w:rPr>
      </w:pPr>
      <w:r>
        <w:rPr>
          <w:rFonts w:ascii="Times New Roman" w:hAnsi="Times New Roman"/>
          <w:sz w:val="20"/>
        </w:rPr>
        <w:t xml:space="preserve">This concentration of ownership, together with the Sponsors’ rights under the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the Stockholders Agreement, may adversely affect the trading price of our common stock because investors may perceive disadvantages in owning shares in a company with significant stockholders with correspondingly significant voting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Certain of our stockholders have the right to engage or invest in the same or similar businesses as us. </w:t>
      </w:r>
    </w:p>
    <w:p>
      <w:pPr>
        <w:pStyle w:val="TextBody"/>
        <w:bidi w:val="0"/>
        <w:spacing w:before="120" w:after="0"/>
        <w:jc w:val="left"/>
        <w:rPr>
          <w:rFonts w:ascii="Times New Roman" w:hAnsi="Times New Roman"/>
          <w:sz w:val="20"/>
        </w:rPr>
      </w:pPr>
      <w:r>
        <w:rPr>
          <w:rFonts w:ascii="Times New Roman" w:hAnsi="Times New Roman"/>
          <w:sz w:val="20"/>
        </w:rPr>
        <w:t xml:space="preserve">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of our directors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and such person acts in good faith.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our amended and restated certificate of incorporation, amended and restated bylaws and the Stockholders Agreement, as well as Delaware law, could discourage a change in control of our company or a change in our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the Stockholders Agreement and Delaware law contain provisions that might discourage, delay or prevent a merger, acquisition, or other change in control that stockholders may consider favorable, including transactions in which our stockholders might otherwise receive a premium for shares of our common stock. These provisions may also prevent or frustrate attempts by our stockholders to replace or remove our management.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liability of, and providing indemnification to, our directors and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 classified board of directors with three-year staggered terms, which could delay the ability of stockholders to change the membership of a majority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that directors may be removed only for cause by the affirmative vote of the holders of at least 75% of the voting power of our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affirmative vote of at least 66 2/3% of the voting power of our outstanding common stock to amend certain provisions of our amended and restated certificate of incorporation and amended and restated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issue blank check preferred stock without stockholder approval, which could be used to dilute the stock ownership of a potential hostile acquirer or adopt a stockholder rights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requirement that our stockholders may only take action at annual or special meetings of our stockholders and may not act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ability of stockholders to call and bring business before special meetings;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forum to the Court of Chancery of the State of Delaware or federal court located within the State of Delaware for certain types of actions and proceedings that may be initiated against us by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stockholder approval is obtained prior to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might discourage, delay or prevent a change in control of our company or a change in our management. For example, because investment funds and entities affiliated with either Warburg Pincus or GTCR together will continue to own a substantial portion of the voting power of our common stock, they could prevent or make more difficult a third party acquisition of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Securities Exchange Act of 1934, as amended (the “Exchange Act”). Section 27 of the 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 </w:t>
      </w:r>
    </w:p>
    <w:p>
      <w:pPr>
        <w:pStyle w:val="TextBody"/>
        <w:bidi w:val="0"/>
        <w:spacing w:before="240" w:after="0"/>
        <w:jc w:val="left"/>
        <w:rPr>
          <w:rFonts w:ascii="Times New Roman" w:hAnsi="Times New Roman"/>
          <w:sz w:val="20"/>
        </w:rPr>
      </w:pPr>
      <w:r>
        <w:rPr>
          <w:rFonts w:ascii="Times New Roman" w:hAnsi="Times New Roman"/>
          <w:sz w:val="20"/>
        </w:rPr>
        <w:t xml:space="preserve">The Delaware Forum Provision and the Federal Forum Provision may limit a stockholder’s ability to bring a claim in a judicial forum that the stockholder believes might be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anticipate paying any dividends on our common stock in the foreseeable future, and, consequently, our stockholders’ ability to achieve a return on their investment depends on appreciation in the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do not expect to declare or pay dividends on our common stock in the foreseeable future. We currently expect to use any cash flow generated by operations to pay for our operations, grow our business and repay existing indebtedness.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our senior secured first lien credit facilities and senior secured first lien notes. As a result, capital appreciation, if any, of our common stock will be the sole source of potential gain for the foreseeable future, and our stockholders will have to sell some or all of their common stock holdings to generate cash flow from their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69893_7"/>
      <w:bookmarkEnd w:id="9"/>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and any documents incorporated by reference in this prospectus supplement and accompanying prospectus may contain or incorporate by reference “forward- looking statements” within the meaning of the Private Securities Litigation Reform Act of 1995. Forward- 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disruption in the availability or supply of, or increases in the price of, EO, Co-60 or our other direct materials, services and supplies, including as a result of geopolitical instability and/or sanctions against Russia by the United States, Canada, United Kingdom and/or the European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evolving changes in environmental, health and safety regulations or preferences, and general economic, social and business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 and safety risks associated with the use, storage, transportation and disposal of potentially hazardous materials such as EO and Co-60;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and outcome of current and future legal proceedings and liability claims, including litigation related to the use, emissions and releases of EO from our facilities in California, Georgia, Illinois and New Mexico and the possibility that additional claims will be made in the future relating to these or other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satisfy the conditions for settlement of the EO claims related to our former facility in Willowbrook, Illinois;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allegations of our failure to properly perform services and potential product liability claims, recalls, penalties and reputational harm;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extensive regulatory requirements to which we are subject, the related costs, and any failures to receive or maintain, or delays in receiving, required clearances or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in industry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we face;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and changes, including inflationary trends and the impact of tariffs, that impact our long-term supply contracts with variable price clauses and increase our cost of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continuity hazards, including supply chain disruptions, the impact of the U.S. federal government shutdown and other risks associated with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of doing business internationally, including global and regional economic and political instability and compliance with various applicable laws and potentially inconsistent laws and regulations in multiple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capacity at existing facilities, build new facilities in a timely and cost-effective manner and renew leases for our leased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severe health events or environmental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incidents, unauthorized data disclosures, and our dependence on information technology systems;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pursue strategic transactions, find suitable acquisition targets, or integrate strategic acquisitions into our business successfully;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intellectual property to maintain our competitive position and the risk of claims from third parties that we have infringed or misappropriated, or are infringing or misappropriating,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rapidly evolving data privacy and security laws and regulations in various jurisdictions and any ineffective compliance efforts with such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profitability in future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our goodwill and other intangible assets with indefinite lives, as well as other long-lived assets and intangible assets with definite lives;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unionization efforts and labor regulations in countries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to our tax positions in U.S. or non-U.S. jurisdictions or the interpretation and application of U.S. tax legislation or other changes in U.S. or non-U.S. taxation of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agreements governing our indebtedness;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control that certain investment funds and entities affiliated with the Sponsors to have over us, which could limit stockholders’ ability to influence the outcome of key transactions, including a change of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above factors, as well as the factors discussed elsewhere in this prospectus supplement and accompanying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69893_8"/>
      <w:bookmarkEnd w:id="10"/>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as of the date of this prospectus supplement by each of the selling stockholders covered by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284,093,929 shares of common stock outstanding as of October 28, 2025.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98"/>
        <w:gridCol w:w="89"/>
        <w:gridCol w:w="60"/>
        <w:gridCol w:w="1216"/>
        <w:gridCol w:w="60"/>
        <w:gridCol w:w="89"/>
        <w:gridCol w:w="60"/>
        <w:gridCol w:w="598"/>
        <w:gridCol w:w="275"/>
        <w:gridCol w:w="89"/>
        <w:gridCol w:w="70"/>
        <w:gridCol w:w="1413"/>
        <w:gridCol w:w="70"/>
        <w:gridCol w:w="98"/>
        <w:gridCol w:w="69"/>
        <w:gridCol w:w="1413"/>
        <w:gridCol w:w="70"/>
        <w:gridCol w:w="98"/>
        <w:gridCol w:w="70"/>
        <w:gridCol w:w="717"/>
        <w:gridCol w:w="283"/>
      </w:tblGrid>
      <w:tr>
        <w:trPr/>
        <w:tc>
          <w:tcPr>
            <w:tcW w:w="3298"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298"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0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w:t>
              <w:br/>
              <w:t>Owned Prior to the</w:t>
              <w:br/>
              <w:t>Offering</w:t>
            </w:r>
          </w:p>
        </w:tc>
        <w:tc>
          <w:tcPr>
            <w:tcW w:w="27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08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Shares Beneficially Owned After the</w:t>
              <w:br/>
              <w:t>Offering</w:t>
            </w:r>
          </w:p>
        </w:tc>
        <w:tc>
          <w:tcPr>
            <w:tcW w:w="283" w:type="dxa"/>
            <w:tcBorders/>
            <w:vAlign w:val="bottom"/>
          </w:tcPr>
          <w:p>
            <w:pPr>
              <w:pStyle w:val="TableContents"/>
              <w:bidi w:val="0"/>
              <w:spacing w:before="0" w:after="283"/>
              <w:jc w:val="left"/>
              <w:rPr/>
            </w:pPr>
            <w:r>
              <w:rPr/>
              <w:t> </w:t>
            </w:r>
          </w:p>
        </w:tc>
      </w:tr>
      <w:tr>
        <w:trPr/>
        <w:tc>
          <w:tcPr>
            <w:tcW w:w="3298" w:type="dxa"/>
            <w:tcBorders/>
            <w:vAlign w:val="bottom"/>
          </w:tcPr>
          <w:p>
            <w:pPr>
              <w:pStyle w:val="TableContents"/>
              <w:bidi w:val="0"/>
              <w:spacing w:before="0" w:after="283"/>
              <w:jc w:val="left"/>
              <w:rPr>
                <w:b/>
              </w:rPr>
            </w:pPr>
            <w:r>
              <w:rPr>
                <w:b/>
              </w:rPr>
              <w:t>Name of Selling Stockholder(1)</w:t>
            </w:r>
          </w:p>
        </w:tc>
        <w:tc>
          <w:tcPr>
            <w:tcW w:w="89" w:type="dxa"/>
            <w:tcBorders/>
            <w:vAlign w:val="bottom"/>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Shares</w:t>
            </w:r>
            <w:r>
              <w:rPr/>
              <w:br/>
            </w:r>
            <w:r>
              <w:rPr>
                <w:b/>
              </w:rPr>
              <w:t>Held</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Offered</w:t>
              <w:br/>
              <w:t>Hereby</w:t>
            </w:r>
          </w:p>
        </w:tc>
        <w:tc>
          <w:tcPr>
            <w:tcW w:w="7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br/>
              <w:t>Held</w:t>
            </w:r>
          </w:p>
        </w:tc>
        <w:tc>
          <w:tcPr>
            <w:tcW w:w="7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3" w:type="dxa"/>
            <w:tcBorders/>
            <w:vAlign w:val="bottom"/>
          </w:tcPr>
          <w:p>
            <w:pPr>
              <w:pStyle w:val="TableContents"/>
              <w:bidi w:val="0"/>
              <w:spacing w:before="0" w:after="283"/>
              <w:jc w:val="left"/>
              <w:rPr/>
            </w:pPr>
            <w:r>
              <w:rPr/>
              <w:t> </w:t>
            </w:r>
          </w:p>
        </w:tc>
      </w:tr>
      <w:tr>
        <w:trPr/>
        <w:tc>
          <w:tcPr>
            <w:tcW w:w="3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Warburg Pincus(2)</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61,822,952</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21.76</w:t>
            </w:r>
          </w:p>
        </w:tc>
        <w:tc>
          <w:tcPr>
            <w:tcW w:w="27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18,000,000</w:t>
            </w:r>
          </w:p>
        </w:tc>
        <w:tc>
          <w:tcPr>
            <w:tcW w:w="7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43,822,952</w:t>
            </w:r>
          </w:p>
        </w:tc>
        <w:tc>
          <w:tcPr>
            <w:tcW w:w="7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15.43</w:t>
            </w:r>
          </w:p>
        </w:tc>
        <w:tc>
          <w:tcPr>
            <w:tcW w:w="283" w:type="dxa"/>
            <w:tcBorders/>
            <w:shd w:fill="CCEEFF" w:val="clear"/>
            <w:vAlign w:val="bottom"/>
          </w:tcPr>
          <w:p>
            <w:pPr>
              <w:pStyle w:val="TableContents"/>
              <w:bidi w:val="0"/>
              <w:spacing w:before="0" w:after="283"/>
              <w:jc w:val="left"/>
              <w:rPr/>
            </w:pPr>
            <w:r>
              <w:rPr/>
              <w:t>% </w:t>
            </w:r>
          </w:p>
        </w:tc>
      </w:tr>
      <w:tr>
        <w:trPr/>
        <w:tc>
          <w:tcPr>
            <w:tcW w:w="3298" w:type="dxa"/>
            <w:tcBorders/>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GTCR(3)</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41,215,301</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14.51</w:t>
            </w:r>
          </w:p>
        </w:tc>
        <w:tc>
          <w:tcPr>
            <w:tcW w:w="27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12,000,000</w:t>
            </w:r>
          </w:p>
        </w:tc>
        <w:tc>
          <w:tcPr>
            <w:tcW w:w="7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29,215,301</w:t>
            </w:r>
          </w:p>
        </w:tc>
        <w:tc>
          <w:tcPr>
            <w:tcW w:w="7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10.28</w:t>
            </w:r>
          </w:p>
        </w:tc>
        <w:tc>
          <w:tcPr>
            <w:tcW w:w="28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shown in the table above include shares held in the selling stockholder’s name or jointly with others, or in the name of a bank, nominee or trustee for the selling stockholder’s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49,475,694 shares held of record by Bull Holdco L.P., a Delaware limited partnership (“Bull Holdco”) and (ii) 12,347,258 shares held of record by Bull Co-Invest L.P., a Delaware limited partnership (“Bull Co-Invest”).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 </w:t>
      </w:r>
    </w:p>
    <w:p>
      <w:pPr>
        <w:pStyle w:val="TextBody"/>
        <w:bidi w:val="0"/>
        <w:spacing w:before="120" w:after="0"/>
        <w:jc w:val="left"/>
        <w:rPr>
          <w:rFonts w:ascii="Times New Roman" w:hAnsi="Times New Roman"/>
          <w:sz w:val="20"/>
        </w:rPr>
      </w:pPr>
      <w:r>
        <w:rPr>
          <w:rFonts w:ascii="Times New Roman" w:hAnsi="Times New Roman"/>
          <w:sz w:val="20"/>
        </w:rPr>
        <w:t xml:space="preserve">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32,711,677 shares held of record by GTCR Fund XI/A LP, (ii) 8,241,453 shares held of record by GTCR Fund XI/C LP and (iii) 262,171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69893_9"/>
      <w:bookmarkEnd w:id="11"/>
      <w:r>
        <w:rPr>
          <w:rFonts w:ascii="Times New Roman" w:hAnsi="Times New Roman"/>
          <w:b/>
          <w:sz w:val="20"/>
        </w:rPr>
        <w:t xml:space="preserve">MATERIAL U.S. FEDERAL INCOME TAX CONSIDERATIONS FOR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(actually or constructively)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“—Information Reporting and Backup Withholding,” this section addresses only Non-U.S. Holders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 and is not an entity that is treated as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A distribution of cash or property with respect to shares of our common stock generally will be treated as a dividend to the extent paid out of our current or accumulated earnings and profits, as determined under U.S. federal income tax principles. If such a distribution exceeds our current and accumulated earnings and profits, the excess will be first treated as a tax-free return of the Non-U.S. Holder’s investment, up to the Non-U.S. Holder’s tax basis in the shares of our common stock, and thereafter as a capital gain subject to the tax treatment described below in “—Sale, Exchange or Other Taxable Disposition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generally will be subject to withholding of U.S. federal income tax at a 30% rate, or such lower rate as may be specified by an applicable tax treaty. </w:t>
      </w:r>
    </w:p>
    <w:p>
      <w:pPr>
        <w:pStyle w:val="TextBody"/>
        <w:bidi w:val="0"/>
        <w:spacing w:before="240" w:after="0"/>
        <w:jc w:val="left"/>
        <w:rPr>
          <w:rFonts w:ascii="Times New Roman" w:hAnsi="Times New Roman"/>
          <w:sz w:val="20"/>
        </w:rPr>
      </w:pPr>
      <w:r>
        <w:rPr>
          <w:rFonts w:ascii="Times New Roman" w:hAnsi="Times New Roman"/>
          <w:sz w:val="20"/>
        </w:rPr>
        <w:t xml:space="preserve">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 Non-U.S. Holder’s entitlement to the lower treaty rate with respect to such dividend payments, and the withholding agent does not have actual knowledge or reason to know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is eligible for a reduced rate of U.S. federal withholding tax pursuant to an applicable income tax treaty or otherwise, the Non-U.S. Holder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Investors should consult their own tax advisors about how these information reporting and withholding tax rules may apply to their investment in shares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Sale, Exchange or Other Taxable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Non-U.S. Holders generally will not be subject to U.S. federal income tax with respect to gain recognized on a sale, exchange or other taxable disposition of shares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69893_10"/>
      <w:bookmarkEnd w:id="12"/>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expect to pay any dividends on our common stock. Instead, we intend to use any future earnings for the operation and growth of our business and the repayment of indebtedness. </w:t>
      </w:r>
    </w:p>
    <w:p>
      <w:pPr>
        <w:pStyle w:val="TextBody"/>
        <w:bidi w:val="0"/>
        <w:spacing w:before="240" w:after="0"/>
        <w:jc w:val="left"/>
        <w:rPr>
          <w:rFonts w:ascii="Times New Roman" w:hAnsi="Times New Roman"/>
          <w:sz w:val="20"/>
        </w:rPr>
      </w:pPr>
      <w:r>
        <w:rPr>
          <w:rFonts w:ascii="Times New Roman" w:hAnsi="Times New Roman"/>
          <w:sz w:val="20"/>
        </w:rPr>
        <w:t xml:space="preserve">Future cash dividends on our common stock,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may deem relevant.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imposes requirements that may restrict our ability to pay dividends. See “Risk Factors—Risks Related to this Offering and Ownership of Our Common Stock—We do not anticipate paying any dividends on our common stock in the foreseeable future, and, consequently, our stockholders’ ability to achieve a return on their investment depends on appreciation in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For a discussion of the application of withholding taxes on dividends, see “Material U.S. Federal Income Tax Considerations for Non-U.S.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69893_11"/>
      <w:bookmarkEnd w:id="1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the selling stockholders and Goldman Sachs &amp; Co. LLC (the “underwriter”) have entered into an underwriting agreement with respect to the shares of our common stock being offered by the selling stockholders. Subject to certain conditions, the underwriter has agreed to purchase an aggregate of 30,000,000 shares of our common stock from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is committed to take and pay for all of the shares of our common stock being offered by the selling stockholders, if any are taken. </w:t>
      </w:r>
    </w:p>
    <w:p>
      <w:pPr>
        <w:pStyle w:val="TextBody"/>
        <w:bidi w:val="0"/>
        <w:spacing w:before="240" w:after="0"/>
        <w:jc w:val="left"/>
        <w:rPr>
          <w:rFonts w:ascii="Times New Roman" w:hAnsi="Times New Roman"/>
          <w:sz w:val="20"/>
        </w:rPr>
      </w:pPr>
      <w:r>
        <w:rPr>
          <w:rFonts w:ascii="Times New Roman" w:hAnsi="Times New Roman"/>
          <w:sz w:val="20"/>
        </w:rPr>
        <w:t xml:space="preserve">Shares sold by the underwriter to the public will initially be offered at the public offering price as set forth on the cover of this prospectus. Any shares sold by the underwriter to securities dealers may be sold at a discount of up to $0.0245 per share from the initial public offering price. After the initial offering of the shares, the underwriter may change the offering price and the other selling terms. The offering of the shares by the underwriter is subject to receipt and acceptance and subject to the underwriter’s right to reject any order in whole or in part. The following table summarizes the underwriting discounts and commissions the selling stockholders will pay to the underwriter.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08"/>
        <w:gridCol w:w="344"/>
        <w:gridCol w:w="170"/>
        <w:gridCol w:w="942"/>
        <w:gridCol w:w="60"/>
        <w:gridCol w:w="344"/>
        <w:gridCol w:w="149"/>
        <w:gridCol w:w="1374"/>
        <w:gridCol w:w="64"/>
      </w:tblGrid>
      <w:tr>
        <w:trPr/>
        <w:tc>
          <w:tcPr>
            <w:tcW w:w="4308"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08"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1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5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4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15.70</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374" w:type="dxa"/>
            <w:tcBorders/>
            <w:shd w:fill="CCEEFF" w:val="clear"/>
            <w:vAlign w:val="bottom"/>
          </w:tcPr>
          <w:p>
            <w:pPr>
              <w:pStyle w:val="TableContents"/>
              <w:bidi w:val="0"/>
              <w:spacing w:before="0" w:after="283"/>
              <w:jc w:val="right"/>
              <w:rPr/>
            </w:pPr>
            <w:r>
              <w:rPr/>
              <w:t>471,000,000</w:t>
            </w:r>
          </w:p>
        </w:tc>
        <w:tc>
          <w:tcPr>
            <w:tcW w:w="64"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34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42" w:type="dxa"/>
            <w:tcBorders/>
            <w:vAlign w:val="bottom"/>
          </w:tcPr>
          <w:p>
            <w:pPr>
              <w:pStyle w:val="TableContents"/>
              <w:bidi w:val="0"/>
              <w:spacing w:before="0" w:after="283"/>
              <w:jc w:val="right"/>
              <w:rPr/>
            </w:pPr>
            <w:r>
              <w:rPr/>
              <w:t>0.049</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374" w:type="dxa"/>
            <w:tcBorders/>
            <w:vAlign w:val="bottom"/>
          </w:tcPr>
          <w:p>
            <w:pPr>
              <w:pStyle w:val="TableContents"/>
              <w:bidi w:val="0"/>
              <w:spacing w:before="0" w:after="283"/>
              <w:jc w:val="right"/>
              <w:rPr/>
            </w:pPr>
            <w:r>
              <w:rPr/>
              <w:t>1,470,000</w:t>
            </w:r>
          </w:p>
        </w:tc>
        <w:tc>
          <w:tcPr>
            <w:tcW w:w="64"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selling stockholders, before expenses</w:t>
            </w:r>
          </w:p>
        </w:tc>
        <w:tc>
          <w:tcPr>
            <w:tcW w:w="34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15.651</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374" w:type="dxa"/>
            <w:tcBorders/>
            <w:shd w:fill="CCEEFF" w:val="clear"/>
            <w:vAlign w:val="bottom"/>
          </w:tcPr>
          <w:p>
            <w:pPr>
              <w:pStyle w:val="TableContents"/>
              <w:bidi w:val="0"/>
              <w:spacing w:before="0" w:after="283"/>
              <w:jc w:val="right"/>
              <w:rPr/>
            </w:pPr>
            <w:r>
              <w:rPr/>
              <w:t>469,530,000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common stock, the underwriter may be deemed to have received compensation in the form of underwriting discounts. The underwriter may effect such transactions by selling the common stock to or through dealers, and such dealers may receive compensation in the form of discounts, concessions or commissions from the underwriter and/or purchasers of the common stock for whom they may act as an agent or to whom they may sell as principal. The difference between the price at which the underwriter purchases the common stock and the price at which the underwriter resells such shares may be deemed underwriting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including registration, filing and listing fees, printing fees and legal and accounting expenses, but excluding the underwriting discounts and commissions, will be approximately $500,000.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subject to certain exceptions, we will not, without the prior written consent of the underwriter for a period of 30 days after the date of this prospectus supplement, (i) offer, pledge, sell, contract to sell, sell any option or contract to purchase, purchase any option or contract to sell, grant any option, right or warrant to purchase, lend, or otherwise transfer or dispose of, directly or indirectly, or publicly file with, the SEC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common stock or any such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officers, directors and the selling stockholders have entered into lock-up agreements with the underwriter pursuant to which each of them, subject to certain exceptions, for a period of 30 days after the date of this prospectus supplement, may not, without the prior written consent of the underwriter,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make any demand for or exercise 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lock-up restrictions described in the immediately preceding paragraph are subject to certain exceptions including, without limitation: (i) transfers as part of a sale of lock-up securities in open market transactions after the closing of this offering, (ii) transfers to us in connection with the vesting, settlement, or exercise of restricted stock units, performance stock units, shares of restricted stock, options, warrants or other rights to purchase shares of common stock, (iii) transfers pursuant to an order of a court or regulatory agency related to the lock-up party’s ownership of the lock-up securities; and (iv) transfers by pledging, hypothecating or otherwise granting a security interest in any lock-up securities as collateral and transfer such lock-up securities upon foreclosure, among others.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stockholders have agreed to indemnify the underwriter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under the symbol “SHC.”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 of a greater number of shares of common stock than it is required to purchase in this offering, and purchasing shares of common stock on the open market to cover positions created by short sales.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advised us that, pursuant to Regulation M of the Securities Act, the underwriter may also engage in other activities that stabilize, maintain or otherwise affect the price of the common stock, including the imposition of penalty bids.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Nasdaq,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and its affiliates are full service financial institutions engaged in various activities, which may include sales and trading, commercial and investment banking, advisory, investment management, investment research, principal investment, hedging, market-making, brokerage and other financial and non- financial activities and services.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and its affiliates may have provided in the past to us and our affiliates and may provide from time to time in the future certain commercial banking, financial advisory, investment banking and other services for us and such affiliates in the ordinary course of their business, for which they may have received and may from time to time in the future receive customary fees and commissions. In addition, from time to time, the underwriter and its affiliates may effect transactions for their own account or the account of customers, and hold on behalf of themselves or their customers, long or short positions in our debt or equity securities or loans, and may do so in the future. The underwriter and/or its affiliates are lenders, and/or act as agents or arrangers, under our senior secured first lien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 and its affiliates, officers, directors and employees may purchase, sell or hold a broad array of investments and actively traded securities, derivatives,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 or persons and entities with relationships with the company. The underwriter and its affiliates may also communicate independent investment recommendations, market color or trading ideas and/or publish or express independent research views in respect of such securities or instruments and may at any time hold, or recommend to clients that they should acquire, long and/or short positions in such assets,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Other than in the United States, no action has been taken by us, the selling stockholders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offers of shares may be made to the public in that Relevant Member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provided that no such offer of shares shall require the company or the underwriter to publish a prospectus pursuant to Article 3 of the Prospectus Regulation or supplement a prospectus pursuant to Article 23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in a Relevant Member State (other than a Relevant Member State where there is a permitted public offer) who initially acquires any shares or to whom any offer is made will be deemed to have represented, acknowledged and agreed to and with the company and the underwriter that it is a qualified investor within the meaning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underwriter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underwriter and their affiliates will rely upon the truth and accuracy of the foregoing representations, acknowledgements and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have been offered or will be offered pursuant to the offering to the public in the United Kingdom prior to the publication of a prospectus in relation to the shares which has been approved by the Financial Conduct Authority or is to be treated as if it had been approved by the Financial Conduct Authority in accordance with the transitional provisions in Article 74 (transitional provisions) of the Prospectus Amendment etc (EU Exit) Regulations 2019/1234,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Financial Services and Markets Act 2000 (as amended, “FSMA”);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shall require the Issuer or any Manager to publish a prospectus pursuant to Section 85 of the FSMA or supplement a prospectus pursuant to Article 23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 </w:t>
      </w:r>
    </w:p>
    <w:p>
      <w:pPr>
        <w:pStyle w:val="TextBody"/>
        <w:bidi w:val="0"/>
        <w:spacing w:before="240" w:after="0"/>
        <w:jc w:val="left"/>
        <w:rPr>
          <w:rFonts w:ascii="Times New Roman" w:hAnsi="Times New Roman"/>
          <w:sz w:val="20"/>
        </w:rPr>
      </w:pPr>
      <w:r>
        <w:rPr>
          <w:rFonts w:ascii="Times New Roman" w:hAnsi="Times New Roman"/>
          <w:sz w:val="20"/>
        </w:rPr>
        <w:t xml:space="preserve">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w:t>
      </w:r>
    </w:p>
    <w:p>
      <w:pPr>
        <w:pStyle w:val="TextBody"/>
        <w:bidi w:val="0"/>
        <w:spacing w:before="360" w:after="0"/>
        <w:jc w:val="left"/>
        <w:rPr>
          <w:rFonts w:ascii="Times New Roman" w:hAnsi="Times New Roman"/>
          <w:i/>
          <w:sz w:val="20"/>
        </w:rPr>
      </w:pPr>
      <w:r>
        <w:rPr>
          <w:rFonts w:ascii="Times New Roman" w:hAnsi="Times New Roman"/>
          <w:i/>
          <w:sz w:val="20"/>
        </w:rPr>
        <w:t xml:space="preserve">Notice of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(“FinSA”):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person which is a professional client as defined under the FinSA;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36 FinSA in connection with Article 44 of the Swiss Financial Services Ordinance;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that no such offer of shares shall require the Company or any underwriter to publish a prospectus pursuant to Article 35 FinSA. </w:t>
      </w:r>
    </w:p>
    <w:p>
      <w:pPr>
        <w:pStyle w:val="TextBody"/>
        <w:bidi w:val="0"/>
        <w:spacing w:before="240" w:after="0"/>
        <w:jc w:val="left"/>
        <w:rPr>
          <w:rFonts w:ascii="Times New Roman" w:hAnsi="Times New Roman"/>
          <w:sz w:val="20"/>
        </w:rPr>
      </w:pPr>
      <w:r>
        <w:rPr>
          <w:rFonts w:ascii="Times New Roman" w:hAnsi="Times New Roman"/>
          <w:sz w:val="20"/>
        </w:rPr>
        <w:t xml:space="preserve">The shares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disclosure document or a prospectus under Chapter 6D.2 of the Corporations Act 2001 (Cth)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available under section 708 of the Corporations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 </w:t>
      </w:r>
    </w:p>
    <w:p>
      <w:pPr>
        <w:pStyle w:val="TextBody"/>
        <w:bidi w:val="0"/>
        <w:spacing w:before="240" w:after="0"/>
        <w:jc w:val="left"/>
        <w:rPr>
          <w:rFonts w:ascii="Times New Roman" w:hAnsi="Times New Roman"/>
          <w:sz w:val="20"/>
        </w:rPr>
      </w:pPr>
      <w:r>
        <w:rPr>
          <w:rFonts w:ascii="Times New Roman" w:hAnsi="Times New Roman"/>
          <w:sz w:val="20"/>
        </w:rPr>
        <w:t xml:space="preserve">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pursuant to Article 4, Paragraph 1 of the Financial Instruments and Exchange Law of Japan.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 has acknowledged that this prospectus supplement has not been registered as a prospectus with the Monetary Authority of Singapore. Accordingly, the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 is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69893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New York, New York will pass upon the legality of the shares of common stock to be issued in this offering. Certain legal matters will be passed upon for the underwriter by Simpson Thacher &amp; Bartlett LLP,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69893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Sotera Health Company appearing in Sotera Health Company’s Annual Report on Form 10-K for the year ended December 31, 2024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69893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Form S-3 with the SEC under the Securities Act with respect to the common stock offered by this prospectus supplement and the accompanying prospectus. You should review the information and exhibits in the registration statement for further information about us and the securities that are being offered by this prospectus supplement and the accompanying prospectus. Statements in this prospectus supplement and the accompanying prospectus concerning any document we filed as an exhibit to the registration statement or that we otherwise filed with the SEC are not intended to be comprehensive and are qualified by reference to those filings. You should review the complete document to evaluate those statements.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including the filings that are incorporated by reference into this prospectus supplement, are available to the public over the Internet at the SEC’s website at www.sec.gov. Copies of certain information filed by us with the SEC are also available on our website at https://investors.soterahealth.com. Information accessible on or through our website is not a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upp69893_15"/>
      <w:bookmarkEnd w:id="17"/>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into this prospectus supplement the information we file with the SEC. This means that we are disclosing important information to you by referring to other documents. The information incorporated by reference is considered to be part of this prospectus supplement, except for any information superseded by information contained directly in this prospectus supplement. We incorporate by reference the documents listed below (other than any portions thereof, which under the Exchange Act, and applicable SEC rules, are not deemed “filed”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2024, filed with the SEC on February 27,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2025, filed with the SEC on </w:t>
            </w:r>
            <w:hyperlink r:id="rId4">
              <w:r>
                <w:rPr>
                  <w:rStyle w:val="InternetLink"/>
                  <w:rFonts w:ascii="Times New Roman" w:hAnsi="Times New Roman"/>
                  <w:sz w:val="20"/>
                </w:rPr>
                <w:t>May 1, 2025</w:t>
              </w:r>
            </w:hyperlink>
            <w:r>
              <w:rPr>
                <w:rFonts w:ascii="Times New Roman" w:hAnsi="Times New Roman"/>
                <w:sz w:val="20"/>
              </w:rPr>
              <w:t xml:space="preserve">, June  30, 2025, filed with the SEC on </w:t>
            </w:r>
            <w:hyperlink r:id="rId5">
              <w:r>
                <w:rPr>
                  <w:rStyle w:val="InternetLink"/>
                  <w:rFonts w:ascii="Times New Roman" w:hAnsi="Times New Roman"/>
                  <w:sz w:val="20"/>
                </w:rPr>
                <w:t>August 8, 2025</w:t>
              </w:r>
            </w:hyperlink>
            <w:r>
              <w:rPr>
                <w:rFonts w:ascii="Times New Roman" w:hAnsi="Times New Roman"/>
                <w:sz w:val="20"/>
              </w:rPr>
              <w:t xml:space="preserve"> and September  30, 2025, filed with the SEC on </w:t>
            </w:r>
            <w:hyperlink r:id="rId6">
              <w:r>
                <w:rPr>
                  <w:rStyle w:val="InternetLink"/>
                  <w:rFonts w:ascii="Times New Roman" w:hAnsi="Times New Roman"/>
                  <w:sz w:val="20"/>
                </w:rPr>
                <w:t>November 4,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dated January 2, 2025, filed with the SEC on </w:t>
            </w:r>
            <w:hyperlink r:id="rId7">
              <w:r>
                <w:rPr>
                  <w:rStyle w:val="InternetLink"/>
                  <w:rFonts w:ascii="Times New Roman" w:hAnsi="Times New Roman"/>
                  <w:sz w:val="20"/>
                </w:rPr>
                <w:t>January 6, 2025</w:t>
              </w:r>
            </w:hyperlink>
            <w:r>
              <w:rPr>
                <w:rFonts w:ascii="Times New Roman" w:hAnsi="Times New Roman"/>
                <w:sz w:val="20"/>
              </w:rPr>
              <w:t xml:space="preserve">, May  21, 2025, filed with the SEC on </w:t>
            </w:r>
            <w:hyperlink r:id="rId8">
              <w:r>
                <w:rPr>
                  <w:rStyle w:val="InternetLink"/>
                  <w:rFonts w:ascii="Times New Roman" w:hAnsi="Times New Roman"/>
                  <w:sz w:val="20"/>
                </w:rPr>
                <w:t>May 23, 2025</w:t>
              </w:r>
            </w:hyperlink>
            <w:r>
              <w:rPr>
                <w:rFonts w:ascii="Times New Roman" w:hAnsi="Times New Roman"/>
                <w:sz w:val="20"/>
              </w:rPr>
              <w:t xml:space="preserve">, September  3, 2025, filed with the SEC on </w:t>
            </w:r>
            <w:hyperlink r:id="rId9">
              <w:r>
                <w:rPr>
                  <w:rStyle w:val="InternetLink"/>
                  <w:rFonts w:ascii="Times New Roman" w:hAnsi="Times New Roman"/>
                  <w:sz w:val="20"/>
                </w:rPr>
                <w:t>September  5, 2025</w:t>
              </w:r>
            </w:hyperlink>
            <w:r>
              <w:rPr>
                <w:rFonts w:ascii="Times New Roman" w:hAnsi="Times New Roman"/>
                <w:sz w:val="20"/>
              </w:rPr>
              <w:t xml:space="preserve"> and September 17, 2025, filed with the SEC on </w:t>
            </w:r>
            <w:hyperlink r:id="rId10">
              <w:r>
                <w:rPr>
                  <w:rStyle w:val="InternetLink"/>
                  <w:rFonts w:ascii="Times New Roman" w:hAnsi="Times New Roman"/>
                  <w:sz w:val="20"/>
                </w:rPr>
                <w:t>September 18,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Schedule 14A, filed with the SEC on </w:t>
            </w:r>
            <w:hyperlink r:id="rId11">
              <w:r>
                <w:rPr>
                  <w:rStyle w:val="InternetLink"/>
                  <w:rFonts w:ascii="Times New Roman" w:hAnsi="Times New Roman"/>
                  <w:sz w:val="20"/>
                </w:rPr>
                <w:t>April 10, 2025</w:t>
              </w:r>
            </w:hyperlink>
            <w:r>
              <w:rPr>
                <w:rFonts w:ascii="Times New Roman" w:hAnsi="Times New Roman"/>
                <w:sz w:val="20"/>
              </w:rPr>
              <w:t xml:space="preserve"> and supplemented on </w:t>
            </w:r>
            <w:hyperlink r:id="rId12">
              <w:r>
                <w:rPr>
                  <w:rStyle w:val="InternetLink"/>
                  <w:rFonts w:ascii="Times New Roman" w:hAnsi="Times New Roman"/>
                  <w:sz w:val="20"/>
                </w:rPr>
                <w:t>May 2, 2025</w:t>
              </w:r>
            </w:hyperlink>
            <w:r>
              <w:rPr>
                <w:rFonts w:ascii="Times New Roman" w:hAnsi="Times New Roman"/>
                <w:sz w:val="20"/>
              </w:rPr>
              <w:t xml:space="preserve">, as amended (solely to the extent specifically incorporated by reference into our Annual Report on </w:t>
            </w:r>
            <w:hyperlink r:id="rId13">
              <w:r>
                <w:rPr>
                  <w:rStyle w:val="InternetLink"/>
                  <w:rFonts w:ascii="Times New Roman" w:hAnsi="Times New Roman"/>
                  <w:sz w:val="20"/>
                </w:rPr>
                <w:t>Form 10-K</w:t>
              </w:r>
            </w:hyperlink>
            <w:r>
              <w:rPr>
                <w:rFonts w:ascii="Times New Roman" w:hAnsi="Times New Roman"/>
                <w:sz w:val="20"/>
              </w:rPr>
              <w:t xml:space="preserve"> for the fiscal year ended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and the accompanying prospectus. You should direct requests for those documents to Sotera Health Company, 9100 South Hills Blvd, Suite 300, Broadview Heights, Ohio 44147. </w:t>
      </w:r>
    </w:p>
    <w:p>
      <w:pPr>
        <w:pStyle w:val="TextBody"/>
        <w:bidi w:val="0"/>
        <w:spacing w:before="240" w:after="0"/>
        <w:jc w:val="left"/>
        <w:rPr>
          <w:rFonts w:ascii="Times New Roman" w:hAnsi="Times New Roman"/>
          <w:sz w:val="20"/>
        </w:rPr>
      </w:pPr>
      <w:r>
        <w:rPr>
          <w:rFonts w:ascii="Times New Roman" w:hAnsi="Times New Roman"/>
          <w:sz w:val="20"/>
        </w:rPr>
        <w:t xml:space="preserve">Exhibits to any documents incorporated by reference in this prospectus supplement will not be sent, however, unless those exhibits have been specifically referenced in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725295" cy="5759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1725295" cy="5759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SOTERA HEALTH COMPANY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Sotera Health Company (the “Company” or “we”) may offer, issue and sell an indeterminate amount of our common stock, par value $0.01 per share (“common stock”), from time to time in one or more offerings. In addition, this prospectus relates to the resale of common stock of the Company that may be offered and sold from time to time in one or more offerings by the selling stockholders named in this prospectus. This prospectus describes some of the general terms that may apply to an offering of our common stock. The Company will not receive any of the proceeds from the sale of the common stock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may be offered in amounts, at prices and on other terms to be determined at the time of the offering and described in an accompanying prospectus supplement. You should read this prospectus, any related prospectus supplement and any documents incorporated by reference carefully before you invest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or the selling stockholders may offer and sell common stock through one or more underwriters, dealers or agents, through underwriting syndicates managed or co-managed by one or more underwriters, or directly to purchasers, on a continuous or delayed basis. To the extent that any selling stockholder resells shares of our common stock, the selling stockholder may be required to provide you with this prospectus and a prospectus supplement identifying and containing specific information about the selling stockholder and the terms on which the common stock is offered. The prospectus supplement for each offering of common stock will describe in detail the plan of distribution for that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not an offer to sell our common stock, and it is not soliciting an offer to buy our common stock, in any state or other jurisdiction where the offer or sale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(“Nasdaq”) under the symbol “SHC.”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our common stock involves a number of risks. Before you make your investment decision, you should consider the risk factors described in any applicable prospectus supplement and in the documents we file from time to time with the Securities and Exchange Commission (the “SEC”).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or any accompanying prospectus supplement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27,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
      <w:bookmarkEnd w:id="18"/>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69893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2">
              <w:r>
                <w:rPr>
                  <w:rStyle w:val="InternetLink"/>
                  <w:rFonts w:ascii="Times New Roman" w:hAnsi="Times New Roman"/>
                  <w:sz w:val="20"/>
                </w:rPr>
                <w:t>ABOUT SOTERA HEALTH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6">
              <w:r>
                <w:rPr>
                  <w:rStyle w:val="InternetLink"/>
                  <w:rFonts w:ascii="Times New Roman" w:hAnsi="Times New Roman"/>
                  <w:sz w:val="20"/>
                </w:rPr>
                <w:t>DESCRIPTION OF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9">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10">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69893_1"/>
      <w:bookmarkEnd w:id="19"/>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indicated or the context requires otherwise, the terms “Sotera Health,” “Company,” “we,” “us,” and “our” in this document refer to Sotera Health Company, a Delaware corporation, and, where appropriate, its subsidiaries on a consolidated basis.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using an automatic shelf registration process as a “well-known seasoned issuer” as defined in Rule 405 of the Securities Act of 1933, as amended (the “Securities Act”). Under this shelf registration process, we and/or the selling stockholders named in this prospectus may periodically offer and sell the common stock described in this prospectus in one or more offerings. This prospectus only provides a general description of our common stock that we and/or the selling stockholders may offer. Each time we and/or any selling stockholders offer common stock, to the extent applicable, we and/or any selling stockholders may be required to provide you with this prospectus, and in certain cases, a prospectus supplement that will contain specific information about the terms of that offering. The prospectus supplement may also add, delete, update or change information, including information about us, contained in this prospectus. Therefore, before making your investment decision, you should carefully read: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documents referred to in “Where You Can Find More Information” and “Incorporation by Reference.”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69893_2"/>
      <w:bookmarkEnd w:id="20"/>
      <w:r>
        <w:rPr>
          <w:rFonts w:ascii="Times New Roman" w:hAnsi="Times New Roman"/>
          <w:b/>
          <w:sz w:val="20"/>
        </w:rPr>
        <w:t xml:space="preserve">ABOUT SOTERA HEALTH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global provider of mission-critical end-to-end sterilization solutions, lab testing and advisory services for the healthcare industry. We are driven by our mission: Safeguarding Global Health®.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over 40 of the top 50 medical device companies and nine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are a trusted partner to approximately 5,000 customers in over 50 countries. We give our customers confidence that their products meet regulatory, safety and effectiveness requirements. With our industry-recognized scientific and technological expertise, we help to ensure the safety of millions of patients and healthcare practitioners around the world every year. Across our 63 facilities worldwide, we have over 3,000 employees who are dedicated to safety and quality. </w:t>
      </w:r>
    </w:p>
    <w:p>
      <w:pPr>
        <w:pStyle w:val="TextBody"/>
        <w:bidi w:val="0"/>
        <w:spacing w:before="240" w:after="0"/>
        <w:jc w:val="left"/>
        <w:rPr>
          <w:rFonts w:ascii="Times New Roman" w:hAnsi="Times New Roman"/>
          <w:sz w:val="20"/>
        </w:rPr>
      </w:pPr>
      <w:r>
        <w:rPr>
          <w:rFonts w:ascii="Times New Roman" w:hAnsi="Times New Roman"/>
          <w:sz w:val="20"/>
        </w:rPr>
        <w:t xml:space="preserve">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69893_3"/>
      <w:bookmarkEnd w:id="21"/>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and any documents incorporated by reference may contain or incorporate by reference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 European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environmental, health and safety regulations or preferences, and general economic, social and business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 and safety risks associated with the use, storage, transportation and disposal of potentially hazardous materials such as EO and Co-60;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and outcome of current and future legal proceedings and liability claims, including litigation related to the use, emissions and releases of EO from our facilities in Illinois, Georgia and New Mexico and the possibility that other claims will be made in the future relating to these or other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allegations of our failure to properly perform services and potential product liability claims, recalls, penalties and reputational harm;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extensive regulatory requirements to which we are subject, the related costs, and any failures to receive or maintain, or delays in receiving, required clearances or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in industry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we face;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changes, including inflationary trends, that impact our long-term supply contracts with variable price clauses and increase our cost of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continuity hazards, including supply chain disruptions, and other risks associated with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of doing business internationally, including global and regional economic and political instability and compliance with numerous and sometimes inconsistent laws and regulations in multiple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capacity at existing facilities, build new facilities in a timely and cost-effective manner and renew leases for our leased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severe health events or environmental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breaches, unauthorized data disclosures, our dependence on information technology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pursue strategic transactions, find suitable acquisition targets, or integrate strategic acquisitions into our business successfully;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intellectual property to maintain our competitive position and the risk of claims from third parties that we have infringed or misappropriated, or are infringing or misappropriating,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rapidly evolving data privacy and security laws and regulations in various jurisdictions and any ineffective compliance efforts with such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profitability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our goodwill and other intangible assets with indefinite lives, as well as other long-lived assets and intangible assets with definite lives;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unionization efforts and labor regulations in countries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to our tax positions in U.S. or non-U.S. jurisdictions or the interpretation and application of recent U.S. tax legislation or other changes in U.S. or non-U.S. taxation of our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above factors, as well as the factors discussed elsewhere in this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69893_4"/>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deciding to invest in our securities, you should carefully consider the discussion of risks and uncertainties under the heading “Risk Factors” contained in any applicable prospectus supplement and in the documents referred to in “Where You Can Find More Information” and “Incorporation by Reference,” together with all of the other information included in this prospectus. The occurrence of any of these risks, as well as other risks and uncertainties, could cause you to lose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69893_5"/>
      <w:bookmarkEnd w:id="23"/>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a prospectus supplement, we intend to use the net proceeds from any sale of our common stock described in this prospectus for our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prospectus supplement, we will not receive any proceeds from any sale of our common stock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69893_6"/>
      <w:bookmarkEnd w:id="24"/>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one class of securities, common stock, par value $0.01 per share, registered pursuant to Section 12 of the Securities Exchange Act of 1934, as amended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descriptions are summaries of the material terms of our amended and restated certificate of incorporation and amended and restated bylaws. These descriptions summarize the general terms of our common stock and contain all information which we consider to be material but may not contain all of the information that is important to you. To understand them fully, you should read our amended and restated certificate of incorporation and amended and restated bylaws, copies of which are filed with the Securities and Exchange Commission as exhibits to our Annual Report on Form 10-K. The summary below is subject to, and qualified in its entirety by, reference to the provisions of our amended and restated certificate of incorporation and amended and restated bylaws. The terms of these securities may also be affected by the Delaware General Corporation Law (“DGCL”). </w:t>
      </w:r>
    </w:p>
    <w:p>
      <w:pPr>
        <w:pStyle w:val="TextBody"/>
        <w:bidi w:val="0"/>
        <w:spacing w:before="240" w:after="0"/>
        <w:jc w:val="left"/>
        <w:rPr>
          <w:rFonts w:ascii="Times New Roman" w:hAnsi="Times New Roman"/>
          <w:sz w:val="20"/>
        </w:rPr>
      </w:pPr>
      <w:r>
        <w:rPr>
          <w:rFonts w:ascii="Times New Roman" w:hAnsi="Times New Roman"/>
          <w:sz w:val="20"/>
        </w:rPr>
        <w:t xml:space="preserve">We may periodically issue shares of our common stock or other securities that can be exercised, converted or exchanged into shares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We are authorized to issue 1,200,000,000 shares of common stock, par value $0.01 per share, of which 282,832,200 shares were outstanding as of February 20, 2024, and 120,000,000 shares of preferred stock, par value $0.01 per share, of which no shares were outstanding as of February 20,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common stock are entitled to one vote for each share held on all matters submitted to a vote of stockholders, subject to the restrictions described below under the caption “—Anti-Takeover Effects of Provisions of Our Amended and Restated Certificate of Incorporation, Our Amended and Restated Bylaws and Delaware Law.” The holders of common stock do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is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Subject to preferences that may be applicable to any then-outstanding preferred stock, holders of our common stock are entitled to receive ratably those dividends, if any, as may be declared by the board of directors out of legally available funds. </w:t>
      </w:r>
    </w:p>
    <w:p>
      <w:pPr>
        <w:pStyle w:val="TextBody"/>
        <w:bidi w:val="0"/>
        <w:spacing w:before="240" w:after="0"/>
        <w:jc w:val="left"/>
        <w:rPr>
          <w:rFonts w:ascii="Times New Roman" w:hAnsi="Times New Roman"/>
          <w:sz w:val="20"/>
        </w:rPr>
      </w:pPr>
      <w:r>
        <w:rPr>
          <w:rFonts w:ascii="Times New Roman" w:hAnsi="Times New Roman"/>
          <w:i/>
          <w:sz w:val="20"/>
        </w:rPr>
        <w:t>Liquidation, Dissolution, and Winding Up</w:t>
      </w:r>
      <w:r>
        <w:rPr>
          <w:rFonts w:ascii="Times New Roman" w:hAnsi="Times New Roman"/>
          <w:sz w:val="20"/>
        </w:rPr>
        <w:t xml:space="preserve">. Upon our liquidation, dissolution or winding up, the holders of our common stock will be entitled to share equally and ratably in the net assets legally available for distribution to stockholders after the payment of all of our debts and other liabilities, subject to the prior rights of any preferred stock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No Preemptive or Similar Rights</w:t>
      </w:r>
      <w:r>
        <w:rPr>
          <w:rFonts w:ascii="Times New Roman" w:hAnsi="Times New Roman"/>
          <w:sz w:val="20"/>
        </w:rPr>
        <w:t xml:space="preserve">. Holders of our common stock have no preemptive or conversion rights or other subscription rights, and there are no redemption or sinking fund provisions applicable to our common stock. </w:t>
      </w:r>
    </w:p>
    <w:p>
      <w:pPr>
        <w:pStyle w:val="TextBody"/>
        <w:bidi w:val="0"/>
        <w:spacing w:before="240" w:after="0"/>
        <w:jc w:val="left"/>
        <w:rPr>
          <w:rFonts w:ascii="Times New Roman" w:hAnsi="Times New Roman"/>
          <w:sz w:val="20"/>
        </w:rPr>
      </w:pPr>
      <w:r>
        <w:rPr>
          <w:rFonts w:ascii="Times New Roman" w:hAnsi="Times New Roman"/>
          <w:i/>
          <w:sz w:val="20"/>
        </w:rPr>
        <w:t>Assessment</w:t>
      </w:r>
      <w:r>
        <w:rPr>
          <w:rFonts w:ascii="Times New Roman" w:hAnsi="Times New Roman"/>
          <w:sz w:val="20"/>
        </w:rPr>
        <w:t xml:space="preserve">. All outstanding shares of our common stock are fully paid and nonassessable.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limitations prescribed by Delaware law and the Nasdaq, our board of directors may issue preferred stock, without stockholder approval, in such series and with such designations, preferences, conversion 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Effects of Provisions of Our Amended and Restated Certificate of Incorporation, Our Amended and Restated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 </w:t>
      </w:r>
    </w:p>
    <w:p>
      <w:pPr>
        <w:pStyle w:val="TextBody"/>
        <w:bidi w:val="0"/>
        <w:spacing w:before="240" w:after="0"/>
        <w:jc w:val="left"/>
        <w:rPr>
          <w:rFonts w:ascii="Times New Roman" w:hAnsi="Times New Roman"/>
          <w:sz w:val="20"/>
        </w:rPr>
      </w:pPr>
      <w:r>
        <w:rPr>
          <w:rFonts w:ascii="Times New Roman" w:hAnsi="Times New Roman"/>
          <w:i/>
          <w:sz w:val="20"/>
        </w:rPr>
        <w:t>Classified board of directors; removal of directors</w:t>
      </w:r>
      <w:r>
        <w:rPr>
          <w:rFonts w:ascii="Times New Roman" w:hAnsi="Times New Roman"/>
          <w:sz w:val="20"/>
        </w:rPr>
        <w:t xml:space="preserve">. Our amended and restated certificate of incorporation provides that our board of directors is divided into three classes of directors, with the classes to be as nearly equal in number as possible, and with staggered three-year terms. As a result, approximately one-third of our board of directors will be elected each year.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LLC (“Warburg Pincus”) or GTCR, LLC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 </w:t>
      </w:r>
    </w:p>
    <w:p>
      <w:pPr>
        <w:pStyle w:val="TextBody"/>
        <w:bidi w:val="0"/>
        <w:spacing w:before="240" w:after="0"/>
        <w:jc w:val="left"/>
        <w:rPr>
          <w:rFonts w:ascii="Times New Roman" w:hAnsi="Times New Roman"/>
          <w:sz w:val="20"/>
        </w:rPr>
      </w:pPr>
      <w:r>
        <w:rPr>
          <w:rFonts w:ascii="Times New Roman" w:hAnsi="Times New Roman"/>
          <w:sz w:val="20"/>
        </w:rPr>
        <w:t xml:space="preserve">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 dated November 19, 2020, among Sotera Health and certain of our stockholders party thereto (the “Stockholders’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classification of our board of directors and the limitations on the removal of directors and filling of vacancies could make it more difficult for a third party to acquire, or discourage a third party from seeking to acquire, control of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Advance notice requirements for stockholder proposals and director nominations</w:t>
      </w:r>
      <w:r>
        <w:rPr>
          <w:rFonts w:ascii="Times New Roman" w:hAnsi="Times New Roman"/>
          <w:sz w:val="20"/>
        </w:rPr>
        <w:t xml:space="preserve">. Our amended and restated bylaws provide advance notice procedures for stockholders seeking to bring business before our annual meeting of stockholders or to nominate candidates for election as directors at our annual meeting of stockholders, 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 </w:t>
      </w:r>
    </w:p>
    <w:p>
      <w:pPr>
        <w:pStyle w:val="TextBody"/>
        <w:bidi w:val="0"/>
        <w:spacing w:before="240" w:after="0"/>
        <w:jc w:val="left"/>
        <w:rPr>
          <w:rFonts w:ascii="Times New Roman" w:hAnsi="Times New Roman"/>
          <w:sz w:val="20"/>
        </w:rPr>
      </w:pPr>
      <w:r>
        <w:rPr>
          <w:rFonts w:ascii="Times New Roman" w:hAnsi="Times New Roman"/>
          <w:i/>
          <w:sz w:val="20"/>
        </w:rPr>
        <w:t>Amendment of certificate of incorporation and bylaws provisions</w:t>
      </w:r>
      <w:r>
        <w:rPr>
          <w:rFonts w:ascii="Times New Roman" w:hAnsi="Times New Roman"/>
          <w:sz w:val="20"/>
        </w:rPr>
        <w:t xml:space="preserve">. Our amended and restated certificate of incorporation provides that approval of 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 </w:t>
      </w:r>
    </w:p>
    <w:p>
      <w:pPr>
        <w:pStyle w:val="TextBody"/>
        <w:bidi w:val="0"/>
        <w:spacing w:before="240" w:after="0"/>
        <w:jc w:val="left"/>
        <w:rPr>
          <w:rFonts w:ascii="Times New Roman" w:hAnsi="Times New Roman"/>
          <w:sz w:val="20"/>
        </w:rPr>
      </w:pPr>
      <w:r>
        <w:rPr>
          <w:rFonts w:ascii="Times New Roman" w:hAnsi="Times New Roman"/>
          <w:i/>
          <w:sz w:val="20"/>
        </w:rPr>
        <w:t>Authorized but unissued or undesignated capital stock</w:t>
      </w:r>
      <w:r>
        <w:rPr>
          <w:rFonts w:ascii="Times New Roman" w:hAnsi="Times New Roman"/>
          <w:sz w:val="20"/>
        </w:rPr>
        <w:t xml:space="preserve">. Our authorized capital stock consists of 1,200,000,000 shares of common stock and 1,200,000 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 </w:t>
      </w:r>
    </w:p>
    <w:p>
      <w:pPr>
        <w:pStyle w:val="TextBody"/>
        <w:bidi w:val="0"/>
        <w:spacing w:before="240" w:after="0"/>
        <w:jc w:val="left"/>
        <w:rPr>
          <w:rFonts w:ascii="Times New Roman" w:hAnsi="Times New Roman"/>
          <w:sz w:val="20"/>
        </w:rPr>
      </w:pPr>
      <w:r>
        <w:rPr>
          <w:rFonts w:ascii="Times New Roman" w:hAnsi="Times New Roman"/>
          <w:i/>
          <w:sz w:val="20"/>
        </w:rPr>
        <w:t>Stockholder action; special meeting of stockholders</w:t>
      </w:r>
      <w:r>
        <w:rPr>
          <w:rFonts w:ascii="Times New Roman" w:hAnsi="Times New Roman"/>
          <w:sz w:val="20"/>
        </w:rPr>
        <w:t xml:space="preserve">. Our amended and restated certificate of incorporation provides that our stockholders will not be 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 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The DGCL provides that stockholders are not entitled to cumulate votes in the election of directors unless a corporation’s certificate of incorporation provides otherwise. Our amended and restated certificate of incorporation does not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 </w:t>
      </w:r>
    </w:p>
    <w:p>
      <w:pPr>
        <w:pStyle w:val="TextBody"/>
        <w:bidi w:val="0"/>
        <w:spacing w:before="240" w:after="0"/>
        <w:jc w:val="left"/>
        <w:rPr>
          <w:rFonts w:ascii="Times New Roman" w:hAnsi="Times New Roman"/>
          <w:sz w:val="20"/>
        </w:rPr>
      </w:pPr>
      <w:r>
        <w:rPr>
          <w:rFonts w:ascii="Times New Roman" w:hAnsi="Times New Roman"/>
          <w:i/>
          <w:sz w:val="20"/>
        </w:rPr>
        <w:t>Supermajority voting on board actions</w:t>
      </w:r>
      <w:r>
        <w:rPr>
          <w:rFonts w:ascii="Times New Roman" w:hAnsi="Times New Roman"/>
          <w:sz w:val="20"/>
        </w:rPr>
        <w:t xml:space="preserve">. For so long as investment funds and entities affiliated with either Warburg Pincus or GTCR have the right (individually) to designate at least three directors for election to our board of directors, the following actions may only be effected with the affirmative vote of 75% of our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acquisitions, mergers, other business combination transactions and dispositions;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modification or repeal of any provision of the certificate of incorporation or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size and composition of the board of directors or the compensation of its committees, other than in accordance with the Stockholders’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termination of the chief executive officer or designation of a new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ordinary course compensation arrangements, entering into, or modifying, any compensation arrangements with an executive officer or any of an executive officer’s affiliates or associates;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 of additional shares of Company or subsidiaries’ capital stock, subject to certain limited exceptions;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incurrence of certain indebtedness. </w:t>
            </w:r>
          </w:p>
        </w:tc>
      </w:tr>
    </w:tbl>
    <w:p>
      <w:pPr>
        <w:pStyle w:val="TextBody"/>
        <w:bidi w:val="0"/>
        <w:spacing w:before="240" w:after="0"/>
        <w:jc w:val="left"/>
        <w:rPr>
          <w:rFonts w:ascii="Times New Roman" w:hAnsi="Times New Roman"/>
          <w:sz w:val="20"/>
        </w:rPr>
      </w:pPr>
      <w:r>
        <w:rPr>
          <w:rFonts w:ascii="Times New Roman" w:hAnsi="Times New Roman"/>
          <w:i/>
          <w:sz w:val="20"/>
        </w:rPr>
        <w:t>Delaware Anti-Takeover Statute</w:t>
      </w:r>
      <w:r>
        <w:rPr>
          <w:rFonts w:ascii="Times New Roman" w:hAnsi="Times New Roman"/>
          <w:sz w:val="20"/>
        </w:rPr>
        <w:t>. We are not subject to the provisions of Section 203 of the DGCL. In general, Section 203 prohibits a publicly held Delaware corporation from engaging in a “business combination” with an “interested shareholder” for a three-year period following the time that the person becomes an interested shareholder, unless the business combination is approved in a prescribed manner. A “</w:t>
      </w:r>
      <w:r>
        <w:rPr>
          <w:rFonts w:ascii="Times New Roman" w:hAnsi="Times New Roman"/>
          <w:i/>
          <w:sz w:val="20"/>
        </w:rPr>
        <w:t>business</w:t>
      </w:r>
      <w:r>
        <w:rPr>
          <w:rFonts w:ascii="Times New Roman" w:hAnsi="Times New Roman"/>
          <w:sz w:val="20"/>
        </w:rPr>
        <w:t xml:space="preserve">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 </w:t>
      </w:r>
    </w:p>
    <w:p>
      <w:pPr>
        <w:pStyle w:val="TextBody"/>
        <w:bidi w:val="0"/>
        <w:spacing w:before="240" w:after="0"/>
        <w:jc w:val="left"/>
        <w:rPr>
          <w:rFonts w:ascii="Times New Roman" w:hAnsi="Times New Roman"/>
          <w:sz w:val="20"/>
        </w:rPr>
      </w:pPr>
      <w:r>
        <w:rPr>
          <w:rFonts w:ascii="Times New Roman" w:hAnsi="Times New Roman"/>
          <w:sz w:val="20"/>
        </w:rPr>
        <w:t xml:space="preserve">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opted out of Section 203; however, our amended and restated certificate of incorporation contains similar provisions providing that we may not engage in certain “business combinations” with any “interested shareholder” for a three-year period following the time that the shareholder became an interested shareholder,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such time, our board of directors approved either the business combination or the transaction which resulted in the shareholder becoming an interested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shareholder becoming an interested shareholder, the interested shareholder owned at least 85% of our voting stock outstanding at the time the transaction commenced, excluding certain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that time, the business combination is approved by our Board and by the affirmative vote of holders of at least 66 2/3% of our outstanding voting stock that is not owned by the interested shareholder.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 provisions also may have the effect of preventing changes in our board of directors and may make it more difficult to accomplish transactions which shareholders may otherwise deem to be in their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that Warburg and GTCR, and any of their respective direct or indirect transferees and any group as to which such persons are a party, do not constitute “interested shareholders” for purposes of this provision.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shares of capital stock of the Company are deemed to have notice of and consented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provision. The Supreme Court of Delaware has held that this type of exclusive federal forum provision is enforceable. There may be uncertainty, however, as to whether courts of other jurisdictions would enforce such provision, if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of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acts as transfer agent and registrar for our common stock. The transfer agent and registrar’s address is 118 Fernwood Avenue, Edison, New Jersey 08837.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under the symbol “SHC.”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69893_7"/>
      <w:bookmarkEnd w:id="25"/>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as of the date of this prospectus by each of the selling stockholders covered by this prospectus, including the number of shares of our common stock owned, the number of shares that may be offered by this prospectus and the number and percentage of outstanding shares that will be owned after the offering, assuming all shares covered by this prospectus are sold. The information concerning beneficial ownership has been provided by the selling stockholders. Information concerning the selling stockholders may change from time to time, and any changed information will be set forth if and when required in prospectus supplements or other appropriate forms permitted to be used by the SEC. Such selling stockholders may be parties to registration rights agreements with us, or we otherwise may have agreed or agree to register their shares of common stock for resale. </w:t>
      </w:r>
    </w:p>
    <w:p>
      <w:pPr>
        <w:pStyle w:val="TextBody"/>
        <w:bidi w:val="0"/>
        <w:spacing w:before="240" w:after="0"/>
        <w:jc w:val="left"/>
        <w:rPr>
          <w:rFonts w:ascii="Times New Roman" w:hAnsi="Times New Roman"/>
          <w:sz w:val="20"/>
        </w:rPr>
      </w:pPr>
      <w:r>
        <w:rPr>
          <w:rFonts w:ascii="Times New Roman" w:hAnsi="Times New Roman"/>
          <w:sz w:val="20"/>
        </w:rPr>
        <w:t xml:space="preserve">We do not know when or in what amounts the selling stockholders may offer shares of our common stock for sale. The selling stockholders may choose not to sell any or all of the shares offered by this prospectus. Because the selling stockholders may offer all or some of the shares, we cannot accurately report the number of the shares that will be held by the selling stockholders after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282,832,200 shares of common stock outstanding, as of February 20, 2024. For purposes of calculating each person’s percentage ownership, common stock issuable pursuant to options exercisable within 60 days of the date of this prospectus and common stock issuable in connection with outstanding Restricted Stock Units (“RSUs”), which will vest within 60 days of this prospectus, are included as outstanding and beneficially owned for that person or group, and are deemed outstanding for purposes of computing the percentage ownership of that person only.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table or footnotes below, the address for each beneficial owner is c/o Sotera Health, 9100 South Hills Blvd, Suite 300 Broadview Heights, Ohio 44147. </w:t>
      </w:r>
    </w:p>
    <w:p>
      <w:pPr>
        <w:pStyle w:val="TextBody"/>
        <w:bidi w:val="0"/>
        <w:spacing w:before="0" w:after="0"/>
        <w:jc w:val="left"/>
        <w:rPr/>
      </w:pPr>
      <w:r>
        <w:rPr/>
        <w:t> </w:t>
      </w:r>
    </w:p>
    <w:tbl>
      <w:tblPr>
        <w:tblW w:w="10470" w:type="dxa"/>
        <w:jc w:val="center"/>
        <w:tblInd w:w="0" w:type="dxa"/>
        <w:tblLayout w:type="fixed"/>
        <w:tblCellMar>
          <w:top w:w="0" w:type="dxa"/>
          <w:left w:w="0" w:type="dxa"/>
          <w:bottom w:w="0" w:type="dxa"/>
          <w:right w:w="0" w:type="dxa"/>
        </w:tblCellMar>
      </w:tblPr>
      <w:tblGrid>
        <w:gridCol w:w="3170"/>
        <w:gridCol w:w="120"/>
        <w:gridCol w:w="75"/>
        <w:gridCol w:w="1535"/>
        <w:gridCol w:w="60"/>
        <w:gridCol w:w="120"/>
        <w:gridCol w:w="155"/>
        <w:gridCol w:w="1455"/>
        <w:gridCol w:w="275"/>
        <w:gridCol w:w="60"/>
        <w:gridCol w:w="217"/>
        <w:gridCol w:w="1378"/>
        <w:gridCol w:w="60"/>
        <w:gridCol w:w="120"/>
        <w:gridCol w:w="219"/>
        <w:gridCol w:w="1391"/>
        <w:gridCol w:w="60"/>
      </w:tblGrid>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bottom"/>
          </w:tcPr>
          <w:p>
            <w:pPr>
              <w:pStyle w:val="TableContents"/>
              <w:bidi w:val="0"/>
              <w:spacing w:before="0" w:after="283"/>
              <w:jc w:val="left"/>
              <w:rPr>
                <w:b/>
              </w:rPr>
            </w:pPr>
            <w:r>
              <w:rPr>
                <w:b/>
              </w:rPr>
              <w:t>Name of Selling Stockholder(1)</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w:t>
              <w:br/>
              <w:t>Owned Prior to</w:t>
              <w:br/>
              <w:t>the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Common Stock</w:t>
              <w:br/>
              <w:t>Beneficially</w:t>
              <w:br/>
              <w:t>Owned Prior to</w:t>
              <w:br/>
              <w:t>the 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w:t>
              <w:br/>
              <w:t>Owned After</w:t>
              <w:br/>
              <w:t>the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Common Stock</w:t>
              <w:br/>
              <w:t>Beneficially</w:t>
              <w:br/>
              <w:t>Owned Prior to</w:t>
              <w:br/>
              <w:t>the Offering</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3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Warburg Pincus(2)</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105,417,315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37.27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GTCR(3)</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70,278,209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24.85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Selling Stockholders:</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4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3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3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B. Petras, Jr.(4)</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8,587,855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3.04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Michael P. Rutz(5)</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709,336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Ann R. Klee(6)</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76,773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shown in the table above include shares held in the selling stockholder’s name or jointly with others, or in the name of a bank, nominee or trustee for the selling stockholder’s account.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84,363,406 shares held of record by Bull Holdco L.P., a Delaware limited partnership (“Bull Holdco”) and (ii) 21,053,909 shares held of record by Bull Co-Invest L.P., a Delaware limited partnership (“Bull Co-Invest”).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 </w:t>
      </w:r>
    </w:p>
    <w:p>
      <w:pPr>
        <w:pStyle w:val="TextBody"/>
        <w:bidi w:val="0"/>
        <w:spacing w:before="120" w:after="0"/>
        <w:jc w:val="left"/>
        <w:rPr>
          <w:rFonts w:ascii="Times New Roman" w:hAnsi="Times New Roman"/>
          <w:sz w:val="20"/>
        </w:rPr>
      </w:pPr>
      <w:r>
        <w:rPr>
          <w:rFonts w:ascii="Times New Roman" w:hAnsi="Times New Roman"/>
          <w:sz w:val="20"/>
        </w:rPr>
        <w:t xml:space="preserve">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55,778,268 shares held of record by GTCR Fund XI/A LP, (ii) 14,052,901 shares held of record by GTCR Fund XI/C LP and (iii) 447,040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Petras is the grantor and trustee of estate planning trusts (the “Petras Trusts”). As a result, Mr. Petras may have voting and investment control over, and may be deemed to be the beneficial owner of, an aggregate of 6,377,185 shares of common stock owned by the Petras Trusts. Also includes 152,199 shares of common stock, 133,469 shares of common stock issuable in connection with outstanding RSUs, which will vest within 60 days of February 27, 2024, and 1,925,002 shares underlying options that are currently exercisable or exercisable within 60 days of February 27,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547,161 shares of common stock, of which 139,536 shares are restricted and remain subject to vesting, 17,795 shares of common stock issuable in connection with outstanding RSUs, which will vest within 60 days of February 27, 2024, and 144,380 shares underlying options that are currently exercisable or exercisable within 60 days of February 27,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76,773 shares of common stock, of which 8,638 shares are restricted and remain subject to vesting.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69893_8"/>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and/or the selling stockholders may offer and sell the securities covered by this prospectus from time to time, in one or more or any combination of the following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broker-dealers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after the date the registration statement of which this prospectus is a part is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securities at a stipulated price per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a limited number of purchasers or to a single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under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including in a block trade in which a broker-dealer will attempt to sell the offered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purchases by a broker-dealer as principal and resale by the broker-dealer for its account pursuant to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and/or selling stockholders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or borrowed from us, the selling stockholders or others to settle those sales or to close out any related open borrowings of stock and may use securities received from us, the selling stockholders or others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At any time a particular offering of securities covered by this prospectus is made, a revised prospectus or prospectus supplement, if required, will set forth the amount of securities covered by this prospectus being offered and terms of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brokers or agents and the amounts of securities underwritten or purchased by each of them;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of the securities, if a fixed price offering, and the proceeds to us or any selling stockholders and, to the extent required, any discounts, commissions or concessions allowed or reallowed or paid to dealers.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such required prospectus or prospectus supplement, and, if necessary, a post-effective amendment to the registration statement of which this prospectus is a part, will be filed with the SEC to reflect the disclosure of additional information with respect to the distribution of our common stock covered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Underwriters or the third parties described above may offer and sell the offered securities from time to time in one or more transactions, including negotiated transactions, at a fixed public offering price or at varying prices determined at the time of sale. If underwriters are used in the sale of any securities, the securities will be acquired by the underwriters for their own account and may be resold from time to time in one or more transactions described above. The securities may be offered to the public either through underwriting syndicates represented by managing underwriters or directly by underwriters. The obligations of the underwriters to purchase the securities will be subject to the conditions set forth in the applicable underwriting agreement. The underwriters will be obligated to purchase all of the offered securities if they purchase any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and/or the selling stockholders may sell the securities at prices then prevailing or related to the then current market price or at negotiated prices. The offering price of the securities from time to time will be determined by us or the selling stockholders, as applicable, and, at the time of the determination, may be higher or lower than the market price of the securities on any securities exchanges on which the securities may be listed.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a securities offering, certain persons participating in the offering may engage in transactions that stabilize, maintain or otherwise affect the price of the securities. Specifically, in connection with underwritten offerings of the offered securities and in accordance with applicable law and industry practice, the underwriters may over-allot and may bid for, and purchase, the securities in the open market. The applicable prospectus supplement will describe any such activities. Should any of these activities be undertaken, they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agents, underwriters and other third parties described above that participate in the distribution of the offered securities may be underwriters as defined in the Securities Act, and any discounts or commissions they receive from us and any profit on their resale of the securities may be treated as underwriting discounts and commissions under the Securities Act. We or the selling stockholders may have agreements with the agents, underwriters and those other third parties to indemnify them against specified civil liabilities, including liabilities under the Securities Act, or to contribute to payments they may be required to make in respect of those liabilities. Agents, underwriters and those other third parties may engage in transactions with or perform services for us in the ordinary course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To comply with applicable state securities laws, the securities covered by this prospectus will be sold, if necessary, in such jurisdictions only through registered or licensed brokers or dealers. In addition, the securities may not be sold in some states absent registration or pursuant to an exemption from applicable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69893_9"/>
      <w:bookmarkEnd w:id="2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including the filings that are incorporated by reference into this prospectus, are available to the public over the Internet at the SEC’s website at www.sec.gov. Copies of certain information filed by us with the SEC are also available on our website at http://investors.soterahealth.com. Information accessible on or through our website is not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69893_10"/>
      <w:bookmarkEnd w:id="2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5">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February 27,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Definitive Proxy Statement on </w:t>
            </w:r>
            <w:hyperlink r:id="rId16">
              <w:r>
                <w:rPr>
                  <w:rStyle w:val="InternetLink"/>
                  <w:rFonts w:ascii="Times New Roman" w:hAnsi="Times New Roman"/>
                  <w:sz w:val="20"/>
                </w:rPr>
                <w:t>Schedule 14A</w:t>
              </w:r>
            </w:hyperlink>
            <w:r>
              <w:rPr>
                <w:rFonts w:ascii="Times New Roman" w:hAnsi="Times New Roman"/>
                <w:sz w:val="20"/>
              </w:rPr>
              <w:t xml:space="preserve">, filed with the SEC on </w:t>
            </w:r>
            <w:hyperlink r:id="rId17">
              <w:r>
                <w:rPr>
                  <w:rStyle w:val="InternetLink"/>
                  <w:rFonts w:ascii="Times New Roman" w:hAnsi="Times New Roman"/>
                  <w:sz w:val="20"/>
                </w:rPr>
                <w:t>April  13, 2023</w:t>
              </w:r>
            </w:hyperlink>
            <w:r>
              <w:rPr>
                <w:rFonts w:ascii="Times New Roman" w:hAnsi="Times New Roman"/>
                <w:sz w:val="20"/>
              </w:rPr>
              <w:t xml:space="preserve"> (solely to the extent specifically incorporated by reference into our Annual Report on </w:t>
            </w:r>
            <w:hyperlink r:id="rId18">
              <w:r>
                <w:rPr>
                  <w:rStyle w:val="InternetLink"/>
                  <w:rFonts w:ascii="Times New Roman" w:hAnsi="Times New Roman"/>
                  <w:sz w:val="20"/>
                </w:rPr>
                <w:t>Form 10-K</w:t>
              </w:r>
            </w:hyperlink>
            <w:r>
              <w:rPr>
                <w:rFonts w:ascii="Times New Roman" w:hAnsi="Times New Roman"/>
                <w:sz w:val="20"/>
              </w:rPr>
              <w:t xml:space="preserve"> for the fiscal year ended December 31, 2022);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additional documents that we file with the SEC under Sections 13(a), 13(c), 14 or 15(d) of the Securities and Exchange Act of 1934 between the date of this prospectus and the end of the offering of the securities described in this prospectus. Those documents include Annual Reports on Form 10-K, Quarterly Reports on Form 10-Q, and Current Reports on Form 8-K mailed to our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Sotera Health Company, 9100 South Hills Blvd, Suite 300 Broadview Heights, Ohio 44147. </w:t>
      </w:r>
    </w:p>
    <w:p>
      <w:pPr>
        <w:pStyle w:val="TextBody"/>
        <w:bidi w:val="0"/>
        <w:spacing w:before="240" w:after="0"/>
        <w:jc w:val="left"/>
        <w:rPr>
          <w:rFonts w:ascii="Times New Roman" w:hAnsi="Times New Roman"/>
          <w:sz w:val="20"/>
        </w:rPr>
      </w:pPr>
      <w:r>
        <w:rPr>
          <w:rFonts w:ascii="Times New Roman" w:hAnsi="Times New Roman"/>
          <w:sz w:val="20"/>
        </w:rPr>
        <w:t xml:space="preserve">Exhibits to any documents incorporated by reference in this prospectus will not be sent, however, unless those exhibits have been specifically referenced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69893_11"/>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New York, New York will pass upon the legality of the shares of common stock covered by this prospectus. Any underwriters will be advised about legal matters by their own counsel, which will be named in an accompanying prospectus supplement. Certain legal matters with respect to any selling stockholder will be passed upon by their own counsel, which will be named in an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69893_12"/>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Sotera Health Company appearing in Sotera Health Company’s Annual Report on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0" w:after="0"/>
        <w:jc w:val="center"/>
        <w:rPr>
          <w:rFonts w:ascii="Times New Roman" w:hAnsi="Times New Roman"/>
          <w:b/>
          <w:sz w:val="32"/>
        </w:rPr>
      </w:pPr>
      <w:r>
        <w:rPr>
          <w:rFonts w:ascii="Times New Roman" w:hAnsi="Times New Roman"/>
          <w:b/>
          <w:sz w:val="32"/>
        </w:rPr>
        <w:t xml:space="preserve">30,000,000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398905" cy="473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1398905" cy="47307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0" w:after="0"/>
        <w:jc w:val="center"/>
        <w:rPr>
          <w:rFonts w:ascii="Times New Roman" w:hAnsi="Times New Roman"/>
          <w:b/>
          <w:sz w:val="28"/>
        </w:rPr>
      </w:pPr>
      <w:r>
        <w:rPr>
          <w:rFonts w:ascii="Times New Roman" w:hAnsi="Times New Roman"/>
          <w:b/>
          <w:sz w:val="28"/>
        </w:rPr>
        <w:t xml:space="preserve">November 6, 2025 </w:t>
      </w:r>
    </w:p>
    <w:p>
      <w:pPr>
        <w:pStyle w:val="TextBody"/>
        <w:bidi w:val="0"/>
        <w:spacing w:before="0" w:after="0"/>
        <w:jc w:val="left"/>
        <w:rPr/>
      </w:pPr>
      <w:r>
        <w:rPr/>
        <w:t> </w:t>
      </w:r>
    </w:p>
    <w:p>
      <w:pPr>
        <w:pStyle w:val="TextBody"/>
        <w:bidi w:val="0"/>
        <w:spacing w:before="480" w:after="0"/>
        <w:jc w:val="center"/>
        <w:rPr>
          <w:rFonts w:ascii="Times New Roman" w:hAnsi="Times New Roman"/>
          <w:b/>
          <w:sz w:val="28"/>
        </w:rPr>
      </w:pPr>
      <w:r>
        <w:rPr>
          <w:rFonts w:ascii="Times New Roman" w:hAnsi="Times New Roman"/>
          <w:b/>
          <w:sz w:val="28"/>
        </w:rPr>
        <w:t xml:space="preserve">Goldman Sachs &amp; Co. LLC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1" w:name="d69893dexfilingfees.htm"/>
      <w:bookmarkStart w:id="32" w:name="ksd69893dexfilingfees"/>
      <w:bookmarkStart w:id="33" w:name="d69893dexfilingfees.htm"/>
      <w:bookmarkStart w:id="34" w:name="ksd69893dexfilingfees"/>
      <w:bookmarkEnd w:id="33"/>
      <w:bookmarkEnd w:id="34"/>
      <w:r>
        <w:br w:type="page"/>
      </w:r>
    </w:p>
    <w:tbl>
      <w:tblPr>
        <w:tblW w:w="3564" w:type="dxa"/>
        <w:jc w:val="left"/>
        <w:tblInd w:w="0" w:type="dxa"/>
        <w:tblLayout w:type="fixed"/>
        <w:tblCellMar>
          <w:top w:w="28" w:type="dxa"/>
          <w:left w:w="28" w:type="dxa"/>
          <w:bottom w:w="28" w:type="dxa"/>
          <w:right w:w="28" w:type="dxa"/>
        </w:tblCellMar>
      </w:tblPr>
      <w:tblGrid>
        <w:gridCol w:w="3410"/>
        <w:gridCol w:w="154"/>
      </w:tblGrid>
      <w:tr>
        <w:trPr/>
        <w:tc>
          <w:tcPr>
            <w:tcW w:w="356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0"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b/>
              </w:rPr>
            </w:pPr>
            <w:r>
              <w:rPr>
                <w:b/>
              </w:rPr>
              <w:t xml:space="preserve">Sotera Health Co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30,000,000 </w:t>
            </w:r>
          </w:p>
        </w:tc>
        <w:tc>
          <w:tcPr>
            <w:tcW w:w="1156" w:type="dxa"/>
            <w:tcBorders/>
            <w:shd w:fill="E7E7E2" w:val="clear"/>
            <w:vAlign w:val="center"/>
          </w:tcPr>
          <w:p>
            <w:pPr>
              <w:pStyle w:val="TableContents"/>
              <w:bidi w:val="0"/>
              <w:spacing w:before="0" w:after="283"/>
              <w:jc w:val="right"/>
              <w:rPr/>
            </w:pPr>
            <w:r>
              <w:rPr/>
              <w:t xml:space="preserve">$ 15.70 </w:t>
            </w:r>
          </w:p>
        </w:tc>
        <w:tc>
          <w:tcPr>
            <w:tcW w:w="1786" w:type="dxa"/>
            <w:tcBorders/>
            <w:shd w:fill="E7E7E2" w:val="clear"/>
            <w:vAlign w:val="center"/>
          </w:tcPr>
          <w:p>
            <w:pPr>
              <w:pStyle w:val="TableContents"/>
              <w:bidi w:val="0"/>
              <w:spacing w:before="0" w:after="283"/>
              <w:jc w:val="right"/>
              <w:rPr/>
            </w:pPr>
            <w:r>
              <w:rPr/>
              <w:t xml:space="preserve">$ 471,000,000.00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$ 65,045.10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5" w:name="MaxAggtOfferingPrice"/>
            <w:bookmarkEnd w:id="35"/>
            <w:r>
              <w:rPr/>
              <w:t xml:space="preserve">$ 471,000,000.00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6" w:name="TotalFeeAmt"/>
            <w:bookmarkEnd w:id="36"/>
            <w:r>
              <w:rPr/>
              <w:t xml:space="preserve">$ 65,045.10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PreviouslyPaid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Offset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NetFeeAmt"/>
            <w:bookmarkEnd w:id="39"/>
            <w:r>
              <w:rPr/>
              <w:t xml:space="preserve">$ 65,045.10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4"/>
        <w:gridCol w:w="1292"/>
        <w:gridCol w:w="8699"/>
      </w:tblGrid>
      <w:tr>
        <w:trPr/>
        <w:tc>
          <w:tcPr>
            <w:tcW w:w="214"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1" w:type="dxa"/>
            <w:gridSpan w:val="2"/>
            <w:tcBorders/>
            <w:vAlign w:val="center"/>
          </w:tcPr>
          <w:p>
            <w:pPr>
              <w:pStyle w:val="TableContents"/>
              <w:bidi w:val="0"/>
              <w:spacing w:before="0" w:after="283"/>
              <w:jc w:val="left"/>
              <w:rPr/>
            </w:pPr>
            <w:r>
              <w:rPr/>
              <w:t xml:space="preserve">Calculated in accordance with Rule 457(r) under the Securities Act of 1933, as amended (the "Securities Act"). Payment of the registration fee at the time of filing of the registrant's Registration Statement on Form S-3 was deferred pursuant to Rules 456(b) and 456(r) under the Securities Act and is paid herewith. </w:t>
            </w:r>
          </w:p>
        </w:tc>
      </w:tr>
      <w:tr>
        <w:trPr/>
        <w:tc>
          <w:tcPr>
            <w:tcW w:w="1506" w:type="dxa"/>
            <w:gridSpan w:val="2"/>
            <w:tcBorders/>
            <w:vAlign w:val="center"/>
          </w:tcPr>
          <w:p>
            <w:pPr>
              <w:pStyle w:val="HorizontalLine"/>
              <w:pBdr>
                <w:bottom w:val="double" w:sz="2" w:space="0" w:color="808080"/>
              </w:pBdr>
              <w:bidi w:val="0"/>
              <w:spacing w:before="0" w:after="283"/>
              <w:jc w:val="left"/>
              <w:rPr/>
            </w:pPr>
            <w:r>
              <w:rPr/>
            </w:r>
          </w:p>
        </w:tc>
        <w:tc>
          <w:tcPr>
            <w:tcW w:w="869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22479/000182247925000015/shc-20241231.htm" TargetMode="External"/><Relationship Id="rId4" Type="http://schemas.openxmlformats.org/officeDocument/2006/relationships/hyperlink" Target="http://www.sec.gov/Archives/edgar/data/../../../ix?doc=/Archives/edgar/data/1822479/000182247925000025/shc-20250331.htm" TargetMode="External"/><Relationship Id="rId5" Type="http://schemas.openxmlformats.org/officeDocument/2006/relationships/hyperlink" Target="http://www.sec.gov/Archives/edgar/data/../../../ix?doc=/Archives/edgar/data/1822479/000182247925000044/shc-20250630.htm" TargetMode="External"/><Relationship Id="rId6" Type="http://schemas.openxmlformats.org/officeDocument/2006/relationships/hyperlink" Target="http://www.sec.gov/Archives/edgar/data/../../../ix?doc=/Archives/edgar/data/1822479/000182247925000054/shc-20250930.htm" TargetMode="External"/><Relationship Id="rId7" Type="http://schemas.openxmlformats.org/officeDocument/2006/relationships/hyperlink" Target="http://www.sec.gov/Archives/edgar/data/../../../ix?doc=/Archives/edgar/data/1822479/000182247925000003/shc-20250102.htm" TargetMode="External"/><Relationship Id="rId8" Type="http://schemas.openxmlformats.org/officeDocument/2006/relationships/hyperlink" Target="http://www.sec.gov/Archives/edgar/data/../../../ix?doc=/Archives/edgar/data/1822479/000182247925000028/shc-20250521.htm" TargetMode="External"/><Relationship Id="rId9" Type="http://schemas.openxmlformats.org/officeDocument/2006/relationships/hyperlink" Target="http://www.sec.gov/Archives/edgar/data/../../../ix?doc=/Archives/edgar/data/1822479/000119312525197231/d53656d8k.htm" TargetMode="External"/><Relationship Id="rId10" Type="http://schemas.openxmlformats.org/officeDocument/2006/relationships/hyperlink" Target="http://www.sec.gov/Archives/edgar/data/../../../ix?doc=/Archives/edgar/data/1822479/000119312525207549/d45811d8k.htm" TargetMode="External"/><Relationship Id="rId11" Type="http://schemas.openxmlformats.org/officeDocument/2006/relationships/hyperlink" Target="http://www.sec.gov/Archives/edgar/data/../../../ix?doc=/Archives/edgar/data/1822479/000110465925033563/tm253344-4_def14a.htm" TargetMode="External"/><Relationship Id="rId12" Type="http://schemas.openxmlformats.org/officeDocument/2006/relationships/hyperlink" Target="http://www.sec.gov/Archives/edgar/data/1822479/000110465925044107/tm2513916d1_defa14a.htm" TargetMode="External"/><Relationship Id="rId13" Type="http://schemas.openxmlformats.org/officeDocument/2006/relationships/hyperlink" Target="http://www.sec.gov/Archives/edgar/data/../../../ix?doc=/Archives/edgar/data/1822479/000182247925000015/shc-20241231.htm" TargetMode="External"/><Relationship Id="rId14" Type="http://schemas.openxmlformats.org/officeDocument/2006/relationships/image" Target="media/image2.jpeg"/><Relationship Id="rId15" Type="http://schemas.openxmlformats.org/officeDocument/2006/relationships/hyperlink" Target="http://www.sec.gov/Archives/edgar/data/1822479/000182247924000011/shc-20231231.htm" TargetMode="External"/><Relationship Id="rId16" Type="http://schemas.openxmlformats.org/officeDocument/2006/relationships/hyperlink" Target="http://www.sec.gov/Archives/edgar/data/../../../ix?doc=/Archives/edgar/data/1822479/000119312523099939/d425483ddef14a.htm" TargetMode="External"/><Relationship Id="rId17" Type="http://schemas.openxmlformats.org/officeDocument/2006/relationships/hyperlink" Target="http://www.sec.gov/Archives/edgar/data/1822479/000119312523099939/d425483ddef14a.htm" TargetMode="External"/><Relationship Id="rId18" Type="http://schemas.openxmlformats.org/officeDocument/2006/relationships/hyperlink" Target="http://www.sec.gov/Archives/edgar/data/../../../ix?doc=/Archives/edgar/data/1822479/000182247923000015/shc-20221231.htm" TargetMode="External"/><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26354</Words>
  <Characters>141586</Characters>
  <CharactersWithSpaces>169304</CharactersWithSpaces>
  <Paragraphs>3376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