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200"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419100</wp:posOffset>
            </wp:positionH>
            <wp:positionV relativeFrom="page">
              <wp:posOffset>154940</wp:posOffset>
            </wp:positionV>
            <wp:extent cx="6985000" cy="29933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clrChange>
                        <a:clrFrom>
                          <a:srgbClr val="FFFFFF"/>
                        </a:clrFrom>
                        <a:clrTo>
                          <a:srgbClr val="FFFFFF">
                            <a:alpha val="0"/>
                          </a:srgbClr>
                        </a:clrTo>
                      </a:clrChange>
                      <a:extLst>
                        <a:ext uri="{28A0092B-C50C-407E-A947-70E740481C1C}"/>
                      </a:extLst>
                    </a:blip>
                    <a:srcRect/>
                    <a:stretch>
                      <a:fillRect/>
                    </a:stretch>
                  </pic:blipFill>
                  <pic:spPr bwMode="auto">
                    <a:xfrm>
                      <a:off x="0" y="0"/>
                      <a:ext cx="6985000" cy="29933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12" w:lineRule="exact"/>
        <w:rPr>
          <w:sz w:val="24"/>
          <w:szCs w:val="24"/>
          <w:color w:val="auto"/>
        </w:rPr>
      </w:pPr>
    </w:p>
    <w:p>
      <w:pPr>
        <w:jc w:val="right"/>
        <w:spacing w:after="0"/>
        <w:rPr>
          <w:sz w:val="20"/>
          <w:szCs w:val="20"/>
          <w:color w:val="auto"/>
        </w:rPr>
      </w:pPr>
      <w:r>
        <w:rPr>
          <w:rFonts w:ascii="Arial" w:cs="Arial" w:eastAsia="Arial" w:hAnsi="Arial"/>
          <w:sz w:val="17"/>
          <w:szCs w:val="17"/>
          <w:color w:val="auto"/>
        </w:rPr>
        <w:t>November 12, 2020</w:t>
      </w:r>
    </w:p>
    <w:p>
      <w:pPr>
        <w:spacing w:after="0" w:line="213" w:lineRule="exact"/>
        <w:rPr>
          <w:sz w:val="24"/>
          <w:szCs w:val="24"/>
          <w:color w:val="auto"/>
        </w:rPr>
      </w:pPr>
    </w:p>
    <w:p>
      <w:pPr>
        <w:spacing w:after="0"/>
        <w:rPr>
          <w:sz w:val="20"/>
          <w:szCs w:val="20"/>
          <w:color w:val="auto"/>
        </w:rPr>
      </w:pPr>
      <w:r>
        <w:rPr>
          <w:rFonts w:ascii="Arial" w:cs="Arial" w:eastAsia="Arial" w:hAnsi="Arial"/>
          <w:sz w:val="17"/>
          <w:szCs w:val="17"/>
          <w:b w:val="1"/>
          <w:bCs w:val="1"/>
          <w:u w:val="single" w:color="auto"/>
          <w:color w:val="auto"/>
        </w:rPr>
        <w:t>VIA EDGAR CORRESPONDENCE</w:t>
      </w:r>
    </w:p>
    <w:p>
      <w:pPr>
        <w:spacing w:after="0" w:line="225" w:lineRule="exact"/>
        <w:rPr>
          <w:sz w:val="24"/>
          <w:szCs w:val="24"/>
          <w:color w:val="auto"/>
        </w:rPr>
      </w:pPr>
    </w:p>
    <w:p>
      <w:pPr>
        <w:spacing w:after="0"/>
        <w:rPr>
          <w:sz w:val="20"/>
          <w:szCs w:val="20"/>
          <w:color w:val="auto"/>
        </w:rPr>
      </w:pPr>
      <w:r>
        <w:rPr>
          <w:rFonts w:ascii="Arial" w:cs="Arial" w:eastAsia="Arial" w:hAnsi="Arial"/>
          <w:sz w:val="17"/>
          <w:szCs w:val="17"/>
          <w:color w:val="auto"/>
        </w:rPr>
        <w:t>Mr. Chris Edwards</w:t>
      </w:r>
    </w:p>
    <w:p>
      <w:pPr>
        <w:spacing w:after="0" w:line="24" w:lineRule="exact"/>
        <w:rPr>
          <w:sz w:val="24"/>
          <w:szCs w:val="24"/>
          <w:color w:val="auto"/>
        </w:rPr>
      </w:pPr>
    </w:p>
    <w:p>
      <w:pPr>
        <w:spacing w:after="0"/>
        <w:rPr>
          <w:sz w:val="20"/>
          <w:szCs w:val="20"/>
          <w:color w:val="auto"/>
        </w:rPr>
      </w:pPr>
      <w:r>
        <w:rPr>
          <w:rFonts w:ascii="Arial" w:cs="Arial" w:eastAsia="Arial" w:hAnsi="Arial"/>
          <w:sz w:val="17"/>
          <w:szCs w:val="17"/>
          <w:color w:val="auto"/>
        </w:rPr>
        <w:t>Securities and Exchange Commission</w:t>
      </w:r>
    </w:p>
    <w:p>
      <w:pPr>
        <w:spacing w:after="0" w:line="12" w:lineRule="exact"/>
        <w:rPr>
          <w:sz w:val="24"/>
          <w:szCs w:val="24"/>
          <w:color w:val="auto"/>
        </w:rPr>
      </w:pPr>
    </w:p>
    <w:p>
      <w:pPr>
        <w:spacing w:after="0"/>
        <w:rPr>
          <w:sz w:val="20"/>
          <w:szCs w:val="20"/>
          <w:color w:val="auto"/>
        </w:rPr>
      </w:pPr>
      <w:r>
        <w:rPr>
          <w:rFonts w:ascii="Arial" w:cs="Arial" w:eastAsia="Arial" w:hAnsi="Arial"/>
          <w:sz w:val="17"/>
          <w:szCs w:val="17"/>
          <w:color w:val="auto"/>
        </w:rPr>
        <w:t>Office of Life Sciences</w:t>
      </w:r>
    </w:p>
    <w:p>
      <w:pPr>
        <w:spacing w:after="0" w:line="12" w:lineRule="exact"/>
        <w:rPr>
          <w:sz w:val="24"/>
          <w:szCs w:val="24"/>
          <w:color w:val="auto"/>
        </w:rPr>
      </w:pPr>
    </w:p>
    <w:p>
      <w:pPr>
        <w:spacing w:after="0"/>
        <w:rPr>
          <w:sz w:val="20"/>
          <w:szCs w:val="20"/>
          <w:color w:val="auto"/>
        </w:rPr>
      </w:pPr>
      <w:r>
        <w:rPr>
          <w:rFonts w:ascii="Arial" w:cs="Arial" w:eastAsia="Arial" w:hAnsi="Arial"/>
          <w:sz w:val="17"/>
          <w:szCs w:val="17"/>
          <w:color w:val="auto"/>
        </w:rPr>
        <w:t>Division of Corporation Finance</w:t>
      </w:r>
    </w:p>
    <w:p>
      <w:pPr>
        <w:spacing w:after="0" w:line="12" w:lineRule="exact"/>
        <w:rPr>
          <w:sz w:val="24"/>
          <w:szCs w:val="24"/>
          <w:color w:val="auto"/>
        </w:rPr>
      </w:pPr>
    </w:p>
    <w:p>
      <w:pPr>
        <w:spacing w:after="0"/>
        <w:rPr>
          <w:sz w:val="20"/>
          <w:szCs w:val="20"/>
          <w:color w:val="auto"/>
        </w:rPr>
      </w:pPr>
      <w:r>
        <w:rPr>
          <w:rFonts w:ascii="Arial" w:cs="Arial" w:eastAsia="Arial" w:hAnsi="Arial"/>
          <w:sz w:val="17"/>
          <w:szCs w:val="17"/>
          <w:color w:val="auto"/>
        </w:rPr>
        <w:t>100 F Street, N.E.</w:t>
      </w:r>
    </w:p>
    <w:p>
      <w:pPr>
        <w:spacing w:after="0" w:line="12" w:lineRule="exact"/>
        <w:rPr>
          <w:sz w:val="24"/>
          <w:szCs w:val="24"/>
          <w:color w:val="auto"/>
        </w:rPr>
      </w:pPr>
    </w:p>
    <w:p>
      <w:pPr>
        <w:spacing w:after="0"/>
        <w:rPr>
          <w:sz w:val="20"/>
          <w:szCs w:val="20"/>
          <w:color w:val="auto"/>
        </w:rPr>
      </w:pPr>
      <w:r>
        <w:rPr>
          <w:rFonts w:ascii="Arial" w:cs="Arial" w:eastAsia="Arial" w:hAnsi="Arial"/>
          <w:sz w:val="17"/>
          <w:szCs w:val="17"/>
          <w:color w:val="auto"/>
        </w:rPr>
        <w:t>Washington, D.C. 20549</w:t>
      </w:r>
    </w:p>
    <w:p>
      <w:pPr>
        <w:spacing w:after="0" w:line="343" w:lineRule="exact"/>
        <w:rPr>
          <w:sz w:val="24"/>
          <w:szCs w:val="24"/>
          <w:color w:val="auto"/>
        </w:rPr>
      </w:pPr>
    </w:p>
    <w:p>
      <w:pPr>
        <w:spacing w:after="0"/>
        <w:tabs>
          <w:tab w:leader="none" w:pos="400" w:val="left"/>
        </w:tabs>
        <w:rPr>
          <w:sz w:val="20"/>
          <w:szCs w:val="20"/>
          <w:color w:val="auto"/>
        </w:rPr>
      </w:pPr>
      <w:r>
        <w:rPr>
          <w:rFonts w:ascii="Arial" w:cs="Arial" w:eastAsia="Arial" w:hAnsi="Arial"/>
          <w:sz w:val="17"/>
          <w:szCs w:val="17"/>
          <w:b w:val="1"/>
          <w:bCs w:val="1"/>
          <w:color w:val="auto"/>
        </w:rPr>
        <w:t>Re:</w:t>
      </w:r>
      <w:r>
        <w:rPr>
          <w:sz w:val="20"/>
          <w:szCs w:val="20"/>
          <w:color w:val="auto"/>
        </w:rPr>
        <w:tab/>
      </w:r>
      <w:r>
        <w:rPr>
          <w:rFonts w:ascii="Arial" w:cs="Arial" w:eastAsia="Arial" w:hAnsi="Arial"/>
          <w:sz w:val="15"/>
          <w:szCs w:val="15"/>
          <w:b w:val="1"/>
          <w:bCs w:val="1"/>
          <w:color w:val="auto"/>
        </w:rPr>
        <w:t>Sotera Health Company</w:t>
      </w:r>
    </w:p>
    <w:p>
      <w:pPr>
        <w:spacing w:after="0" w:line="30" w:lineRule="exact"/>
        <w:rPr>
          <w:sz w:val="24"/>
          <w:szCs w:val="24"/>
          <w:color w:val="auto"/>
        </w:rPr>
      </w:pPr>
    </w:p>
    <w:p>
      <w:pPr>
        <w:ind w:left="420"/>
        <w:spacing w:after="0"/>
        <w:rPr>
          <w:sz w:val="20"/>
          <w:szCs w:val="20"/>
          <w:color w:val="auto"/>
        </w:rPr>
      </w:pPr>
      <w:r>
        <w:rPr>
          <w:rFonts w:ascii="Arial" w:cs="Arial" w:eastAsia="Arial" w:hAnsi="Arial"/>
          <w:sz w:val="17"/>
          <w:szCs w:val="17"/>
          <w:b w:val="1"/>
          <w:bCs w:val="1"/>
          <w:color w:val="auto"/>
        </w:rPr>
        <w:t>Amendment No. 1 to Registration Statement on Form S-1</w:t>
      </w:r>
    </w:p>
    <w:p>
      <w:pPr>
        <w:spacing w:after="0" w:line="12" w:lineRule="exact"/>
        <w:rPr>
          <w:sz w:val="24"/>
          <w:szCs w:val="24"/>
          <w:color w:val="auto"/>
        </w:rPr>
      </w:pPr>
    </w:p>
    <w:p>
      <w:pPr>
        <w:ind w:left="420"/>
        <w:spacing w:after="0"/>
        <w:rPr>
          <w:sz w:val="20"/>
          <w:szCs w:val="20"/>
          <w:color w:val="auto"/>
        </w:rPr>
      </w:pPr>
      <w:r>
        <w:rPr>
          <w:rFonts w:ascii="Arial" w:cs="Arial" w:eastAsia="Arial" w:hAnsi="Arial"/>
          <w:sz w:val="17"/>
          <w:szCs w:val="17"/>
          <w:b w:val="1"/>
          <w:bCs w:val="1"/>
          <w:color w:val="auto"/>
        </w:rPr>
        <w:t>Filed November 2, 2020</w:t>
      </w:r>
    </w:p>
    <w:p>
      <w:pPr>
        <w:spacing w:after="0" w:line="12" w:lineRule="exact"/>
        <w:rPr>
          <w:sz w:val="24"/>
          <w:szCs w:val="24"/>
          <w:color w:val="auto"/>
        </w:rPr>
      </w:pPr>
    </w:p>
    <w:p>
      <w:pPr>
        <w:ind w:left="420"/>
        <w:spacing w:after="0"/>
        <w:rPr>
          <w:sz w:val="20"/>
          <w:szCs w:val="20"/>
          <w:color w:val="auto"/>
        </w:rPr>
      </w:pPr>
      <w:r>
        <w:rPr>
          <w:rFonts w:ascii="Arial" w:cs="Arial" w:eastAsia="Arial" w:hAnsi="Arial"/>
          <w:sz w:val="17"/>
          <w:szCs w:val="17"/>
          <w:b w:val="1"/>
          <w:bCs w:val="1"/>
          <w:color w:val="auto"/>
        </w:rPr>
        <w:t>File No. 333-249648</w:t>
      </w:r>
    </w:p>
    <w:p>
      <w:pPr>
        <w:spacing w:after="0" w:line="103" w:lineRule="exact"/>
        <w:rPr>
          <w:sz w:val="24"/>
          <w:szCs w:val="24"/>
          <w:color w:val="auto"/>
        </w:rPr>
      </w:pPr>
    </w:p>
    <w:p>
      <w:pPr>
        <w:spacing w:after="0"/>
        <w:rPr>
          <w:sz w:val="20"/>
          <w:szCs w:val="20"/>
          <w:color w:val="auto"/>
        </w:rPr>
      </w:pPr>
      <w:r>
        <w:rPr>
          <w:rFonts w:ascii="Arial" w:cs="Arial" w:eastAsia="Arial" w:hAnsi="Arial"/>
          <w:sz w:val="17"/>
          <w:szCs w:val="17"/>
          <w:color w:val="auto"/>
        </w:rPr>
        <w:t>Dear Mr. Edwards:</w:t>
      </w:r>
    </w:p>
    <w:p>
      <w:pPr>
        <w:spacing w:after="0" w:line="115" w:lineRule="exact"/>
        <w:rPr>
          <w:sz w:val="24"/>
          <w:szCs w:val="24"/>
          <w:color w:val="auto"/>
        </w:rPr>
      </w:pPr>
    </w:p>
    <w:p>
      <w:pPr>
        <w:jc w:val="both"/>
        <w:ind w:firstLine="422"/>
        <w:spacing w:after="0" w:line="269" w:lineRule="auto"/>
        <w:rPr>
          <w:sz w:val="20"/>
          <w:szCs w:val="20"/>
          <w:color w:val="auto"/>
        </w:rPr>
      </w:pPr>
      <w:r>
        <w:rPr>
          <w:rFonts w:ascii="Arial" w:cs="Arial" w:eastAsia="Arial" w:hAnsi="Arial"/>
          <w:sz w:val="17"/>
          <w:szCs w:val="17"/>
          <w:color w:val="auto"/>
        </w:rPr>
        <w:t>On behalf of our client, Sotera Health Company (the “</w:t>
      </w:r>
      <w:r>
        <w:rPr>
          <w:rFonts w:ascii="Arial" w:cs="Arial" w:eastAsia="Arial" w:hAnsi="Arial"/>
          <w:sz w:val="17"/>
          <w:szCs w:val="17"/>
          <w:u w:val="single" w:color="auto"/>
          <w:color w:val="auto"/>
        </w:rPr>
        <w:t>Company</w:t>
      </w:r>
      <w:r>
        <w:rPr>
          <w:rFonts w:ascii="Arial" w:cs="Arial" w:eastAsia="Arial" w:hAnsi="Arial"/>
          <w:sz w:val="17"/>
          <w:szCs w:val="17"/>
          <w:color w:val="auto"/>
        </w:rPr>
        <w:t>”), set forth below is our response to the comment of the staff (the “</w:t>
      </w:r>
      <w:r>
        <w:rPr>
          <w:rFonts w:ascii="Arial" w:cs="Arial" w:eastAsia="Arial" w:hAnsi="Arial"/>
          <w:sz w:val="17"/>
          <w:szCs w:val="17"/>
          <w:u w:val="single" w:color="auto"/>
          <w:color w:val="auto"/>
        </w:rPr>
        <w:t>Staff</w:t>
      </w:r>
      <w:r>
        <w:rPr>
          <w:rFonts w:ascii="Arial" w:cs="Arial" w:eastAsia="Arial" w:hAnsi="Arial"/>
          <w:sz w:val="17"/>
          <w:szCs w:val="17"/>
          <w:color w:val="auto"/>
        </w:rPr>
        <w:t>”) of the Securities and Exchange Commission (the “</w:t>
      </w:r>
      <w:r>
        <w:rPr>
          <w:rFonts w:ascii="Arial" w:cs="Arial" w:eastAsia="Arial" w:hAnsi="Arial"/>
          <w:sz w:val="17"/>
          <w:szCs w:val="17"/>
          <w:u w:val="single" w:color="auto"/>
          <w:color w:val="auto"/>
        </w:rPr>
        <w:t>Commission</w:t>
      </w:r>
      <w:r>
        <w:rPr>
          <w:rFonts w:ascii="Arial" w:cs="Arial" w:eastAsia="Arial" w:hAnsi="Arial"/>
          <w:sz w:val="17"/>
          <w:szCs w:val="17"/>
          <w:color w:val="auto"/>
        </w:rPr>
        <w:t>”) in its letter dated November 9, 2020, with respect to the above-referenced Amendment No. 1 to Registration Statement (the “</w:t>
      </w:r>
      <w:r>
        <w:rPr>
          <w:rFonts w:ascii="Arial" w:cs="Arial" w:eastAsia="Arial" w:hAnsi="Arial"/>
          <w:sz w:val="17"/>
          <w:szCs w:val="17"/>
          <w:u w:val="single" w:color="auto"/>
          <w:color w:val="auto"/>
        </w:rPr>
        <w:t>Registration Statement</w:t>
      </w:r>
      <w:r>
        <w:rPr>
          <w:rFonts w:ascii="Arial" w:cs="Arial" w:eastAsia="Arial" w:hAnsi="Arial"/>
          <w:sz w:val="17"/>
          <w:szCs w:val="17"/>
          <w:color w:val="auto"/>
        </w:rPr>
        <w:t>”) on Form S-1 submitted on November 2, 2020.</w:t>
      </w:r>
    </w:p>
    <w:p>
      <w:pPr>
        <w:spacing w:after="0" w:line="172" w:lineRule="exact"/>
        <w:rPr>
          <w:sz w:val="24"/>
          <w:szCs w:val="24"/>
          <w:color w:val="auto"/>
        </w:rPr>
      </w:pPr>
    </w:p>
    <w:p>
      <w:pPr>
        <w:jc w:val="both"/>
        <w:ind w:firstLine="422"/>
        <w:spacing w:after="0" w:line="284" w:lineRule="auto"/>
        <w:rPr>
          <w:sz w:val="20"/>
          <w:szCs w:val="20"/>
          <w:color w:val="auto"/>
        </w:rPr>
      </w:pPr>
      <w:r>
        <w:rPr>
          <w:rFonts w:ascii="Arial" w:cs="Arial" w:eastAsia="Arial" w:hAnsi="Arial"/>
          <w:sz w:val="17"/>
          <w:szCs w:val="17"/>
          <w:color w:val="auto"/>
        </w:rPr>
        <w:t>The Company has publicly filed today its second amendment to the Registration Statement (“</w:t>
      </w:r>
      <w:r>
        <w:rPr>
          <w:rFonts w:ascii="Arial" w:cs="Arial" w:eastAsia="Arial" w:hAnsi="Arial"/>
          <w:sz w:val="17"/>
          <w:szCs w:val="17"/>
          <w:u w:val="single" w:color="auto"/>
          <w:color w:val="auto"/>
        </w:rPr>
        <w:t>Amendment No. 2</w:t>
      </w:r>
      <w:r>
        <w:rPr>
          <w:rFonts w:ascii="Arial" w:cs="Arial" w:eastAsia="Arial" w:hAnsi="Arial"/>
          <w:sz w:val="17"/>
          <w:szCs w:val="17"/>
          <w:color w:val="auto"/>
        </w:rPr>
        <w:t>”), together with this letter, via EDGAR submission.</w:t>
      </w:r>
    </w:p>
    <w:p>
      <w:pPr>
        <w:spacing w:after="0" w:line="159" w:lineRule="exact"/>
        <w:rPr>
          <w:sz w:val="24"/>
          <w:szCs w:val="24"/>
          <w:color w:val="auto"/>
        </w:rPr>
      </w:pPr>
    </w:p>
    <w:p>
      <w:pPr>
        <w:jc w:val="both"/>
        <w:ind w:firstLine="422"/>
        <w:spacing w:after="0" w:line="284" w:lineRule="auto"/>
        <w:rPr>
          <w:sz w:val="20"/>
          <w:szCs w:val="20"/>
          <w:color w:val="auto"/>
        </w:rPr>
      </w:pPr>
      <w:r>
        <w:rPr>
          <w:rFonts w:ascii="Arial" w:cs="Arial" w:eastAsia="Arial" w:hAnsi="Arial"/>
          <w:sz w:val="17"/>
          <w:szCs w:val="17"/>
          <w:color w:val="auto"/>
        </w:rPr>
        <w:t>For your convenience, the text of the Staff’s comment is set forth in bold below, followed by the Company’s response. The page references in the response are to the pages of Amendment No. 2.</w:t>
      </w:r>
    </w:p>
    <w:p>
      <w:pPr>
        <w:spacing w:after="0" w:line="257" w:lineRule="exact"/>
        <w:rPr>
          <w:sz w:val="24"/>
          <w:szCs w:val="24"/>
          <w:color w:val="auto"/>
        </w:rPr>
      </w:pPr>
    </w:p>
    <w:p>
      <w:pPr>
        <w:spacing w:after="0"/>
        <w:rPr>
          <w:sz w:val="20"/>
          <w:szCs w:val="20"/>
          <w:color w:val="auto"/>
        </w:rPr>
      </w:pPr>
      <w:r>
        <w:rPr>
          <w:rFonts w:ascii="Arial" w:cs="Arial" w:eastAsia="Arial" w:hAnsi="Arial"/>
          <w:sz w:val="17"/>
          <w:szCs w:val="17"/>
          <w:b w:val="1"/>
          <w:bCs w:val="1"/>
          <w:u w:val="single" w:color="auto"/>
          <w:color w:val="auto"/>
        </w:rPr>
        <w:t>Amendment No. 1 to Form S-1</w:t>
      </w:r>
    </w:p>
    <w:p>
      <w:pPr>
        <w:spacing w:after="0" w:line="115" w:lineRule="exact"/>
        <w:rPr>
          <w:sz w:val="24"/>
          <w:szCs w:val="24"/>
          <w:color w:val="auto"/>
        </w:rPr>
      </w:pPr>
    </w:p>
    <w:p>
      <w:pPr>
        <w:spacing w:after="0"/>
        <w:rPr>
          <w:sz w:val="20"/>
          <w:szCs w:val="20"/>
          <w:color w:val="auto"/>
        </w:rPr>
      </w:pPr>
      <w:r>
        <w:rPr>
          <w:rFonts w:ascii="Arial" w:cs="Arial" w:eastAsia="Arial" w:hAnsi="Arial"/>
          <w:sz w:val="17"/>
          <w:szCs w:val="17"/>
          <w:b w:val="1"/>
          <w:bCs w:val="1"/>
          <w:u w:val="single" w:color="auto"/>
          <w:color w:val="auto"/>
        </w:rPr>
        <w:t>Summary</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1702435</wp:posOffset>
            </wp:positionH>
            <wp:positionV relativeFrom="paragraph">
              <wp:posOffset>167005</wp:posOffset>
            </wp:positionV>
            <wp:extent cx="3314065" cy="17272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3314065" cy="172720"/>
                    </a:xfrm>
                    <a:prstGeom prst="rect">
                      <a:avLst/>
                    </a:prstGeom>
                    <a:noFill/>
                  </pic:spPr>
                </pic:pic>
              </a:graphicData>
            </a:graphic>
          </wp:anchor>
        </w:drawing>
      </w:r>
    </w:p>
    <w:p>
      <w:pPr>
        <w:sectPr>
          <w:pgSz w:w="11900" w:h="16838" w:orient="portrait"/>
          <w:cols w:equalWidth="0" w:num="1">
            <w:col w:w="10560"/>
          </w:cols>
          <w:pgMar w:left="660" w:top="1440" w:right="679" w:bottom="1440" w:gutter="0" w:footer="0" w:header="0"/>
        </w:sectPr>
      </w:pPr>
    </w:p>
    <w:bookmarkStart w:id="1" w:name="page2"/>
    <w:bookmarkEnd w:id="1"/>
    <w:p>
      <w:pPr>
        <w:spacing w:after="0"/>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205740</wp:posOffset>
            </wp:positionH>
            <wp:positionV relativeFrom="page">
              <wp:posOffset>88900</wp:posOffset>
            </wp:positionV>
            <wp:extent cx="7154545" cy="24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54545" cy="24765"/>
                    </a:xfrm>
                    <a:prstGeom prst="rect">
                      <a:avLst/>
                    </a:prstGeom>
                    <a:noFill/>
                  </pic:spPr>
                </pic:pic>
              </a:graphicData>
            </a:graphic>
          </wp:anchor>
        </w:drawing>
        <w:t>Mr. Chris Edwards</w:t>
      </w:r>
    </w:p>
    <w:p>
      <w:pPr>
        <w:spacing w:after="0" w:line="24" w:lineRule="exact"/>
        <w:rPr>
          <w:sz w:val="20"/>
          <w:szCs w:val="20"/>
          <w:color w:val="auto"/>
        </w:rPr>
      </w:pPr>
    </w:p>
    <w:p>
      <w:pPr>
        <w:spacing w:after="0"/>
        <w:rPr>
          <w:sz w:val="20"/>
          <w:szCs w:val="20"/>
          <w:color w:val="auto"/>
        </w:rPr>
      </w:pPr>
      <w:r>
        <w:rPr>
          <w:rFonts w:ascii="Arial" w:cs="Arial" w:eastAsia="Arial" w:hAnsi="Arial"/>
          <w:sz w:val="17"/>
          <w:szCs w:val="17"/>
          <w:color w:val="auto"/>
        </w:rPr>
        <w:t>Securities and Exchange Commission</w:t>
      </w:r>
    </w:p>
    <w:p>
      <w:pPr>
        <w:spacing w:after="0" w:line="12" w:lineRule="exact"/>
        <w:rPr>
          <w:sz w:val="20"/>
          <w:szCs w:val="20"/>
          <w:color w:val="auto"/>
        </w:rPr>
      </w:pPr>
    </w:p>
    <w:p>
      <w:pPr>
        <w:spacing w:after="0"/>
        <w:rPr>
          <w:sz w:val="20"/>
          <w:szCs w:val="20"/>
          <w:color w:val="auto"/>
        </w:rPr>
      </w:pPr>
      <w:r>
        <w:rPr>
          <w:rFonts w:ascii="Arial" w:cs="Arial" w:eastAsia="Arial" w:hAnsi="Arial"/>
          <w:sz w:val="17"/>
          <w:szCs w:val="17"/>
          <w:color w:val="auto"/>
        </w:rPr>
        <w:t>Page 2 of 2</w:t>
      </w:r>
    </w:p>
    <w:p>
      <w:pPr>
        <w:spacing w:after="0" w:line="136" w:lineRule="exact"/>
        <w:rPr>
          <w:sz w:val="20"/>
          <w:szCs w:val="20"/>
          <w:color w:val="auto"/>
        </w:rPr>
      </w:pPr>
    </w:p>
    <w:p>
      <w:pPr>
        <w:spacing w:after="0"/>
        <w:rPr>
          <w:sz w:val="20"/>
          <w:szCs w:val="20"/>
          <w:color w:val="auto"/>
        </w:rPr>
      </w:pPr>
      <w:r>
        <w:rPr>
          <w:rFonts w:ascii="Arial" w:cs="Arial" w:eastAsia="Arial" w:hAnsi="Arial"/>
          <w:sz w:val="17"/>
          <w:szCs w:val="17"/>
          <w:b w:val="1"/>
          <w:bCs w:val="1"/>
          <w:u w:val="single" w:color="auto"/>
          <w:color w:val="auto"/>
        </w:rPr>
        <w:t>Exhibits</w:t>
      </w:r>
    </w:p>
    <w:p>
      <w:pPr>
        <w:spacing w:after="0" w:line="115" w:lineRule="exact"/>
        <w:rPr>
          <w:sz w:val="20"/>
          <w:szCs w:val="20"/>
          <w:color w:val="auto"/>
        </w:rPr>
      </w:pPr>
    </w:p>
    <w:p>
      <w:pPr>
        <w:jc w:val="both"/>
        <w:spacing w:after="0" w:line="281" w:lineRule="auto"/>
        <w:tabs>
          <w:tab w:leader="none" w:pos="198" w:val="left"/>
        </w:tabs>
        <w:numPr>
          <w:ilvl w:val="0"/>
          <w:numId w:val="1"/>
        </w:numPr>
        <w:rPr>
          <w:rFonts w:ascii="Arial" w:cs="Arial" w:eastAsia="Arial" w:hAnsi="Arial"/>
          <w:sz w:val="16"/>
          <w:szCs w:val="16"/>
          <w:b w:val="1"/>
          <w:bCs w:val="1"/>
          <w:color w:val="auto"/>
        </w:rPr>
      </w:pPr>
      <w:r>
        <w:rPr>
          <w:rFonts w:ascii="Arial" w:cs="Arial" w:eastAsia="Arial" w:hAnsi="Arial"/>
          <w:sz w:val="16"/>
          <w:szCs w:val="16"/>
          <w:b w:val="1"/>
          <w:bCs w:val="1"/>
          <w:color w:val="auto"/>
        </w:rPr>
        <w:t>We note your disclosures in the prospectus stating that your amended and restated certificate of incorporation provides that derivative actions will be brought in the Court of Chancery, or any state or federal court located within the State of Delaware if the Court of Chancery does not have jurisdiction. However, the exclusive forum provision set forth in your Exhibit 3.1 does not include the reference to a federal court if the Court of Chancery does not have jurisdiction. Please revise to clarify whether this provision applies to actions arising under the Exchange Act, and please also ensure that the exclusive forum provision in the governing documents states this clearly, or tell us how you will inform investors in future filings that the provision does not apply to any actions arising under the Exchange Act.</w:t>
      </w:r>
    </w:p>
    <w:p>
      <w:pPr>
        <w:spacing w:after="0" w:line="164" w:lineRule="exact"/>
        <w:rPr>
          <w:sz w:val="20"/>
          <w:szCs w:val="20"/>
          <w:color w:val="auto"/>
        </w:rPr>
      </w:pPr>
    </w:p>
    <w:p>
      <w:pPr>
        <w:ind w:left="420"/>
        <w:spacing w:after="0"/>
        <w:rPr>
          <w:sz w:val="20"/>
          <w:szCs w:val="20"/>
          <w:color w:val="auto"/>
        </w:rPr>
      </w:pPr>
      <w:r>
        <w:rPr>
          <w:rFonts w:ascii="Arial" w:cs="Arial" w:eastAsia="Arial" w:hAnsi="Arial"/>
          <w:sz w:val="17"/>
          <w:szCs w:val="17"/>
          <w:color w:val="auto"/>
        </w:rPr>
        <w:t>In response to the Staff’s comment, the Company has revised Exhibit 3.1 and the disclosures on pages 52 and 170.</w:t>
      </w:r>
    </w:p>
    <w:p>
      <w:pPr>
        <w:spacing w:after="0" w:line="219" w:lineRule="exact"/>
        <w:rPr>
          <w:sz w:val="20"/>
          <w:szCs w:val="20"/>
          <w:color w:val="auto"/>
        </w:rPr>
      </w:pPr>
    </w:p>
    <w:p>
      <w:pPr>
        <w:jc w:val="center"/>
        <w:spacing w:after="0"/>
        <w:tabs>
          <w:tab w:leader="none" w:pos="160" w:val="left"/>
          <w:tab w:leader="none" w:pos="160" w:val="left"/>
        </w:tabs>
        <w:rPr>
          <w:sz w:val="20"/>
          <w:szCs w:val="20"/>
          <w:color w:val="auto"/>
        </w:rPr>
      </w:pPr>
      <w:r>
        <w:rPr>
          <w:rFonts w:ascii="Arial" w:cs="Arial" w:eastAsia="Arial" w:hAnsi="Arial"/>
          <w:sz w:val="17"/>
          <w:szCs w:val="17"/>
          <w:color w:val="auto"/>
        </w:rPr>
        <w:t>*</w:t>
        <w:tab/>
        <w:t>*</w:t>
        <w:tab/>
        <w:t>*</w:t>
      </w:r>
    </w:p>
    <w:p>
      <w:pPr>
        <w:spacing w:after="0" w:line="219" w:lineRule="exact"/>
        <w:rPr>
          <w:sz w:val="20"/>
          <w:szCs w:val="20"/>
          <w:color w:val="auto"/>
        </w:rPr>
      </w:pPr>
    </w:p>
    <w:p>
      <w:pPr>
        <w:ind w:left="420"/>
        <w:spacing w:after="0"/>
        <w:rPr>
          <w:sz w:val="20"/>
          <w:szCs w:val="20"/>
          <w:color w:val="auto"/>
        </w:rPr>
      </w:pPr>
      <w:r>
        <w:rPr>
          <w:rFonts w:ascii="Arial" w:cs="Arial" w:eastAsia="Arial" w:hAnsi="Arial"/>
          <w:sz w:val="17"/>
          <w:szCs w:val="17"/>
          <w:color w:val="auto"/>
        </w:rPr>
        <w:t>Please direct any comments regarding this submission to David Lopez at (212) 225-2632.</w:t>
      </w:r>
    </w:p>
    <w:p>
      <w:pPr>
        <w:spacing w:after="0" w:line="245" w:lineRule="exact"/>
        <w:rPr>
          <w:sz w:val="20"/>
          <w:szCs w:val="20"/>
          <w:color w:val="auto"/>
        </w:rPr>
      </w:pPr>
    </w:p>
    <w:p>
      <w:pPr>
        <w:ind w:left="6340"/>
        <w:spacing w:after="0"/>
        <w:rPr>
          <w:sz w:val="20"/>
          <w:szCs w:val="20"/>
          <w:color w:val="auto"/>
        </w:rPr>
      </w:pPr>
      <w:r>
        <w:rPr>
          <w:rFonts w:ascii="Arial" w:cs="Arial" w:eastAsia="Arial" w:hAnsi="Arial"/>
          <w:sz w:val="17"/>
          <w:szCs w:val="17"/>
          <w:color w:val="auto"/>
        </w:rPr>
        <w:t>Very truly yours,</w:t>
      </w:r>
    </w:p>
    <w:p>
      <w:pPr>
        <w:spacing w:after="0" w:line="219" w:lineRule="exact"/>
        <w:rPr>
          <w:sz w:val="20"/>
          <w:szCs w:val="20"/>
          <w:color w:val="auto"/>
        </w:rPr>
      </w:pPr>
    </w:p>
    <w:p>
      <w:pPr>
        <w:ind w:left="6340"/>
        <w:spacing w:after="0"/>
        <w:rPr>
          <w:sz w:val="20"/>
          <w:szCs w:val="20"/>
          <w:color w:val="auto"/>
        </w:rPr>
      </w:pPr>
      <w:r>
        <w:rPr>
          <w:rFonts w:ascii="Arial" w:cs="Arial" w:eastAsia="Arial" w:hAnsi="Arial"/>
          <w:sz w:val="17"/>
          <w:szCs w:val="17"/>
          <w:color w:val="auto"/>
        </w:rPr>
        <w:t>/s/ David Lopez</w:t>
      </w:r>
    </w:p>
    <w:p>
      <w:pPr>
        <w:spacing w:after="0" w:line="219" w:lineRule="exact"/>
        <w:rPr>
          <w:sz w:val="20"/>
          <w:szCs w:val="20"/>
          <w:color w:val="auto"/>
        </w:rPr>
      </w:pPr>
    </w:p>
    <w:p>
      <w:pPr>
        <w:ind w:left="6340"/>
        <w:spacing w:after="0"/>
        <w:rPr>
          <w:sz w:val="20"/>
          <w:szCs w:val="20"/>
          <w:color w:val="auto"/>
        </w:rPr>
      </w:pPr>
      <w:r>
        <w:rPr>
          <w:rFonts w:ascii="Arial" w:cs="Arial" w:eastAsia="Arial" w:hAnsi="Arial"/>
          <w:sz w:val="17"/>
          <w:szCs w:val="17"/>
          <w:color w:val="auto"/>
        </w:rPr>
        <w:t>David Lopez</w:t>
      </w:r>
    </w:p>
    <w:p>
      <w:pPr>
        <w:spacing w:after="0" w:line="128" w:lineRule="exact"/>
        <w:rPr>
          <w:sz w:val="20"/>
          <w:szCs w:val="20"/>
          <w:color w:val="auto"/>
        </w:rPr>
      </w:pPr>
    </w:p>
    <w:p>
      <w:pPr>
        <w:ind w:left="420" w:right="9120" w:hanging="420"/>
        <w:spacing w:after="0" w:line="294" w:lineRule="auto"/>
        <w:tabs>
          <w:tab w:leader="none" w:pos="412" w:val="left"/>
        </w:tabs>
        <w:numPr>
          <w:ilvl w:val="0"/>
          <w:numId w:val="2"/>
        </w:numPr>
        <w:rPr>
          <w:rFonts w:ascii="Arial" w:cs="Arial" w:eastAsia="Arial" w:hAnsi="Arial"/>
          <w:sz w:val="15"/>
          <w:szCs w:val="15"/>
          <w:color w:val="auto"/>
        </w:rPr>
      </w:pPr>
      <w:r>
        <w:rPr>
          <w:rFonts w:ascii="Arial" w:cs="Arial" w:eastAsia="Arial" w:hAnsi="Arial"/>
          <w:sz w:val="15"/>
          <w:szCs w:val="15"/>
          <w:color w:val="auto"/>
        </w:rPr>
        <w:t>Tracie Mariner Sasha Parikh Dorrie Yale</w:t>
      </w:r>
    </w:p>
    <w:p>
      <w:pPr>
        <w:ind w:left="960"/>
        <w:spacing w:after="0"/>
        <w:rPr>
          <w:rFonts w:ascii="Arial" w:cs="Arial" w:eastAsia="Arial" w:hAnsi="Arial"/>
          <w:sz w:val="15"/>
          <w:szCs w:val="15"/>
          <w:color w:val="auto"/>
        </w:rPr>
      </w:pPr>
      <w:r>
        <w:rPr>
          <w:rFonts w:ascii="Arial" w:cs="Arial" w:eastAsia="Arial" w:hAnsi="Arial"/>
          <w:sz w:val="17"/>
          <w:szCs w:val="17"/>
          <w:color w:val="auto"/>
        </w:rPr>
        <w:t>Securities and Exchange Commission</w:t>
      </w:r>
    </w:p>
    <w:p>
      <w:pPr>
        <w:spacing w:after="0" w:line="102" w:lineRule="exact"/>
        <w:rPr>
          <w:rFonts w:ascii="Arial" w:cs="Arial" w:eastAsia="Arial" w:hAnsi="Arial"/>
          <w:sz w:val="15"/>
          <w:szCs w:val="15"/>
          <w:color w:val="auto"/>
        </w:rPr>
      </w:pPr>
    </w:p>
    <w:p>
      <w:pPr>
        <w:ind w:left="420" w:right="8660"/>
        <w:spacing w:after="0" w:line="297" w:lineRule="auto"/>
        <w:rPr>
          <w:rFonts w:ascii="Arial" w:cs="Arial" w:eastAsia="Arial" w:hAnsi="Arial"/>
          <w:sz w:val="15"/>
          <w:szCs w:val="15"/>
          <w:color w:val="auto"/>
        </w:rPr>
      </w:pPr>
      <w:r>
        <w:rPr>
          <w:rFonts w:ascii="Arial" w:cs="Arial" w:eastAsia="Arial" w:hAnsi="Arial"/>
          <w:sz w:val="15"/>
          <w:szCs w:val="15"/>
          <w:color w:val="auto"/>
        </w:rPr>
        <w:t>Michael B. Petras, Jr. Matthew J. Klaben</w:t>
      </w:r>
    </w:p>
    <w:p>
      <w:pPr>
        <w:ind w:left="960"/>
        <w:spacing w:after="0"/>
        <w:rPr>
          <w:rFonts w:ascii="Arial" w:cs="Arial" w:eastAsia="Arial" w:hAnsi="Arial"/>
          <w:sz w:val="15"/>
          <w:szCs w:val="15"/>
          <w:color w:val="auto"/>
        </w:rPr>
      </w:pPr>
      <w:r>
        <w:rPr>
          <w:rFonts w:ascii="Arial" w:cs="Arial" w:eastAsia="Arial" w:hAnsi="Arial"/>
          <w:sz w:val="17"/>
          <w:szCs w:val="17"/>
          <w:color w:val="auto"/>
        </w:rPr>
        <w:t>Sotera Health Topco, Inc.</w:t>
      </w:r>
    </w:p>
    <w:p>
      <w:pPr>
        <w:spacing w:after="0" w:line="102" w:lineRule="exact"/>
        <w:rPr>
          <w:rFonts w:ascii="Arial" w:cs="Arial" w:eastAsia="Arial" w:hAnsi="Arial"/>
          <w:sz w:val="15"/>
          <w:szCs w:val="15"/>
          <w:color w:val="auto"/>
        </w:rPr>
      </w:pPr>
    </w:p>
    <w:p>
      <w:pPr>
        <w:ind w:left="420" w:right="8760"/>
        <w:spacing w:after="0" w:line="278" w:lineRule="auto"/>
        <w:rPr>
          <w:rFonts w:ascii="Arial" w:cs="Arial" w:eastAsia="Arial" w:hAnsi="Arial"/>
          <w:sz w:val="15"/>
          <w:szCs w:val="15"/>
          <w:color w:val="auto"/>
        </w:rPr>
      </w:pPr>
      <w:r>
        <w:rPr>
          <w:rFonts w:ascii="Arial" w:cs="Arial" w:eastAsia="Arial" w:hAnsi="Arial"/>
          <w:sz w:val="16"/>
          <w:szCs w:val="16"/>
          <w:color w:val="auto"/>
        </w:rPr>
        <w:t>Arthur D. Robinson John C. Ericson</w:t>
      </w:r>
    </w:p>
    <w:p>
      <w:pPr>
        <w:ind w:left="960"/>
        <w:spacing w:after="0"/>
        <w:rPr>
          <w:rFonts w:ascii="Arial" w:cs="Arial" w:eastAsia="Arial" w:hAnsi="Arial"/>
          <w:sz w:val="15"/>
          <w:szCs w:val="15"/>
          <w:color w:val="auto"/>
        </w:rPr>
      </w:pPr>
      <w:r>
        <w:rPr>
          <w:rFonts w:ascii="Arial" w:cs="Arial" w:eastAsia="Arial" w:hAnsi="Arial"/>
          <w:sz w:val="17"/>
          <w:szCs w:val="17"/>
          <w:color w:val="auto"/>
        </w:rPr>
        <w:t>Simpson Thacher &amp; Bartlett LLP</w:t>
      </w:r>
    </w:p>
    <w:sectPr>
      <w:pgSz w:w="11900" w:h="16838" w:orient="portrait"/>
      <w:cols w:equalWidth="0" w:num="1">
        <w:col w:w="10560"/>
      </w:cols>
      <w:pgMar w:left="660" w:top="270" w:right="6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1:"/>
      <w:numFmt w:val="lowerLetter"/>
      <w:start w:val="29"/>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2020-12-21T23:07:19Z</dcterms:created>
  <dcterms:modified xsi:type="dcterms:W3CDTF">2020-12-21T23:07:19Z</dcterms:modified>
</cp:coreProperties>
</file>