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5695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5695315"/>
                    </a:xfrm>
                    <a:prstGeom prst="rect">
                      <a:avLst/>
                    </a:prstGeom>
                    <a:noFill/>
                  </pic:spPr>
                </pic:pic>
              </a:graphicData>
            </a:graphic>
          </wp:anchor>
        </w:drawing>
      </w:r>
    </w:p>
    <w:p>
      <w:pPr>
        <w:spacing w:after="0" w:line="1083" w:lineRule="exact"/>
        <w:rPr>
          <w:sz w:val="24"/>
          <w:szCs w:val="24"/>
          <w:color w:val="auto"/>
        </w:rPr>
      </w:pPr>
    </w:p>
    <w:p>
      <w:pPr>
        <w:sectPr>
          <w:pgSz w:w="11900" w:h="17007"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Rutz Michael P</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380"/>
        <w:spacing w:after="0" w:line="358"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03/02/2026</w:t>
      </w:r>
    </w:p>
    <w:p>
      <w:pPr>
        <w:spacing w:after="0" w:line="20" w:lineRule="exact"/>
        <w:rPr>
          <w:sz w:val="24"/>
          <w:szCs w:val="24"/>
          <w:color w:val="auto"/>
        </w:rPr>
      </w:pPr>
      <w:r>
        <w:rPr>
          <w:sz w:val="24"/>
          <w:szCs w:val="24"/>
          <w:color w:val="auto"/>
        </w:rPr>
        <w:br w:type="column"/>
      </w:r>
    </w:p>
    <w:p>
      <w:pPr>
        <w:ind w:left="5" w:right="720" w:hanging="5"/>
        <w:spacing w:after="0" w:line="270"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6"/>
          <w:szCs w:val="16"/>
          <w:color w:val="0000FF"/>
        </w:rPr>
        <w:t>President of Sterigenics</w:t>
      </w:r>
    </w:p>
    <w:p>
      <w:pPr>
        <w:spacing w:after="0" w:line="649" w:lineRule="exact"/>
        <w:rPr>
          <w:sz w:val="24"/>
          <w:szCs w:val="24"/>
          <w:color w:val="auto"/>
        </w:rPr>
      </w:pPr>
    </w:p>
    <w:p>
      <w:pPr>
        <w:sectPr>
          <w:pgSz w:w="11900" w:h="17007" w:orient="portrait"/>
          <w:cols w:equalWidth="0" w:num="3">
            <w:col w:w="3180" w:space="720"/>
            <w:col w:w="3115" w:space="720"/>
            <w:col w:w="3345"/>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vMerge w:val="restart"/>
          </w:tcPr>
          <w:p>
            <w:pPr>
              <w:spacing w:after="0"/>
              <w:rPr>
                <w:sz w:val="3"/>
                <w:szCs w:val="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7"/>
            <w:vMerge w:val="restart"/>
          </w:tcPr>
          <w:p>
            <w:pPr>
              <w:jc w:val="center"/>
              <w:ind w:right="375"/>
              <w:spacing w:after="0"/>
              <w:rPr>
                <w:sz w:val="20"/>
                <w:szCs w:val="20"/>
                <w:color w:val="auto"/>
              </w:rPr>
            </w:pPr>
            <w:r>
              <w:rPr>
                <w:rFonts w:ascii="Arial" w:cs="Arial" w:eastAsia="Arial" w:hAnsi="Arial"/>
                <w:sz w:val="12"/>
                <w:szCs w:val="12"/>
                <w:color w:val="auto"/>
              </w:rPr>
              <w:t>4. If Amendment, Date of Original Filed (Month/Day/Year)</w:t>
            </w:r>
          </w:p>
        </w:tc>
        <w:tc>
          <w:tcPr>
            <w:tcW w:w="3520" w:type="dxa"/>
            <w:vAlign w:val="bottom"/>
            <w:gridSpan w:val="9"/>
            <w:vMerge w:val="restart"/>
          </w:tcPr>
          <w:p>
            <w:pPr>
              <w:ind w:left="1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BROADVIEW</w:t>
            </w: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5"/>
              </w:rPr>
              <w:t>OH</w:t>
            </w:r>
          </w:p>
        </w:tc>
        <w:tc>
          <w:tcPr>
            <w:tcW w:w="96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44147</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HEIGHTS</w:t>
            </w:r>
          </w:p>
        </w:tc>
        <w:tc>
          <w:tcPr>
            <w:tcW w:w="5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760" w:type="dxa"/>
            <w:vAlign w:val="bottom"/>
          </w:tcPr>
          <w:p>
            <w:pPr>
              <w:ind w:left="2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jc w:val="center"/>
              <w:ind w:left="5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60" w:type="dxa"/>
            <w:vAlign w:val="bottom"/>
          </w:tcPr>
          <w:p>
            <w:pPr>
              <w:spacing w:after="0"/>
              <w:rPr>
                <w:sz w:val="14"/>
                <w:szCs w:val="14"/>
                <w:color w:val="auto"/>
              </w:rPr>
            </w:pP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80" w:type="dxa"/>
            <w:vAlign w:val="bottom"/>
            <w:tcBorders>
              <w:bottom w:val="single" w:sz="8" w:color="2C2C2C"/>
            </w:tcBorders>
            <w:gridSpan w:val="6"/>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$0.01 par value per share</w:t>
            </w: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3,729</w:t>
            </w:r>
            <w:r>
              <w:rPr>
                <w:rFonts w:ascii="Times New Roman" w:cs="Times New Roman" w:eastAsia="Times New Roman" w:hAnsi="Times New Roman"/>
                <w:sz w:val="20"/>
                <w:szCs w:val="20"/>
                <w:color w:val="008000"/>
                <w:w w:val="93"/>
                <w:vertAlign w:val="superscript"/>
              </w:rPr>
              <w:t>(1)</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15.91</w:t>
            </w:r>
          </w:p>
        </w:tc>
        <w:tc>
          <w:tcPr>
            <w:tcW w:w="60" w:type="dxa"/>
            <w:vAlign w:val="bottom"/>
          </w:tcPr>
          <w:p>
            <w:pPr>
              <w:spacing w:after="0"/>
              <w:rPr>
                <w:sz w:val="20"/>
                <w:szCs w:val="20"/>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446,475</w:t>
            </w:r>
          </w:p>
        </w:tc>
        <w:tc>
          <w:tcPr>
            <w:tcW w:w="300" w:type="dxa"/>
            <w:vAlign w:val="bottom"/>
          </w:tcPr>
          <w:p>
            <w:pPr>
              <w:spacing w:after="0"/>
              <w:rPr>
                <w:sz w:val="20"/>
                <w:szCs w:val="20"/>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("Common Stock")</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4,495</w:t>
            </w:r>
            <w:r>
              <w:rPr>
                <w:rFonts w:ascii="Times New Roman" w:cs="Times New Roman" w:eastAsia="Times New Roman" w:hAnsi="Times New Roman"/>
                <w:sz w:val="20"/>
                <w:szCs w:val="20"/>
                <w:color w:val="008000"/>
                <w:w w:val="93"/>
                <w:vertAlign w:val="superscript"/>
              </w:rPr>
              <w:t>(2)</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15.91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441,980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0"/>
              </w:rPr>
              <w:t>14,573</w:t>
            </w:r>
            <w:r>
              <w:rPr>
                <w:rFonts w:ascii="Times New Roman" w:cs="Times New Roman" w:eastAsia="Times New Roman" w:hAnsi="Times New Roman"/>
                <w:sz w:val="20"/>
                <w:szCs w:val="20"/>
                <w:color w:val="008000"/>
                <w:w w:val="90"/>
                <w:vertAlign w:val="superscript"/>
              </w:rPr>
              <w:t>(3)(6)</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456,553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17,497</w:t>
            </w:r>
            <w:r>
              <w:rPr>
                <w:rFonts w:ascii="Times New Roman" w:cs="Times New Roman" w:eastAsia="Times New Roman" w:hAnsi="Times New Roman"/>
                <w:sz w:val="20"/>
                <w:szCs w:val="20"/>
                <w:color w:val="008000"/>
                <w:w w:val="93"/>
                <w:vertAlign w:val="superscript"/>
              </w:rPr>
              <w:t>(4)</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15.91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439,056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45,223</w:t>
            </w:r>
            <w:r>
              <w:rPr>
                <w:rFonts w:ascii="Times New Roman" w:cs="Times New Roman" w:eastAsia="Times New Roman" w:hAnsi="Times New Roman"/>
                <w:sz w:val="20"/>
                <w:szCs w:val="20"/>
                <w:color w:val="008000"/>
                <w:w w:val="93"/>
                <w:vertAlign w:val="superscript"/>
              </w:rPr>
              <w:t>(5)</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484,279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gridSpan w:val="12"/>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260" w:type="dxa"/>
            <w:vAlign w:val="bottom"/>
          </w:tcPr>
          <w:p>
            <w:pPr>
              <w:spacing w:after="0"/>
              <w:rPr>
                <w:sz w:val="20"/>
                <w:szCs w:val="20"/>
                <w:color w:val="auto"/>
              </w:rPr>
            </w:pP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0000FF"/>
              </w:rPr>
              <w:t>03/02/2026</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center"/>
              <w:ind w:right="398"/>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14,573</w:t>
            </w:r>
          </w:p>
        </w:tc>
        <w:tc>
          <w:tcPr>
            <w:tcW w:w="76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14,573</w:t>
            </w:r>
          </w:p>
        </w:tc>
        <w:tc>
          <w:tcPr>
            <w:tcW w:w="6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tcPr>
          <w:p>
            <w:pPr>
              <w:jc w:val="right"/>
              <w:ind w:right="244"/>
              <w:spacing w:after="0"/>
              <w:rPr>
                <w:sz w:val="20"/>
                <w:szCs w:val="20"/>
                <w:color w:val="auto"/>
              </w:rPr>
            </w:pPr>
            <w:r>
              <w:rPr>
                <w:rFonts w:ascii="Times New Roman" w:cs="Times New Roman" w:eastAsia="Times New Roman" w:hAnsi="Times New Roman"/>
                <w:sz w:val="12"/>
                <w:szCs w:val="12"/>
                <w:color w:val="0000FF"/>
              </w:rPr>
              <w:t>9,716</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Borders>
              <w:bottom w:val="single" w:sz="8" w:color="2C2C2C"/>
            </w:tcBorders>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RSUs</w:t>
            </w:r>
          </w:p>
        </w:tc>
        <w:tc>
          <w:tcPr>
            <w:tcW w:w="5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4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260" w:type="dxa"/>
            <w:vAlign w:val="bottom"/>
          </w:tcPr>
          <w:p>
            <w:pPr>
              <w:spacing w:after="0"/>
              <w:rPr>
                <w:sz w:val="20"/>
                <w:szCs w:val="20"/>
                <w:color w:val="auto"/>
              </w:rPr>
            </w:pP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0000FF"/>
              </w:rPr>
              <w:t>03/02/2026</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center"/>
              <w:ind w:right="398"/>
              <w:spacing w:after="0"/>
              <w:rPr>
                <w:sz w:val="20"/>
                <w:szCs w:val="20"/>
                <w:color w:val="auto"/>
              </w:rPr>
            </w:pPr>
            <w:r>
              <w:rPr>
                <w:rFonts w:ascii="Times New Roman" w:cs="Times New Roman" w:eastAsia="Times New Roman" w:hAnsi="Times New Roman"/>
                <w:sz w:val="12"/>
                <w:szCs w:val="12"/>
                <w:color w:val="0000FF"/>
                <w:w w:val="91"/>
              </w:rPr>
              <w:t>A</w:t>
            </w:r>
          </w:p>
        </w:tc>
        <w:tc>
          <w:tcPr>
            <w:tcW w:w="70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22,612</w:t>
            </w:r>
            <w:r>
              <w:rPr>
                <w:rFonts w:ascii="Times New Roman" w:cs="Times New Roman" w:eastAsia="Times New Roman" w:hAnsi="Times New Roman"/>
                <w:sz w:val="20"/>
                <w:szCs w:val="20"/>
                <w:color w:val="008000"/>
                <w:vertAlign w:val="superscript"/>
              </w:rPr>
              <w:t>(7)</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22,612</w:t>
            </w:r>
          </w:p>
        </w:tc>
        <w:tc>
          <w:tcPr>
            <w:tcW w:w="6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204"/>
              <w:spacing w:after="0"/>
              <w:rPr>
                <w:sz w:val="20"/>
                <w:szCs w:val="20"/>
                <w:color w:val="auto"/>
              </w:rPr>
            </w:pPr>
            <w:r>
              <w:rPr>
                <w:rFonts w:ascii="Times New Roman" w:cs="Times New Roman" w:eastAsia="Times New Roman" w:hAnsi="Times New Roman"/>
                <w:sz w:val="12"/>
                <w:szCs w:val="12"/>
                <w:color w:val="0000FF"/>
              </w:rPr>
              <w:t>22,612</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RSUs</w:t>
            </w:r>
          </w:p>
        </w:tc>
        <w:tc>
          <w:tcPr>
            <w:tcW w:w="5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4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-1867535</wp:posOffset>
            </wp:positionV>
            <wp:extent cx="28575" cy="1873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7325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28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9,475 Restricted Stock Units ("RSUs") granted to the Reporting Person on March 6, 2023.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13" w:lineRule="exact"/>
        <w:rPr>
          <w:rFonts w:ascii="Times New Roman" w:cs="Times New Roman" w:eastAsia="Times New Roman" w:hAnsi="Times New Roman"/>
          <w:sz w:val="12"/>
          <w:szCs w:val="12"/>
          <w:color w:val="008000"/>
        </w:rPr>
      </w:pPr>
    </w:p>
    <w:p>
      <w:pPr>
        <w:jc w:val="both"/>
        <w:ind w:left="40" w:right="30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11,423 RSUs granted to the Reporting Person on March 4, 2024. This award was granted pursuant to the terms of an RSU agreement under the 2020 Incentive Plan. Each RSU represents the Reporting Person's right to receive one share of Common Stock, subject to vesting conditions.</w:t>
      </w:r>
    </w:p>
    <w:p>
      <w:pPr>
        <w:spacing w:after="0" w:line="13" w:lineRule="exact"/>
        <w:rPr>
          <w:rFonts w:ascii="Times New Roman" w:cs="Times New Roman" w:eastAsia="Times New Roman" w:hAnsi="Times New Roman"/>
          <w:sz w:val="12"/>
          <w:szCs w:val="12"/>
          <w:color w:val="008000"/>
        </w:rPr>
      </w:pPr>
    </w:p>
    <w:p>
      <w:pPr>
        <w:ind w:left="40" w:right="20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 portion of the Reporting Person's March 3, 2025 additional performance-based RSUs vested on March 2, 2026 based upon the achievement of performance conditions. As a result, the Reporting Person received an additional 14,573 shares of Common Stock.</w:t>
      </w:r>
    </w:p>
    <w:p>
      <w:pPr>
        <w:jc w:val="both"/>
        <w:ind w:left="40" w:right="30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43,720 RSUs granted to the Reporting Person on March 3, 2025. This award was granted pursuant to the terms of an RSU agreement under the 2020 Incentive Plan. Each RSU represents the Reporting Person's right to recieve one share of Common Stock, subject to vesting conditions or performance, as applicable.</w:t>
      </w:r>
    </w:p>
    <w:p>
      <w:pPr>
        <w:spacing w:after="0" w:line="13" w:lineRule="exact"/>
        <w:rPr>
          <w:rFonts w:ascii="Times New Roman" w:cs="Times New Roman" w:eastAsia="Times New Roman" w:hAnsi="Times New Roman"/>
          <w:sz w:val="12"/>
          <w:szCs w:val="12"/>
          <w:color w:val="008000"/>
        </w:rPr>
      </w:pPr>
    </w:p>
    <w:p>
      <w:pPr>
        <w:ind w:left="40" w:right="1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RSUs that were granted on March 2, 2026, pursuant to the terms of an RSU agreement under the 2020 Incentive Plan. Each RSU represents the Reporting Person's right to receive one share of Common Stock, subject to vesting conditions. The RSUs generally vest annually in 60%, 20%, and 20% installments, respectively, commencing March 2027.</w:t>
      </w:r>
    </w:p>
    <w:p>
      <w:pPr>
        <w:ind w:left="40" w:right="18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additional performance-based RSUs that were granted on March 3, 2025, pursuant to the terms of an RSU Agreement under the 2020 Incentive Plan. Each additional RSU represented the Reporting Person's right to receive one share of Common Stock subject to stock price-related performance conditions. Regarding the additional RSUs, the Reporting Person vested in 14,573 shares of Common Stock on March 2, 2026. The remaining additional RSUs under the award vest annually in equal installments in March 2027 and March 2028, subject to performance.</w:t>
      </w:r>
    </w:p>
    <w:p>
      <w:pPr>
        <w:spacing w:after="0" w:line="13" w:lineRule="exact"/>
        <w:rPr>
          <w:rFonts w:ascii="Times New Roman" w:cs="Times New Roman" w:eastAsia="Times New Roman" w:hAnsi="Times New Roman"/>
          <w:sz w:val="12"/>
          <w:szCs w:val="12"/>
          <w:color w:val="008000"/>
        </w:rPr>
      </w:pPr>
    </w:p>
    <w:p>
      <w:pPr>
        <w:ind w:left="40" w:right="20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the maximum number of additional performance-based RSUs that were granted on March 2, 2026, pursuant to the terms of an RSU agreement under the 2020 Incentive Plan. Each additional RSU represents the Reporting Person's right to receive one share of Common Stock, subject to stock price-related conditions. The additional RSUs generally vest annually in 60%, 20% and 20% installments, respectfully, commencing March 2027, subject to performance.</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The Power of Attorney for Mr. Rutz is filed as an exhibit to the Form 3 filed on November 20, 2020, which is hereby incorporated by reference.</w:t>
      </w:r>
    </w:p>
    <w:p>
      <w:pPr>
        <w:ind w:left="6600"/>
        <w:spacing w:after="0" w:line="189" w:lineRule="auto"/>
        <w:rPr>
          <w:sz w:val="20"/>
          <w:szCs w:val="20"/>
          <w:color w:val="auto"/>
        </w:rPr>
      </w:pPr>
      <w:r>
        <w:rPr>
          <w:rFonts w:ascii="Times New Roman" w:cs="Times New Roman" w:eastAsia="Times New Roman" w:hAnsi="Times New Roman"/>
          <w:sz w:val="16"/>
          <w:szCs w:val="16"/>
          <w:color w:val="0000FF"/>
        </w:rPr>
        <w:t xml:space="preserve">Matthew J. Klaben, Attorney-in- </w:t>
      </w:r>
      <w:r>
        <w:rPr>
          <w:rFonts w:ascii="Times New Roman" w:cs="Times New Roman" w:eastAsia="Times New Roman" w:hAnsi="Times New Roman"/>
          <w:sz w:val="32"/>
          <w:szCs w:val="32"/>
          <w:color w:val="0000FF"/>
          <w:vertAlign w:val="subscript"/>
        </w:rPr>
        <w:t>03/04/2026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-26035</wp:posOffset>
            </wp:positionV>
            <wp:extent cx="13430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1765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6530"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73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70"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07" w:orient="portrait"/>
          <w:cols w:equalWidth="0" w:num="1">
            <w:col w:w="11080"/>
          </w:cols>
          <w:pgMar w:left="460" w:top="214"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922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2026-03-04T19:52:59Z</dcterms:created>
  <dcterms:modified xsi:type="dcterms:W3CDTF">2026-03-04T19:52:59Z</dcterms:modified>
</cp:coreProperties>
</file>