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8575d424b7.htm"/>
        <w:bookmarkStart w:id="1" w:name="ksd798575d424b7"/>
        <w:bookmarkEnd w:id="0"/>
        <w:bookmarkEnd w:id="1"/>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Filed Pursuant to 424(b)(7)</w:t>
        <w:br/>
        <w:t>Registration No. 333-277418</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200" w:after="0"/>
        <w:jc w:val="center"/>
        <w:rPr>
          <w:rFonts w:ascii="Times New Roman" w:hAnsi="Times New Roman"/>
          <w:b/>
          <w:sz w:val="36"/>
        </w:rPr>
      </w:pPr>
      <w:r>
        <w:rPr>
          <w:rFonts w:ascii="Times New Roman" w:hAnsi="Times New Roman"/>
          <w:b/>
          <w:sz w:val="36"/>
        </w:rPr>
        <w:t xml:space="preserve">25,000,000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335" cy="469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335" cy="46990"/>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25,000,000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00" w:after="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February 27, 2024, the last reported sale price of our common stock on Nasdaq was $17.34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pPr>
      <w:r>
        <w:rPr>
          <w:rFonts w:ascii="Times New Roman" w:hAnsi="Times New Roman"/>
          <w:b/>
          <w:sz w:val="24"/>
        </w:rPr>
        <w:t>Investing in our common stock involves a high degree of risk. See </w:t>
      </w:r>
      <w:hyperlink w:anchor="suptx798575_5">
        <w:r>
          <w:rPr>
            <w:rStyle w:val="InternetLink"/>
            <w:rFonts w:ascii="Times New Roman" w:hAnsi="Times New Roman"/>
            <w:b/>
            <w:sz w:val="24"/>
          </w:rPr>
          <w:t>Risk Factors</w:t>
        </w:r>
      </w:hyperlink>
      <w:r>
        <w:rPr>
          <w:rFonts w:ascii="Times New Roman" w:hAnsi="Times New Roman"/>
          <w:b/>
          <w:sz w:val="24"/>
        </w:rPr>
        <w:t xml:space="preserve"> beginning on page S-10 of this prospectus supplement and in the documents incorporated by reference into this prospectus supplement to read about factors you should consider before deciding to invest in our common stock.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3"/>
        <w:gridCol w:w="240"/>
        <w:gridCol w:w="141"/>
        <w:gridCol w:w="825"/>
        <w:gridCol w:w="60"/>
        <w:gridCol w:w="240"/>
        <w:gridCol w:w="141"/>
        <w:gridCol w:w="1251"/>
        <w:gridCol w:w="64"/>
      </w:tblGrid>
      <w:tr>
        <w:trPr/>
        <w:tc>
          <w:tcPr>
            <w:tcW w:w="4793"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9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4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14.7500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368,750,000</w:t>
            </w:r>
          </w:p>
        </w:tc>
        <w:tc>
          <w:tcPr>
            <w:tcW w:w="64"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discounts(1)</w:t>
            </w:r>
          </w:p>
        </w:tc>
        <w:tc>
          <w:tcPr>
            <w:tcW w:w="24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0.4425</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11,062,500</w:t>
            </w:r>
          </w:p>
        </w:tc>
        <w:tc>
          <w:tcPr>
            <w:tcW w:w="64"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24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14.3075</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357,687,500</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 description of compensation to be paid to the underwriters.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selling stockholders have granted the underwriters an option to purchase up to 3,750,000 additional shares of common stock at the public offering price less the underwriting discount for a period of 30 days after the date of this prospectus supplement. We will not receive any proceeds from the sale of our common stock pursuant to any exercise of the underwriters option to purchase additional shares. </w:t>
      </w:r>
    </w:p>
    <w:p>
      <w:pPr>
        <w:pStyle w:val="TextBody"/>
        <w:bidi w:val="0"/>
        <w:spacing w:before="200" w:after="0"/>
        <w:jc w:val="left"/>
        <w:rPr>
          <w:rFonts w:ascii="Times New Roman" w:hAnsi="Times New Roman"/>
          <w:sz w:val="20"/>
        </w:rPr>
      </w:pPr>
      <w:r>
        <w:rPr>
          <w:rFonts w:ascii="Times New Roman" w:hAnsi="Times New Roman"/>
          <w:sz w:val="20"/>
        </w:rPr>
        <w:t xml:space="preserve">Delivery of the shares of common stock is expected to be made on or about March 4,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8"/>
        <w:gridCol w:w="101"/>
        <w:gridCol w:w="1016"/>
        <w:gridCol w:w="101"/>
        <w:gridCol w:w="2865"/>
        <w:gridCol w:w="101"/>
        <w:gridCol w:w="1219"/>
        <w:gridCol w:w="101"/>
        <w:gridCol w:w="1022"/>
        <w:gridCol w:w="101"/>
        <w:gridCol w:w="1219"/>
        <w:gridCol w:w="101"/>
        <w:gridCol w:w="930"/>
      </w:tblGrid>
      <w:tr>
        <w:trPr/>
        <w:tc>
          <w:tcPr>
            <w:tcW w:w="13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328"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101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865"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121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022" w:type="dxa"/>
            <w:tcBorders/>
          </w:tcPr>
          <w:p>
            <w:pPr>
              <w:pStyle w:val="TableContents"/>
              <w:bidi w:val="0"/>
              <w:spacing w:before="0" w:after="283"/>
              <w:jc w:val="center"/>
              <w:rPr>
                <w:b/>
              </w:rPr>
            </w:pPr>
            <w:r>
              <w:rPr>
                <w:b/>
              </w:rPr>
              <w:t>Citigroup</w:t>
            </w:r>
          </w:p>
        </w:tc>
        <w:tc>
          <w:tcPr>
            <w:tcW w:w="101" w:type="dxa"/>
            <w:tcBorders/>
            <w:vAlign w:val="bottom"/>
          </w:tcPr>
          <w:p>
            <w:pPr>
              <w:pStyle w:val="TableContents"/>
              <w:bidi w:val="0"/>
              <w:spacing w:before="0" w:after="283"/>
              <w:jc w:val="left"/>
              <w:rPr/>
            </w:pPr>
            <w:r>
              <w:rPr/>
              <w:t> </w:t>
            </w:r>
          </w:p>
        </w:tc>
        <w:tc>
          <w:tcPr>
            <w:tcW w:w="121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30" w:type="dxa"/>
            <w:tcBorders/>
          </w:tcPr>
          <w:p>
            <w:pPr>
              <w:pStyle w:val="TableContents"/>
              <w:bidi w:val="0"/>
              <w:spacing w:before="0" w:after="283"/>
              <w:jc w:val="right"/>
              <w:rPr>
                <w:b/>
              </w:rPr>
            </w:pPr>
            <w:r>
              <w:rPr>
                <w:b/>
              </w:rPr>
              <w:t>Jefferies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Barclays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RBC Capital Markets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Santander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sz w:val="19"/>
              </w:rPr>
            </w:pPr>
            <w:r>
              <w:rPr>
                <w:b/>
                <w:sz w:val="19"/>
              </w:rPr>
              <w:t>BNP PARIBAS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sz w:val="19"/>
              </w:rPr>
            </w:pPr>
            <w:r>
              <w:rPr>
                <w:b/>
                <w:sz w:val="19"/>
              </w:rPr>
              <w:t>KeyBanc Capital Markets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0"/>
              <w:jc w:val="right"/>
              <w:rPr>
                <w:rFonts w:ascii="Times New Roman" w:hAnsi="Times New Roman"/>
                <w:b/>
                <w:sz w:val="19"/>
              </w:rPr>
            </w:pPr>
            <w:r>
              <w:rPr>
                <w:rFonts w:ascii="Times New Roman" w:hAnsi="Times New Roman"/>
                <w:b/>
                <w:sz w:val="19"/>
              </w:rPr>
              <w:t>Citizens JMP</w:t>
            </w:r>
          </w:p>
        </w:tc>
      </w:tr>
    </w:tbl>
    <w:p>
      <w:pPr>
        <w:pStyle w:val="TextBody"/>
        <w:bidi w:val="0"/>
        <w:spacing w:before="0" w:after="0"/>
        <w:jc w:val="left"/>
        <w:rPr/>
      </w:pPr>
      <w:r>
        <w:rPr/>
        <w:t> </w:t>
      </w:r>
    </w:p>
    <w:tbl>
      <w:tblPr>
        <w:tblW w:w="12190" w:type="dxa"/>
        <w:jc w:val="left"/>
        <w:tblInd w:w="0" w:type="dxa"/>
        <w:tblLayout w:type="fixed"/>
        <w:tblCellMar>
          <w:top w:w="0" w:type="dxa"/>
          <w:left w:w="0" w:type="dxa"/>
          <w:bottom w:w="0" w:type="dxa"/>
          <w:right w:w="0" w:type="dxa"/>
        </w:tblCellMar>
      </w:tblPr>
      <w:tblGrid>
        <w:gridCol w:w="2015"/>
        <w:gridCol w:w="60"/>
        <w:gridCol w:w="2285"/>
        <w:gridCol w:w="60"/>
        <w:gridCol w:w="2540"/>
        <w:gridCol w:w="60"/>
        <w:gridCol w:w="2405"/>
        <w:gridCol w:w="60"/>
        <w:gridCol w:w="270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r>
      <w:tr>
        <w:trPr/>
        <w:tc>
          <w:tcPr>
            <w:tcW w:w="2015" w:type="dxa"/>
            <w:tcBorders/>
          </w:tcPr>
          <w:p>
            <w:pPr>
              <w:pStyle w:val="TableContents"/>
              <w:bidi w:val="0"/>
              <w:spacing w:before="0" w:after="283"/>
              <w:jc w:val="left"/>
              <w:rPr>
                <w:b/>
              </w:rPr>
            </w:pPr>
            <w:r>
              <w:rPr>
                <w:b/>
              </w:rPr>
              <w:t>Academy Securities</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Loop Capital Markets</w:t>
            </w:r>
          </w:p>
        </w:tc>
        <w:tc>
          <w:tcPr>
            <w:tcW w:w="60" w:type="dxa"/>
            <w:tcBorders/>
            <w:vAlign w:val="bottom"/>
          </w:tcPr>
          <w:p>
            <w:pPr>
              <w:pStyle w:val="TableContents"/>
              <w:bidi w:val="0"/>
              <w:spacing w:before="0" w:after="283"/>
              <w:jc w:val="left"/>
              <w:rPr/>
            </w:pPr>
            <w:r>
              <w:rPr/>
              <w:t> </w:t>
            </w:r>
          </w:p>
        </w:tc>
        <w:tc>
          <w:tcPr>
            <w:tcW w:w="2540" w:type="dxa"/>
            <w:tcBorders/>
          </w:tcPr>
          <w:p>
            <w:pPr>
              <w:pStyle w:val="TableContents"/>
              <w:bidi w:val="0"/>
              <w:spacing w:before="0" w:after="283"/>
              <w:jc w:val="right"/>
              <w:rPr>
                <w:b/>
              </w:rPr>
            </w:pPr>
            <w:r>
              <w:rPr>
                <w:b/>
              </w:rPr>
              <w:t>Penserra Securities LLC</w:t>
            </w:r>
          </w:p>
        </w:tc>
        <w:tc>
          <w:tcPr>
            <w:tcW w:w="6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left"/>
              <w:rPr>
                <w:b/>
              </w:rPr>
            </w:pPr>
            <w:r>
              <w:rPr>
                <w:b/>
              </w:rPr>
              <w:t>Siebert Williams Shank</w:t>
            </w:r>
          </w:p>
        </w:tc>
        <w:tc>
          <w:tcPr>
            <w:tcW w:w="60" w:type="dxa"/>
            <w:tcBorders/>
            <w:vAlign w:val="bottom"/>
          </w:tcPr>
          <w:p>
            <w:pPr>
              <w:pStyle w:val="TableContents"/>
              <w:bidi w:val="0"/>
              <w:spacing w:before="0" w:after="283"/>
              <w:jc w:val="left"/>
              <w:rPr/>
            </w:pPr>
            <w:r>
              <w:rPr/>
              <w:t> </w:t>
            </w:r>
          </w:p>
        </w:tc>
        <w:tc>
          <w:tcPr>
            <w:tcW w:w="2705" w:type="dxa"/>
            <w:tcBorders/>
          </w:tcPr>
          <w:p>
            <w:pPr>
              <w:pStyle w:val="TableContents"/>
              <w:bidi w:val="0"/>
              <w:spacing w:before="0" w:after="283"/>
              <w:jc w:val="right"/>
              <w:rPr>
                <w:b/>
              </w:rPr>
            </w:pPr>
            <w:r>
              <w:rPr>
                <w:b/>
              </w:rPr>
              <w:t>Tigress Financial Partners</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The date of this prospectus supplement is February 28,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1"/>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4a">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6">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7">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8">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9">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4">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7985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both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tx79857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suptx798575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x798575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S-9 of this prospectus supplement and Risk Factors in Part I, Item 1A of our Annual Report on Form 10-K for the year ended December 31, 2023 (the Annual Report).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 the process of amending and extending our existing first lien revolving credit facility, and we expect to complete that process in the first quarter of 2024. We expect that the new maturity date will be the earliest of (a) the date that is five years from the closing date of the transaction, and (b) the date that is 91 days prior to the maturity date of the Companys existing term loans. Material provisions of the agreement and the size of the facility are expected to otherwise remain substantially unchanged. However, there can be no assurance that the transaction will be completed on these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tx798575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25,000,000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7" w:type="dxa"/>
            <w:tcBorders/>
          </w:tcPr>
          <w:p>
            <w:pPr>
              <w:pStyle w:val="TableContents"/>
              <w:bidi w:val="0"/>
              <w:spacing w:before="0" w:after="283"/>
              <w:jc w:val="left"/>
              <w:rPr/>
            </w:pPr>
            <w:r>
              <w:rPr/>
              <w:t xml:space="preserve">The selling stockholders may sell up to 3,750,000 additional shares if the underwriters exercise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6328"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6" w:type="dxa"/>
            <w:tcBorders/>
          </w:tcPr>
          <w:p>
            <w:pPr>
              <w:pStyle w:val="TableContents"/>
              <w:bidi w:val="0"/>
              <w:spacing w:before="0" w:after="283"/>
              <w:jc w:val="left"/>
              <w:rPr/>
            </w:pPr>
            <w:r>
              <w:rPr/>
              <w:t xml:space="preserve">282,832,200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or if the underwriters exercise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31" w:type="dxa"/>
            <w:tcBorders/>
          </w:tcPr>
          <w:p>
            <w:pPr>
              <w:pStyle w:val="TableContents"/>
              <w:bidi w:val="0"/>
              <w:spacing w:before="0" w:after="283"/>
              <w:jc w:val="left"/>
              <w:rPr/>
            </w:pP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282,832,200 shares of common stock outstanding as of February 20, 2024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6,972,661 shares of common stock issuable upon the exercise of outstanding options as of December 31, 2023, with a weighted average exercise price of $15.17 per share (provided that 21,132 shares of common stock are no longer issuable upon the exercise of outstanding options due to forfeitures subsequent to December 31, 2023, such forfeited options having a weighted-average exercise price of $19.36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2,166,759 shares issuable pursuant to restricted stock units (RSUs) outstanding as of December 31, 2023 (provided that 18,525 of such shares of common stock are no longer issuable due to forfeitures of RSUs subsequent to December 31, 2023, and 3,569 of such shares of common stock are no longer issuable due to the vesting and settlement of RSUs subsequent to December 31, 2023 (and any shares of common stock that are outstanding following the satisfaction of tax withholding obligations in respect of such vested RSUs are included in the number of shares of common stock outstanding as of February 20, 2024 set forth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bookmarkStart w:id="7" w:name="supcov798575_1"/>
            <w:bookmarkEnd w:id="7"/>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17,690,509 shares of common stock reserved for future issuance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tx798575_4a"/>
      <w:bookmarkEnd w:id="8"/>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2023, 2022 and 2021 and the summary historical balance sheet data as of December 31, 2023, December 31, 2022 and December 31, 2021 have been derived from our audited consolidated financial statements incorporated by reference from our Annual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Our historical results are not necessarily indicative of our results in any future period.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718"/>
        <w:gridCol w:w="290"/>
        <w:gridCol w:w="140"/>
        <w:gridCol w:w="999"/>
        <w:gridCol w:w="155"/>
        <w:gridCol w:w="250"/>
        <w:gridCol w:w="140"/>
        <w:gridCol w:w="999"/>
        <w:gridCol w:w="155"/>
        <w:gridCol w:w="250"/>
        <w:gridCol w:w="140"/>
        <w:gridCol w:w="809"/>
        <w:gridCol w:w="160"/>
      </w:tblGrid>
      <w:tr>
        <w:trPr/>
        <w:tc>
          <w:tcPr>
            <w:tcW w:w="5718"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3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i/>
              </w:rPr>
            </w:pPr>
            <w:r>
              <w:rPr>
                <w:i/>
              </w:rPr>
              <w:t>(in thousands, except per share amounts)</w:t>
            </w:r>
          </w:p>
        </w:tc>
        <w:tc>
          <w:tcPr>
            <w:tcW w:w="290"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905,598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864,828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805,501</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143,690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138,859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125,977</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1,049,288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1,003,687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931,478</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418,611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390,860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357,205</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53,519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55,823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55,601</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472,130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446,683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412,806</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577,158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557,004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518,672</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236,667</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245,714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198,158</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63,799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62,940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63,781</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300,466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308,654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261,939</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276,692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248,350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256,733</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142,878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80,144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74,192</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408,000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9,613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20,681</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1,345</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(7,372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(6,441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(15,201</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106,027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(243,111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175,716</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54,651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(9,541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58,595</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51,376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(233,570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117,121</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239</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the company</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51,376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(233,570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116,882</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(10,506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20,790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26,562</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(15,697</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20,939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404</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40,174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(64,816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(16,395</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079"/>
        <w:gridCol w:w="218"/>
        <w:gridCol w:w="140"/>
        <w:gridCol w:w="875"/>
        <w:gridCol w:w="163"/>
        <w:gridCol w:w="184"/>
        <w:gridCol w:w="140"/>
        <w:gridCol w:w="875"/>
        <w:gridCol w:w="163"/>
        <w:gridCol w:w="184"/>
        <w:gridCol w:w="140"/>
        <w:gridCol w:w="875"/>
        <w:gridCol w:w="169"/>
      </w:tblGrid>
      <w:tr>
        <w:trPr/>
        <w:tc>
          <w:tcPr>
            <w:tcW w:w="607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07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7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9"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i/>
              </w:rPr>
            </w:pPr>
            <w:r>
              <w:rPr>
                <w:i/>
              </w:rPr>
              <w:t>(in thousands, except per share amounts)</w:t>
            </w:r>
          </w:p>
        </w:tc>
        <w:tc>
          <w:tcPr>
            <w:tcW w:w="21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9"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65,347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(256,657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127,692</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Less: comprehensive income attributable to noncontrolling interests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534</w:t>
            </w:r>
          </w:p>
        </w:tc>
        <w:tc>
          <w:tcPr>
            <w:tcW w:w="169"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 attributable to the company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65,347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(256,657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127,158</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0.18</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(0.83</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0.41</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cash flow data: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(147,732</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277,961</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281,545</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(214,906</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(181,896</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(159,833</w:t>
            </w:r>
          </w:p>
        </w:tc>
        <w:tc>
          <w:tcPr>
            <w:tcW w:w="169"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265,959</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197,761</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(117,286</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230,116</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270,219</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245,782</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528,029</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506,249</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481,229</w:t>
            </w:r>
          </w:p>
        </w:tc>
        <w:tc>
          <w:tcPr>
            <w:tcW w:w="169"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see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495"/>
        <w:gridCol w:w="365"/>
        <w:gridCol w:w="140"/>
        <w:gridCol w:w="985"/>
        <w:gridCol w:w="60"/>
        <w:gridCol w:w="365"/>
        <w:gridCol w:w="140"/>
        <w:gridCol w:w="985"/>
        <w:gridCol w:w="155"/>
        <w:gridCol w:w="326"/>
        <w:gridCol w:w="140"/>
        <w:gridCol w:w="985"/>
        <w:gridCol w:w="64"/>
      </w:tblGrid>
      <w:tr>
        <w:trPr/>
        <w:tc>
          <w:tcPr>
            <w:tcW w:w="5495"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428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r>
          </w:p>
        </w:tc>
        <w:tc>
          <w:tcPr>
            <w:tcW w:w="64"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5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 (as of period end):</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95"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296,407</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395,214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106,917</w:t>
            </w:r>
          </w:p>
        </w:tc>
        <w:tc>
          <w:tcPr>
            <w:tcW w:w="64" w:type="dxa"/>
            <w:tcBorders/>
            <w:shd w:fill="CCEEFF" w:val="clear"/>
            <w:vAlign w:val="bottom"/>
          </w:tcPr>
          <w:p>
            <w:pPr>
              <w:pStyle w:val="TableContents"/>
              <w:bidi w:val="0"/>
              <w:spacing w:before="0" w:after="283"/>
              <w:jc w:val="left"/>
              <w:rPr/>
            </w:pPr>
            <w:r>
              <w:rPr/>
              <w:t> </w:t>
            </w:r>
          </w:p>
        </w:tc>
      </w:tr>
      <w:tr>
        <w:trPr/>
        <w:tc>
          <w:tcPr>
            <w:tcW w:w="5495"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326,590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(146,557</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184,800</w:t>
            </w:r>
          </w:p>
        </w:tc>
        <w:tc>
          <w:tcPr>
            <w:tcW w:w="64" w:type="dxa"/>
            <w:tcBorders/>
            <w:vAlign w:val="bottom"/>
          </w:tcPr>
          <w:p>
            <w:pPr>
              <w:pStyle w:val="TableContents"/>
              <w:bidi w:val="0"/>
              <w:spacing w:before="0" w:after="283"/>
              <w:jc w:val="left"/>
              <w:rPr/>
            </w:pPr>
            <w:r>
              <w:rPr/>
              <w:t> </w:t>
            </w:r>
          </w:p>
        </w:tc>
      </w:tr>
      <w:tr>
        <w:trPr/>
        <w:tc>
          <w:tcPr>
            <w:tcW w:w="5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3,130,420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3,117,705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2,789,502</w:t>
            </w:r>
          </w:p>
        </w:tc>
        <w:tc>
          <w:tcPr>
            <w:tcW w:w="64" w:type="dxa"/>
            <w:tcBorders/>
            <w:shd w:fill="CCEEFF" w:val="clear"/>
            <w:vAlign w:val="bottom"/>
          </w:tcPr>
          <w:p>
            <w:pPr>
              <w:pStyle w:val="TableContents"/>
              <w:bidi w:val="0"/>
              <w:spacing w:before="0" w:after="283"/>
              <w:jc w:val="left"/>
              <w:rPr/>
            </w:pPr>
            <w:r>
              <w:rPr/>
              <w:t> </w:t>
            </w:r>
          </w:p>
        </w:tc>
      </w:tr>
      <w:tr>
        <w:trPr/>
        <w:tc>
          <w:tcPr>
            <w:tcW w:w="5495"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 less unamortized debt issuance costs and debt discounts)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2,228,471</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1,944,234</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1,743,534</w:t>
            </w:r>
          </w:p>
        </w:tc>
        <w:tc>
          <w:tcPr>
            <w:tcW w:w="64" w:type="dxa"/>
            <w:tcBorders/>
            <w:vAlign w:val="bottom"/>
          </w:tcPr>
          <w:p>
            <w:pPr>
              <w:pStyle w:val="TableContents"/>
              <w:bidi w:val="0"/>
              <w:spacing w:before="0" w:after="283"/>
              <w:jc w:val="left"/>
              <w:rPr/>
            </w:pPr>
            <w:r>
              <w:rPr/>
              <w:t> </w:t>
            </w:r>
          </w:p>
        </w:tc>
      </w:tr>
      <w:tr>
        <w:trPr/>
        <w:tc>
          <w:tcPr>
            <w:tcW w:w="5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2,686,686</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2,767,467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2,203,406</w:t>
            </w:r>
          </w:p>
        </w:tc>
        <w:tc>
          <w:tcPr>
            <w:tcW w:w="64" w:type="dxa"/>
            <w:tcBorders/>
            <w:shd w:fill="CCEEFF" w:val="clear"/>
            <w:vAlign w:val="bottom"/>
          </w:tcPr>
          <w:p>
            <w:pPr>
              <w:pStyle w:val="TableContents"/>
              <w:bidi w:val="0"/>
              <w:spacing w:before="0" w:after="283"/>
              <w:jc w:val="left"/>
              <w:rPr/>
            </w:pPr>
            <w:r>
              <w:rPr/>
              <w:t> </w:t>
            </w:r>
          </w:p>
        </w:tc>
      </w:tr>
      <w:tr>
        <w:trPr/>
        <w:tc>
          <w:tcPr>
            <w:tcW w:w="5495"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443,734</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350,238</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586,096</w:t>
            </w:r>
          </w:p>
        </w:tc>
        <w:tc>
          <w:tcPr>
            <w:tcW w:w="64" w:type="dxa"/>
            <w:tcBorders/>
            <w:vAlign w:val="bottom"/>
          </w:tcPr>
          <w:p>
            <w:pPr>
              <w:pStyle w:val="TableContents"/>
              <w:bidi w:val="0"/>
              <w:spacing w:before="0" w:after="283"/>
              <w:jc w:val="left"/>
              <w:rPr/>
            </w:pPr>
            <w:r>
              <w:rPr/>
              <w:t> </w:t>
            </w:r>
          </w:p>
        </w:tc>
      </w:tr>
      <w:tr>
        <w:trPr/>
        <w:tc>
          <w:tcPr>
            <w:tcW w:w="10141" w:type="dxa"/>
            <w:gridSpan w:val="12"/>
            <w:tcBorders/>
            <w:shd w:fill="CCEEFF" w:val="clea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Cash and cash equivalents excludes restricted cash.</w:t>
            </w:r>
          </w:p>
          <w:p>
            <w:pPr>
              <w:pStyle w:val="TableContents"/>
              <w:bidi w:val="0"/>
              <w:spacing w:before="0" w:after="20"/>
              <w:jc w:val="left"/>
              <w:rPr>
                <w:rFonts w:ascii="Times New Roman" w:hAnsi="Times New Roman"/>
                <w:sz w:val="20"/>
              </w:rPr>
            </w:pPr>
            <w:r>
              <w:rPr>
                <w:rFonts w:ascii="Times New Roman" w:hAnsi="Times New Roman"/>
                <w:sz w:val="20"/>
              </w:rPr>
              <w:t>(b) Working capital represents current assets less current liabilities.</w:t>
            </w:r>
          </w:p>
        </w:tc>
        <w:tc>
          <w:tcPr>
            <w:tcW w:w="64" w:type="dxa"/>
            <w:tcBorders/>
            <w:shd w:fill="CCEEFF" w:val="clear"/>
          </w:tcPr>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extinguishment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sterilization facilities, including those in Willowbrook, Illinois, Atlanta, Georgia and Santa Teresa, New Mexico, even though that litigation remains ongoing;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443"/>
        <w:gridCol w:w="230"/>
        <w:gridCol w:w="140"/>
        <w:gridCol w:w="840"/>
        <w:gridCol w:w="165"/>
        <w:gridCol w:w="198"/>
        <w:gridCol w:w="140"/>
        <w:gridCol w:w="880"/>
        <w:gridCol w:w="169"/>
      </w:tblGrid>
      <w:tr>
        <w:trPr/>
        <w:tc>
          <w:tcPr>
            <w:tcW w:w="744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4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3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9" w:type="dxa"/>
            <w:tcBorders/>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i/>
              </w:rPr>
            </w:pPr>
            <w:r>
              <w:rPr>
                <w:i/>
              </w:rPr>
              <w:t>(in thousands)</w:t>
            </w:r>
          </w:p>
        </w:tc>
        <w:tc>
          <w:tcPr>
            <w:tcW w:w="23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51,376</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(233,570</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81,348</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81,554</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32,364</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21,211</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(gain) on foreign currency and derivatives not designated as hedging instruments, net(b)</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(1,552</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3,150</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 and divestiture related charges, net(c)</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937</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1,398</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optimization project expenses(d)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7,310</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2,226</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Plant closure expenses(e)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(585</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4,730</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affiliate(f)</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9,613</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facilities(g)</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72,122</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72,639</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408,000</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settlement(i)</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35,000</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obligations(j)</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2,413</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2,194</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COVID-19 expenses(k)</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155</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adjustments(l)</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(50,617</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(103,081</w:t>
            </w:r>
          </w:p>
        </w:tc>
        <w:tc>
          <w:tcPr>
            <w:tcW w:w="169" w:type="dxa"/>
            <w:tcBorders/>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230,116</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270,219</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 net(m)</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116,068</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78,490</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76,577</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64,000</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Income(o)</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105,268</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93,540</w:t>
            </w:r>
          </w:p>
        </w:tc>
        <w:tc>
          <w:tcPr>
            <w:tcW w:w="169" w:type="dxa"/>
            <w:tcBorders/>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13"/>
              </w:rPr>
              <w:t>(p)</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528,029</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506,249</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to employees and non-employee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direct and incremental costs related to the acquisitions of RCA and BioSciences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professional fees exit costs, severance and other payroll costs, and other costs associated with business optimization and cost savings projects, operating structure realignment and other process enhancement projects.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professional fees, severance and other payroll costs, and other costs including ongoing lease and utility expenses associated with the closure of the Willowbrook, Illinois facility. The year ended December 31, 2023 also includes a $1.0 million cancellation fee received from a tenant connection with the termination of an office space lease at the Nordion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impairment charge on an equity method investment in a joint venture.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This includes $26.8 million of interest expense, net for the year ended December 31, 2023 associated with Term Loan B that was issued to finance the $408.0 million settlement of 880 pending and threatened EO claims against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Sterigenics U.S., LLC and Sotera Health LLC (the Defendant Subsidiaries) in Illinois under Settlement Agreements entered into on March 28,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880 pending and threatened EO claims against the Defendant Subsidiaries in Illinois pursuant to Settlement Agreements entered into on March 28,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against the Defendant Subsidiaries in Georgia under a Settlement Term Sheet entered into on December 21,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asset retirement obligations related to Co-60 gamma and EO processing facilities, which are based on estimated site remediation costs for any future decommissioning of these facilities and are accreted over the life of the asset.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non-recurring costs associated with the COVID-19 pandemic, including incremental costs to implement workplace health and safety measures.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year ended December 31, 2023 excludes $26.8 million of interest expense, net, on Term Loan B attributable to the loan proceeds that were used to fund the $408.0 million cost of the Illinois EO Litigation settlement. The year ended December 31, 2022 excludes $1.7 million of unrealized loss on interest rate derivatives not designated as hedging instruments.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benefit associated with pre-tax adjustments described in footnote (l).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$94.1 million and $83.6 million of the adjustments for the year ended December 31, 2023 and 2022, respectively, are included in cost of revenues, primarily consisting of amortization of intangible assets, depreciation, and accretion of asset retirement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tx798575_5"/>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will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including the COVID-19 pandemic, and related policies and restrictions undertaken to contain the spread of such pandemics or potential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and volume fluctuations. In addition, in the past, following periods of volatility in the overall market and the market price of a companys securities, securities class action litigation has often been instituted against these companies, and a putative class action of this kind is currently pending against us. See Note 20, Commitments and Contingencies to our consolidated financial statements under the heading Stockholder Lawsuit in our Annual Report.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20, 2024, we had an aggregate of 886,109,800 shares of common stock that are not currently reserved for issuance under our 2020 Plan, as well as 3,204,952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26,130,422 shares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20, 2024, but may be waived at any time by a majority of the members of the leadership development and compensation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20, 2024, the Sponsors own approximately 62.1% of our outstanding common stock, and following completion of this offering, assuming no exercise of the underwriters option to purchase additional shares, will own approximately 53.6%,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 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Although we do not currently rely on the controlled company exemption, we are a controlled company within the meaning of the Nasdaq corporate governance standards and qualify for exemptions from certain corporate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Because the Sponsors own a majority of our outstanding common stock, we are presently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compensation committee be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conduct an annual performance evaluation of the nominating and corporate governance and compensation committees.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presently qualify as a controlled company, we are not currently relying on this exemption and intend to continue to comply fully with all corporate governance requirements for non-controlled companies under the Nasdaq corporate governance standards. If we were to elect at some point in the future to utilize some or all of these exemptions, however, our stockholders may not have the same protections afforded to stockholders of companies that are subject to all of the Nasdaq corporate governance requirements and investors perceptions of our corporate governance could be adversely affected by the Sponsors significant ownership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ownership of our common stock continues to be highly concentrated, it may prevent minority stockholders from influencing significant corporate decisions and may result in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20, 2024, the Sponsors own approximately 62.1% of our outstanding common stock, and following completion of this offering, assuming no exercise of the underwriters option to purchase additional shares, will own approximately 53.6%, and retain the right to designate over a majority of our directors.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the Sponsors own shares sufficient for the majority vote over all matters requiring a stockholder vote. Our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amended and restated bylaws and our Stockholders Agreement,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Delaware Court of Chancery or Federal Court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might discourage, delay or prevent a change in control of our company or a change in our management. For example, because investment funds and entities affiliated with either Warburg Pincus or GTCR together own a majority of the voting power of our common stock,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stockholders ability to achieve a return on their investment will depend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(the Senior Secured Credit Facilities). As a result, capital appreciation, if any, of our common stock will be the sole source of potential gain for the foreseeable future, and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tx798575_6"/>
      <w:bookmarkEnd w:id="1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and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tx798575_7"/>
      <w:bookmarkEnd w:id="11"/>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supplement and common stock issuable in connection with outstanding RSUs, which will vest within 60 days of this prospectus supplement,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2915" w:type="dxa"/>
        <w:jc w:val="center"/>
        <w:tblInd w:w="0" w:type="dxa"/>
        <w:tblLayout w:type="fixed"/>
        <w:tblCellMar>
          <w:top w:w="0" w:type="dxa"/>
          <w:left w:w="0" w:type="dxa"/>
          <w:bottom w:w="0" w:type="dxa"/>
          <w:right w:w="0" w:type="dxa"/>
        </w:tblCellMar>
      </w:tblPr>
      <w:tblGrid>
        <w:gridCol w:w="3170"/>
        <w:gridCol w:w="120"/>
        <w:gridCol w:w="60"/>
        <w:gridCol w:w="1220"/>
        <w:gridCol w:w="60"/>
        <w:gridCol w:w="120"/>
        <w:gridCol w:w="60"/>
        <w:gridCol w:w="560"/>
        <w:gridCol w:w="275"/>
        <w:gridCol w:w="60"/>
        <w:gridCol w:w="60"/>
        <w:gridCol w:w="1100"/>
        <w:gridCol w:w="60"/>
        <w:gridCol w:w="120"/>
        <w:gridCol w:w="60"/>
        <w:gridCol w:w="1100"/>
        <w:gridCol w:w="60"/>
        <w:gridCol w:w="120"/>
        <w:gridCol w:w="60"/>
        <w:gridCol w:w="560"/>
        <w:gridCol w:w="275"/>
        <w:gridCol w:w="60"/>
        <w:gridCol w:w="60"/>
        <w:gridCol w:w="1100"/>
        <w:gridCol w:w="60"/>
        <w:gridCol w:w="120"/>
        <w:gridCol w:w="60"/>
        <w:gridCol w:w="1100"/>
        <w:gridCol w:w="60"/>
        <w:gridCol w:w="120"/>
        <w:gridCol w:w="60"/>
        <w:gridCol w:w="560"/>
        <w:gridCol w:w="27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the Offering</w:t>
            </w:r>
          </w:p>
        </w:tc>
        <w:tc>
          <w:tcPr>
            <w:tcW w:w="27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Shares Beneficially </w:t>
              <w:br/>
              <w:t xml:space="preserve">Owned Prior to </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Assuming No Exercise</w:t>
              <w:br/>
              <w:t xml:space="preserve">of Underwriters </w:t>
              <w:br/>
              <w:t>Option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Assuming Full Exercise </w:t>
              <w:br/>
              <w:t>of Underwriters Option</w:t>
            </w:r>
          </w:p>
        </w:tc>
        <w:tc>
          <w:tcPr>
            <w:tcW w:w="27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5% Stockholders: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18"/>
              </w:rPr>
            </w:pPr>
            <w:r>
              <w:rPr>
                <w:rFonts w:ascii="Times New Roman" w:hAnsi="Times New Roman"/>
                <w:sz w:val="18"/>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14,429,880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90,987,435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16,594,363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88,822,952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31.40</w:t>
            </w:r>
          </w:p>
        </w:tc>
        <w:tc>
          <w:tcPr>
            <w:tcW w:w="27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9,619,920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60,658,289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11,062,908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59,215,301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20.94</w:t>
            </w:r>
          </w:p>
        </w:tc>
        <w:tc>
          <w:tcPr>
            <w:tcW w:w="27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18"/>
              </w:rPr>
            </w:pPr>
            <w:r>
              <w:rPr>
                <w:rFonts w:ascii="Times New Roman" w:hAnsi="Times New Roman"/>
                <w:b/>
                <w:sz w:val="18"/>
              </w:rPr>
              <w:t>Other Selling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Michael B. Petras, Jr.(4)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872,931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7,714,924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1,003,870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7,583,985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18"/>
              </w:rPr>
            </w:pPr>
            <w:r>
              <w:rPr>
                <w:rFonts w:ascii="Times New Roman" w:hAnsi="Times New Roman"/>
                <w:sz w:val="18"/>
              </w:rPr>
              <w:t>Michael P. Rutz(5)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637,067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83,109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626,227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Ann R. Klee(6)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the date of this prospectus supplement.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the date of this prospectus supplement.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tx798575_8"/>
      <w:bookmarkEnd w:id="12"/>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uptx798575_9"/>
      <w:bookmarkEnd w:id="13"/>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The timing and amount of future dividend payments will be at the discretion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uptx798575_10"/>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the shares of common stock described in this prospectus supplement through a number of underwriters. J.P. Morgan Securities LLC, Goldman Sachs &amp; Co. LLC, Citigroup Global Markets Inc. and Jefferies LLC are acting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65"/>
        <w:gridCol w:w="352"/>
        <w:gridCol w:w="60"/>
        <w:gridCol w:w="1100"/>
        <w:gridCol w:w="62"/>
      </w:tblGrid>
      <w:tr>
        <w:trPr/>
        <w:tc>
          <w:tcPr>
            <w:tcW w:w="536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65" w:type="dxa"/>
            <w:tcBorders/>
            <w:vAlign w:val="bottom"/>
          </w:tcPr>
          <w:p>
            <w:pPr>
              <w:pStyle w:val="TableContents"/>
              <w:bidi w:val="0"/>
              <w:spacing w:before="0" w:after="283"/>
              <w:jc w:val="left"/>
              <w:rPr>
                <w:b/>
              </w:rPr>
            </w:pPr>
            <w:r>
              <w:rPr>
                <w:b/>
              </w:rPr>
              <w:t>Name</w:t>
            </w:r>
          </w:p>
        </w:tc>
        <w:tc>
          <w:tcPr>
            <w:tcW w:w="352"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5,962,500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4,787,500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3,500,000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3,500,000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2,250,000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2,250,000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1,250,000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625,000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375,000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250,000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50,000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50,000</w:t>
            </w:r>
          </w:p>
        </w:tc>
        <w:tc>
          <w:tcPr>
            <w:tcW w:w="62" w:type="dxa"/>
            <w:tcBorders/>
            <w:vAlign w:val="bottom"/>
          </w:tcPr>
          <w:p>
            <w:pPr>
              <w:pStyle w:val="TableContents"/>
              <w:bidi w:val="0"/>
              <w:spacing w:before="0" w:after="283"/>
              <w:jc w:val="left"/>
              <w:rPr/>
            </w:pPr>
            <w:r>
              <w:rPr/>
              <w:t> </w:t>
            </w:r>
          </w:p>
        </w:tc>
      </w:tr>
      <w:tr>
        <w:trPr/>
        <w:tc>
          <w:tcPr>
            <w:tcW w:w="5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Tigress Financial Partners LLC</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5365"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65"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25,000,000</w:t>
            </w:r>
          </w:p>
        </w:tc>
        <w:tc>
          <w:tcPr>
            <w:tcW w:w="62" w:type="dxa"/>
            <w:tcBorders/>
            <w:vAlign w:val="bottom"/>
          </w:tcPr>
          <w:p>
            <w:pPr>
              <w:pStyle w:val="TableContents"/>
              <w:bidi w:val="0"/>
              <w:spacing w:before="0" w:after="283"/>
              <w:jc w:val="left"/>
              <w:rPr/>
            </w:pPr>
            <w:r>
              <w:rPr/>
              <w:t> </w:t>
            </w:r>
          </w:p>
        </w:tc>
      </w:tr>
      <w:tr>
        <w:trPr/>
        <w:tc>
          <w:tcPr>
            <w:tcW w:w="5365"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common shares directly to the public at the public offering price set forth on the cover page of this prospectus supplement and to certain dealers at that price less a concession not in excess of $0.2655 per share. After the offering of the shares to the public, if all of the common shares are not sold at the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3,750,000 additional shares of common stock from the selling stockholders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the selling stockholders per share of common stock. The underwriting fee is $0.4425 per share. The following table shows the per share and total underwriting discounts and commissions to be paid by the selling stockholders to the underwriters assuming both no exercise and full exercise of the underwriters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9"/>
        <w:gridCol w:w="364"/>
        <w:gridCol w:w="141"/>
        <w:gridCol w:w="1296"/>
        <w:gridCol w:w="60"/>
        <w:gridCol w:w="364"/>
        <w:gridCol w:w="141"/>
        <w:gridCol w:w="1296"/>
        <w:gridCol w:w="64"/>
      </w:tblGrid>
      <w:tr>
        <w:trPr/>
        <w:tc>
          <w:tcPr>
            <w:tcW w:w="4029"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2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br/>
              <w:t>exercise</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option to</w:t>
              <w:br/>
              <w:t>purchase</w:t>
              <w:br/>
              <w:t>additional</w:t>
              <w:br/>
              <w:t>shares</w:t>
              <w:br/>
              <w:t>exercise</w:t>
            </w:r>
          </w:p>
        </w:tc>
        <w:tc>
          <w:tcPr>
            <w:tcW w:w="64" w:type="dxa"/>
            <w:tcBorders/>
            <w:vAlign w:val="bottom"/>
          </w:tcPr>
          <w:p>
            <w:pPr>
              <w:pStyle w:val="TableContents"/>
              <w:bidi w:val="0"/>
              <w:spacing w:before="0" w:after="283"/>
              <w:jc w:val="left"/>
              <w:rPr/>
            </w:pPr>
            <w:r>
              <w:rPr/>
              <w:t> </w:t>
            </w:r>
          </w:p>
        </w:tc>
      </w:tr>
      <w:tr>
        <w:trPr/>
        <w:tc>
          <w:tcPr>
            <w:tcW w:w="4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0.4425</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0.4425</w:t>
            </w:r>
          </w:p>
        </w:tc>
        <w:tc>
          <w:tcPr>
            <w:tcW w:w="64" w:type="dxa"/>
            <w:tcBorders/>
            <w:shd w:fill="CCEEFF" w:val="clear"/>
            <w:vAlign w:val="bottom"/>
          </w:tcPr>
          <w:p>
            <w:pPr>
              <w:pStyle w:val="TableContents"/>
              <w:bidi w:val="0"/>
              <w:spacing w:before="0" w:after="283"/>
              <w:jc w:val="left"/>
              <w:rPr/>
            </w:pPr>
            <w:r>
              <w:rPr/>
              <w:t> </w:t>
            </w:r>
          </w:p>
        </w:tc>
      </w:tr>
      <w:tr>
        <w:trPr/>
        <w:tc>
          <w:tcPr>
            <w:tcW w:w="4029"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11,062,500</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12,721,875</w:t>
            </w:r>
          </w:p>
        </w:tc>
        <w:tc>
          <w:tcPr>
            <w:tcW w:w="64" w:type="dxa"/>
            <w:tcBorders/>
            <w:vAlign w:val="bottom"/>
          </w:tcPr>
          <w:p>
            <w:pPr>
              <w:pStyle w:val="TableContents"/>
              <w:bidi w:val="0"/>
              <w:spacing w:before="0" w:after="283"/>
              <w:jc w:val="left"/>
              <w:rPr/>
            </w:pPr>
            <w:r>
              <w:rPr/>
              <w:t> </w:t>
            </w:r>
          </w:p>
        </w:tc>
      </w:tr>
      <w:tr>
        <w:trPr/>
        <w:tc>
          <w:tcPr>
            <w:tcW w:w="4029"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$700,000.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J.P. Morgan Securities LLC for a period of 60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underwriters pursuant to which each of them, subject to certain exceptions, for a period of 60 days after the date of this prospectus supplement,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and the selling stockholders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the selling stockholders, nor the underwriters make any representation or prediction as to the direction or magnitude of any effect that the transactions described above may have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of the underwriters and/or certain of their affiliates are lenders, and/or act as agents or arrangers, under our Senior Secured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affiliates, officers, directors and employees may purchase, sell or hold a broad array of investments and actively traded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An offer to the public of any shares may not be made in the United Kingdom, except that an offer to the public in the United Kingdom of any shares may be made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result in a requirement for the Issuer or any underwriter to publish a prospectus pursuant to section 85 of the FSMA or a supplemental prospectus pursuant to Article 23 of the UK Prospectus Regulation and each person who initially acquires any shares or to whom any offer is made will be deemed to have represented, acknowledged and agreed to the company and the underwriters that it is a qualified investor within the meaning of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uptx798575_11"/>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underwriters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suptx798575_12"/>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our Annual Report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suptx798575_13"/>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suptx798575_14"/>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13, 2023, as amended (solely to the extent specifically incorporated by reference into our 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720" cy="584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72720" cy="584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
      <w:bookmarkEnd w:id="19"/>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7985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and the selling stockholders have not authorized anyone to provide you with information different from that contained or incorporated by reference in this prospectus, any amendment or supplement to this prospectus or in any free writing prospectus prepared by us or on our behalf. We do not accept any responsibility for, nor can we provide any assurance as to the reliability of, any information other than the information contained or incorporated by reference in this prospectus, any amendment or supplement to this prospectus or in any free writing prospectus prepared by us or on our behalf. We and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any accompanying prospectus supplement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798575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798575_2"/>
      <w:bookmarkEnd w:id="21"/>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798575_3"/>
      <w:bookmarkEnd w:id="22"/>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798575_4"/>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798575_5"/>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798575_6"/>
      <w:bookmarkEnd w:id="25"/>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98575_7"/>
      <w:bookmarkEnd w:id="26"/>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478"/>
        <w:gridCol w:w="1117"/>
        <w:gridCol w:w="60"/>
        <w:gridCol w:w="120"/>
        <w:gridCol w:w="483"/>
        <w:gridCol w:w="1127"/>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98575_8"/>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98575_9"/>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798575_10"/>
      <w:bookmarkEnd w:id="29"/>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8">
              <w:r>
                <w:rPr>
                  <w:rStyle w:val="InternetLink"/>
                  <w:rFonts w:ascii="Times New Roman" w:hAnsi="Times New Roman"/>
                  <w:sz w:val="20"/>
                </w:rPr>
                <w:t>Schedule 14A</w:t>
              </w:r>
            </w:hyperlink>
            <w:r>
              <w:rPr>
                <w:rFonts w:ascii="Times New Roman" w:hAnsi="Times New Roman"/>
                <w:sz w:val="20"/>
              </w:rPr>
              <w:t xml:space="preserve">, filed with the SEC on April  13, 2023 (solely to the extent specifically incorporated by reference into 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798575_11"/>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798575_12"/>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400" w:after="0"/>
        <w:jc w:val="center"/>
        <w:rPr>
          <w:rFonts w:ascii="Times New Roman" w:hAnsi="Times New Roman"/>
          <w:b/>
          <w:sz w:val="32"/>
        </w:rPr>
      </w:pPr>
      <w:r>
        <w:rPr>
          <w:rFonts w:ascii="Times New Roman" w:hAnsi="Times New Roman"/>
          <w:b/>
          <w:sz w:val="32"/>
        </w:rPr>
        <w:t xml:space="preserve">25,000,000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335" cy="469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40335" cy="46990"/>
                    </a:xfrm>
                    <a:prstGeom prst="rect">
                      <a:avLst/>
                    </a:prstGeom>
                  </pic:spPr>
                </pic:pic>
              </a:graphicData>
            </a:graphic>
          </wp:inline>
        </w:drawing>
      </w:r>
      <w:r>
        <w:rPr/>
        <w:t xml:space="preserve"> </w:t>
      </w:r>
    </w:p>
    <w:p>
      <w:pPr>
        <w:pStyle w:val="TextBody"/>
        <w:bidi w:val="0"/>
        <w:spacing w:before="8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0" w:after="0"/>
        <w:jc w:val="center"/>
        <w:rPr>
          <w:rFonts w:ascii="Times New Roman" w:hAnsi="Times New Roman"/>
          <w:b/>
          <w:sz w:val="28"/>
        </w:rPr>
      </w:pPr>
      <w:r>
        <w:rPr>
          <w:rFonts w:ascii="Times New Roman" w:hAnsi="Times New Roman"/>
          <w:b/>
          <w:sz w:val="28"/>
        </w:rPr>
        <w:t xml:space="preserve">February 28, 2024 </w:t>
      </w:r>
    </w:p>
    <w:p>
      <w:pPr>
        <w:pStyle w:val="TextBody"/>
        <w:bidi w:val="0"/>
        <w:spacing w:before="60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12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120" w:after="0"/>
        <w:jc w:val="center"/>
        <w:rPr>
          <w:rFonts w:ascii="Times New Roman" w:hAnsi="Times New Roman"/>
          <w:b/>
          <w:sz w:val="28"/>
        </w:rPr>
      </w:pPr>
      <w:r>
        <w:rPr>
          <w:rFonts w:ascii="Times New Roman" w:hAnsi="Times New Roman"/>
          <w:b/>
          <w:sz w:val="28"/>
        </w:rPr>
        <w:t xml:space="preserve">Citigroup </w:t>
      </w:r>
    </w:p>
    <w:p>
      <w:pPr>
        <w:pStyle w:val="TextBody"/>
        <w:bidi w:val="0"/>
        <w:spacing w:before="120" w:after="0"/>
        <w:jc w:val="center"/>
        <w:rPr>
          <w:rFonts w:ascii="Times New Roman" w:hAnsi="Times New Roman"/>
          <w:b/>
          <w:sz w:val="28"/>
        </w:rPr>
      </w:pPr>
      <w:r>
        <w:rPr>
          <w:rFonts w:ascii="Times New Roman" w:hAnsi="Times New Roman"/>
          <w:b/>
          <w:sz w:val="28"/>
        </w:rPr>
        <w:t xml:space="preserve">Jefferies </w:t>
      </w:r>
    </w:p>
    <w:p>
      <w:pPr>
        <w:pStyle w:val="TextBody"/>
        <w:bidi w:val="0"/>
        <w:spacing w:before="240" w:after="0"/>
        <w:jc w:val="center"/>
        <w:rPr>
          <w:rFonts w:ascii="Times New Roman" w:hAnsi="Times New Roman"/>
          <w:b/>
          <w:sz w:val="28"/>
        </w:rPr>
      </w:pPr>
      <w:r>
        <w:rPr>
          <w:rFonts w:ascii="Times New Roman" w:hAnsi="Times New Roman"/>
          <w:b/>
          <w:sz w:val="28"/>
        </w:rPr>
        <w:t xml:space="preserve">Barclays </w:t>
      </w:r>
    </w:p>
    <w:p>
      <w:pPr>
        <w:pStyle w:val="TextBody"/>
        <w:bidi w:val="0"/>
        <w:spacing w:before="120" w:after="0"/>
        <w:jc w:val="center"/>
        <w:rPr>
          <w:rFonts w:ascii="Times New Roman" w:hAnsi="Times New Roman"/>
          <w:b/>
          <w:sz w:val="28"/>
        </w:rPr>
      </w:pPr>
      <w:r>
        <w:rPr>
          <w:rFonts w:ascii="Times New Roman" w:hAnsi="Times New Roman"/>
          <w:b/>
          <w:sz w:val="28"/>
        </w:rPr>
        <w:t xml:space="preserve">RBC Capital Markets </w:t>
      </w:r>
    </w:p>
    <w:p>
      <w:pPr>
        <w:pStyle w:val="TextBody"/>
        <w:bidi w:val="0"/>
        <w:spacing w:before="120" w:after="0"/>
        <w:jc w:val="center"/>
        <w:rPr>
          <w:rFonts w:ascii="Times New Roman" w:hAnsi="Times New Roman"/>
          <w:b/>
          <w:sz w:val="28"/>
        </w:rPr>
      </w:pPr>
      <w:r>
        <w:rPr>
          <w:rFonts w:ascii="Times New Roman" w:hAnsi="Times New Roman"/>
          <w:b/>
          <w:sz w:val="28"/>
        </w:rPr>
        <w:t xml:space="preserve">Santander </w:t>
      </w:r>
    </w:p>
    <w:p>
      <w:pPr>
        <w:pStyle w:val="TextBody"/>
        <w:bidi w:val="0"/>
        <w:spacing w:before="240" w:after="0"/>
        <w:jc w:val="center"/>
        <w:rPr>
          <w:rFonts w:ascii="Times New Roman" w:hAnsi="Times New Roman"/>
          <w:b/>
          <w:sz w:val="28"/>
        </w:rPr>
      </w:pPr>
      <w:r>
        <w:rPr>
          <w:rFonts w:ascii="Times New Roman" w:hAnsi="Times New Roman"/>
          <w:b/>
          <w:sz w:val="28"/>
        </w:rPr>
        <w:t xml:space="preserve">BNP PARIBAS </w:t>
      </w:r>
    </w:p>
    <w:p>
      <w:pPr>
        <w:pStyle w:val="TextBody"/>
        <w:bidi w:val="0"/>
        <w:spacing w:before="120" w:after="0"/>
        <w:jc w:val="center"/>
        <w:rPr>
          <w:rFonts w:ascii="Times New Roman" w:hAnsi="Times New Roman"/>
          <w:b/>
          <w:sz w:val="28"/>
        </w:rPr>
      </w:pPr>
      <w:r>
        <w:rPr>
          <w:rFonts w:ascii="Times New Roman" w:hAnsi="Times New Roman"/>
          <w:b/>
          <w:sz w:val="28"/>
        </w:rPr>
        <w:t xml:space="preserve">KeyBanc Capital Markets </w:t>
      </w:r>
    </w:p>
    <w:p>
      <w:pPr>
        <w:pStyle w:val="TextBody"/>
        <w:bidi w:val="0"/>
        <w:spacing w:before="0" w:after="0"/>
        <w:jc w:val="center"/>
        <w:rPr>
          <w:rFonts w:ascii="Times New Roman" w:hAnsi="Times New Roman"/>
          <w:b/>
          <w:sz w:val="28"/>
        </w:rPr>
      </w:pPr>
      <w:r>
        <w:rPr>
          <w:rFonts w:ascii="Times New Roman" w:hAnsi="Times New Roman"/>
          <w:b/>
          <w:sz w:val="28"/>
        </w:rPr>
        <w:t xml:space="preserve">Citizens JMP </w:t>
      </w:r>
    </w:p>
    <w:p>
      <w:pPr>
        <w:pStyle w:val="TextBody"/>
        <w:bidi w:val="0"/>
        <w:spacing w:before="120" w:after="0"/>
        <w:jc w:val="center"/>
        <w:rPr>
          <w:rFonts w:ascii="Times New Roman" w:hAnsi="Times New Roman"/>
          <w:b/>
          <w:sz w:val="28"/>
        </w:rPr>
      </w:pPr>
      <w:r>
        <w:rPr>
          <w:rFonts w:ascii="Times New Roman" w:hAnsi="Times New Roman"/>
          <w:b/>
          <w:sz w:val="28"/>
        </w:rPr>
        <w:t xml:space="preserve">Academy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Loop Capital Markets </w:t>
      </w:r>
    </w:p>
    <w:p>
      <w:pPr>
        <w:pStyle w:val="TextBody"/>
        <w:bidi w:val="0"/>
        <w:spacing w:before="120" w:after="0"/>
        <w:jc w:val="center"/>
        <w:rPr>
          <w:rFonts w:ascii="Times New Roman" w:hAnsi="Times New Roman"/>
          <w:b/>
          <w:sz w:val="28"/>
        </w:rPr>
      </w:pPr>
      <w:r>
        <w:rPr>
          <w:rFonts w:ascii="Times New Roman" w:hAnsi="Times New Roman"/>
          <w:b/>
          <w:sz w:val="28"/>
        </w:rPr>
        <w:t xml:space="preserve">Penserra Securities LLC </w:t>
      </w:r>
    </w:p>
    <w:p>
      <w:pPr>
        <w:pStyle w:val="TextBody"/>
        <w:bidi w:val="0"/>
        <w:spacing w:before="120" w:after="0"/>
        <w:jc w:val="center"/>
        <w:rPr>
          <w:rFonts w:ascii="Times New Roman" w:hAnsi="Times New Roman"/>
          <w:b/>
          <w:sz w:val="28"/>
        </w:rPr>
      </w:pPr>
      <w:r>
        <w:rPr>
          <w:rFonts w:ascii="Times New Roman" w:hAnsi="Times New Roman"/>
          <w:b/>
          <w:sz w:val="28"/>
        </w:rPr>
        <w:t xml:space="preserve">Siebert Williams Shank </w:t>
      </w:r>
    </w:p>
    <w:p>
      <w:pPr>
        <w:pStyle w:val="TextBody"/>
        <w:bidi w:val="0"/>
        <w:spacing w:before="120" w:after="0"/>
        <w:jc w:val="center"/>
        <w:rPr>
          <w:rFonts w:ascii="Times New Roman" w:hAnsi="Times New Roman"/>
          <w:b/>
          <w:sz w:val="28"/>
        </w:rPr>
      </w:pPr>
      <w:r>
        <w:rPr>
          <w:rFonts w:ascii="Times New Roman" w:hAnsi="Times New Roman"/>
          <w:b/>
          <w:sz w:val="28"/>
        </w:rPr>
        <w:t xml:space="preserve">Tigress Financial Partners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32" w:name="d798575dexfilingfees.htm"/>
      <w:bookmarkStart w:id="33" w:name="ksd798575dexfilingfees"/>
      <w:bookmarkEnd w:id="32"/>
      <w:bookmarkEnd w:id="33"/>
      <w:r>
        <w:rPr>
          <w:rFonts w:ascii="Times New Roman" w:hAnsi="Times New Roman"/>
          <w:b/>
          <w:sz w:val="20"/>
        </w:rPr>
        <w:t xml:space="preserve">EXHIBIT 107.1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424(b)(7)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Sotera Health Company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and Carry Forward Securities </w:t>
      </w:r>
    </w:p>
    <w:p>
      <w:pPr>
        <w:pStyle w:val="TextBody"/>
        <w:bidi w:val="0"/>
        <w:spacing w:before="0" w:after="0"/>
        <w:jc w:val="left"/>
        <w:rPr/>
      </w:pPr>
      <w:r>
        <w:rPr/>
        <w:t> </w:t>
      </w:r>
    </w:p>
    <w:tbl>
      <w:tblPr>
        <w:tblW w:w="13895" w:type="dxa"/>
        <w:jc w:val="center"/>
        <w:tblInd w:w="0" w:type="dxa"/>
        <w:tblLayout w:type="fixed"/>
        <w:tblCellMar>
          <w:top w:w="0" w:type="dxa"/>
          <w:left w:w="0" w:type="dxa"/>
          <w:bottom w:w="0" w:type="dxa"/>
          <w:right w:w="0" w:type="dxa"/>
        </w:tblCellMar>
      </w:tblPr>
      <w:tblGrid>
        <w:gridCol w:w="890"/>
        <w:gridCol w:w="60"/>
        <w:gridCol w:w="650"/>
        <w:gridCol w:w="60"/>
        <w:gridCol w:w="1520"/>
        <w:gridCol w:w="60"/>
        <w:gridCol w:w="1145"/>
        <w:gridCol w:w="60"/>
        <w:gridCol w:w="1370"/>
        <w:gridCol w:w="60"/>
        <w:gridCol w:w="680"/>
        <w:gridCol w:w="60"/>
        <w:gridCol w:w="1340"/>
        <w:gridCol w:w="60"/>
        <w:gridCol w:w="1160"/>
        <w:gridCol w:w="60"/>
        <w:gridCol w:w="1160"/>
        <w:gridCol w:w="60"/>
        <w:gridCol w:w="485"/>
        <w:gridCol w:w="60"/>
        <w:gridCol w:w="830"/>
        <w:gridCol w:w="60"/>
        <w:gridCol w:w="830"/>
        <w:gridCol w:w="60"/>
        <w:gridCol w:w="111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 </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Security Class 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Proposed</w:t>
              <w:br/>
              <w:t>Maximum</w:t>
              <w:br/>
              <w:t>Offering</w:t>
              <w:br/>
              <w:t>Price Per</w:t>
              <w:br/>
              <w:t>Unit</w:t>
            </w:r>
          </w:p>
          <w:p>
            <w:pPr>
              <w:pStyle w:val="TableContents"/>
              <w:bidi w:val="0"/>
              <w:spacing w:before="0" w:after="20"/>
              <w:jc w:val="center"/>
              <w:rPr>
                <w:rFonts w:ascii="Times New Roman" w:hAnsi="Times New Roman"/>
                <w:sz w:val="14"/>
              </w:rPr>
            </w:pPr>
            <w:r>
              <w:rPr>
                <w:rFonts w:ascii="Times New Roman" w:hAnsi="Times New Roman"/>
                <w:sz w:val="14"/>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Maximum</w:t>
              <w:br/>
              <w:t>Aggregate</w:t>
              <w:br/>
              <w:t>Offering 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 </w:t>
            </w:r>
          </w:p>
          <w:p>
            <w:pPr>
              <w:pStyle w:val="TableContents"/>
              <w:bidi w:val="0"/>
              <w:spacing w:before="0" w:after="20"/>
              <w:jc w:val="center"/>
              <w:rPr>
                <w:rFonts w:ascii="Times New Roman" w:hAnsi="Times New Roman"/>
                <w:sz w:val="14"/>
              </w:rPr>
            </w:pPr>
            <w:r>
              <w:rPr>
                <w:rFonts w:ascii="Times New Roman" w:hAnsi="Times New Roman"/>
                <w:sz w:val="14"/>
              </w:rP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center"/>
              <w:rPr/>
            </w:pPr>
            <w:r>
              <w:rPr/>
              <w:t>Filing Fee</w:t>
              <w:br/>
              <w:t>Previously</w:t>
              <w:br/>
              <w:t>Paid In</w:t>
              <w:br/>
              <w:t>Connection</w:t>
              <w:br/>
              <w:t>with</w:t>
              <w:br/>
              <w:t>Unsold</w:t>
              <w:br/>
              <w:t>Securities</w:t>
              <w:br/>
              <w:t>to be</w:t>
              <w:br/>
              <w:t>Carried</w:t>
              <w:br/>
              <w:t>Forward</w:t>
            </w:r>
          </w:p>
        </w:tc>
      </w:tr>
      <w:tr>
        <w:trPr>
          <w:trHeight w:val="15" w:hRule="atLeast"/>
        </w:trPr>
        <w:tc>
          <w:tcPr>
            <w:tcW w:w="1389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895" w:type="dxa"/>
            <w:gridSpan w:val="25"/>
            <w:tcBorders>
              <w:left w:val="single" w:sz="2" w:space="0" w:color="000000"/>
              <w:right w:val="single" w:sz="2" w:space="0" w:color="000000"/>
            </w:tcBorders>
            <w:tcMar>
              <w:left w:w="160" w:type="dxa"/>
              <w:right w:w="40" w:type="dxa"/>
            </w:tcMar>
          </w:tcPr>
          <w:p>
            <w:pPr>
              <w:pStyle w:val="TableContents"/>
              <w:bidi w:val="0"/>
              <w:spacing w:before="0" w:after="283"/>
              <w:jc w:val="center"/>
              <w:rPr/>
            </w:pPr>
            <w:r>
              <w:rPr/>
              <w:t>Newly Registered Securities</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Equity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Common stock, par</w:t>
            </w:r>
          </w:p>
          <w:p>
            <w:pPr>
              <w:pStyle w:val="TableContents"/>
              <w:bidi w:val="0"/>
              <w:spacing w:before="0" w:after="20"/>
              <w:jc w:val="center"/>
              <w:rPr>
                <w:rFonts w:ascii="Times New Roman" w:hAnsi="Times New Roman"/>
                <w:sz w:val="16"/>
              </w:rPr>
            </w:pPr>
            <w:r>
              <w:rPr>
                <w:rFonts w:ascii="Times New Roman" w:hAnsi="Times New Roman"/>
                <w:sz w:val="16"/>
              </w:rPr>
              <w:t>value $0.01 per share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4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Rule 457(c)</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28,750,000(2)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$16.82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$483,575,000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0.00014760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$71,375.67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tcPr>
          <w:p>
            <w:pPr>
              <w:pStyle w:val="TableContents"/>
              <w:bidi w:val="0"/>
              <w:spacing w:before="0" w:after="0"/>
              <w:jc w:val="center"/>
              <w:rPr>
                <w:rFonts w:ascii="Times New Roman" w:hAnsi="Times New Roman"/>
                <w:sz w:val="20"/>
              </w:rPr>
            </w:pPr>
            <w:r>
              <w:rPr>
                <w:rFonts w:ascii="Times New Roman" w:hAnsi="Times New Roman"/>
                <w:sz w:val="20"/>
              </w:rPr>
              <w:t>Fees</w:t>
            </w:r>
          </w:p>
          <w:p>
            <w:pPr>
              <w:pStyle w:val="TableContents"/>
              <w:bidi w:val="0"/>
              <w:spacing w:before="0" w:after="0"/>
              <w:jc w:val="center"/>
              <w:rPr>
                <w:rFonts w:ascii="Times New Roman" w:hAnsi="Times New Roman"/>
                <w:sz w:val="20"/>
              </w:rPr>
            </w:pPr>
            <w:r>
              <w:rPr>
                <w:rFonts w:ascii="Times New Roman" w:hAnsi="Times New Roman"/>
                <w:sz w:val="20"/>
              </w:rPr>
              <w:t>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5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4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sz w:val="20"/>
              </w:rPr>
            </w:pPr>
            <w:r>
              <w:rPr>
                <w:sz w:val="20"/>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389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895" w:type="dxa"/>
            <w:gridSpan w:val="25"/>
            <w:tcBorders>
              <w:left w:val="single" w:sz="2" w:space="0" w:color="000000"/>
              <w:right w:val="single" w:sz="2" w:space="0" w:color="000000"/>
            </w:tcBorders>
            <w:tcMar>
              <w:left w:w="160" w:type="dxa"/>
              <w:right w:w="40" w:type="dxa"/>
            </w:tcMar>
          </w:tcPr>
          <w:p>
            <w:pPr>
              <w:pStyle w:val="TableContents"/>
              <w:bidi w:val="0"/>
              <w:spacing w:before="0" w:after="283"/>
              <w:jc w:val="center"/>
              <w:rPr/>
            </w:pPr>
            <w:r>
              <w:rPr/>
              <w:t>Carry Forward Securities</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0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tcPr>
          <w:p>
            <w:pPr>
              <w:pStyle w:val="TableContents"/>
              <w:bidi w:val="0"/>
              <w:spacing w:before="0" w:after="0"/>
              <w:jc w:val="center"/>
              <w:rPr>
                <w:rFonts w:ascii="Times New Roman" w:hAnsi="Times New Roman"/>
                <w:sz w:val="20"/>
              </w:rPr>
            </w:pPr>
            <w:r>
              <w:rPr>
                <w:rFonts w:ascii="Times New Roman" w:hAnsi="Times New Roman"/>
                <w:sz w:val="20"/>
              </w:rPr>
              <w:t>Carry</w:t>
            </w:r>
          </w:p>
          <w:p>
            <w:pPr>
              <w:pStyle w:val="TableContents"/>
              <w:bidi w:val="0"/>
              <w:spacing w:before="0" w:after="0"/>
              <w:jc w:val="center"/>
              <w:rPr>
                <w:rFonts w:ascii="Times New Roman" w:hAnsi="Times New Roman"/>
                <w:sz w:val="20"/>
              </w:rPr>
            </w:pPr>
            <w:r>
              <w:rPr>
                <w:rFonts w:ascii="Times New Roman" w:hAnsi="Times New Roman"/>
                <w:sz w:val="20"/>
              </w:rPr>
              <w:t>Forward</w:t>
            </w:r>
          </w:p>
          <w:p>
            <w:pPr>
              <w:pStyle w:val="TableContents"/>
              <w:bidi w:val="0"/>
              <w:spacing w:before="0" w:after="20"/>
              <w:jc w:val="center"/>
              <w:rPr>
                <w:rFonts w:ascii="Times New Roman" w:hAnsi="Times New Roman"/>
                <w:sz w:val="20"/>
              </w:rPr>
            </w:pPr>
            <w:r>
              <w:rPr>
                <w:rFonts w:ascii="Times New Roman" w:hAnsi="Times New Roman"/>
                <w:sz w:val="20"/>
              </w:rPr>
              <w:t>Securities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5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4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N/A</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65"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$71,375.67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65"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65"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65"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$71,375.67</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(1) Estimated solely for the purpose of calculating the amount of the registration fee pursuant to Rule 457(c) under the securities act of 1933, as amended (the Securities Act), based upon the average of the high and low prices of the registrants common stock on February 27, 2024, as reported on The Nasdaq Stock Market LLC. </w:t>
      </w:r>
    </w:p>
    <w:p>
      <w:pPr>
        <w:pStyle w:val="TextBody"/>
        <w:bidi w:val="0"/>
        <w:spacing w:before="0" w:after="0"/>
        <w:jc w:val="left"/>
        <w:rPr>
          <w:rFonts w:ascii="Times New Roman" w:hAnsi="Times New Roman"/>
          <w:sz w:val="16"/>
        </w:rPr>
      </w:pPr>
      <w:r>
        <w:rPr>
          <w:rFonts w:ascii="Times New Roman" w:hAnsi="Times New Roman"/>
          <w:sz w:val="16"/>
        </w:rPr>
        <w:t xml:space="preserve">(2) Includes 3,750,000 shares of common stock issuable upon exercise of the underwriters option to purchase additional common shares.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22479/000182247924000011/shc-20231231.htm" TargetMode="External"/><Relationship Id="rId4" Type="http://schemas.openxmlformats.org/officeDocument/2006/relationships/hyperlink" Target="http://www.sec.gov/Archives/edgar/data/../../../ix?doc=/Archives/edgar/data/1822479/000119312523099939/d425483ddef14a.htm" TargetMode="External"/><Relationship Id="rId5" Type="http://schemas.openxmlformats.org/officeDocument/2006/relationships/hyperlink" Target="http://www.sec.gov/Archives/edgar/data/../../../ix?doc=/Archives/edgar/data/1822479/000182247923000015/shc-20221231.htm" TargetMode="External"/><Relationship Id="rId6" Type="http://schemas.openxmlformats.org/officeDocument/2006/relationships/image" Target="media/image2.jpeg"/><Relationship Id="rId7" Type="http://schemas.openxmlformats.org/officeDocument/2006/relationships/hyperlink" Target="http://www.sec.gov/Archives/edgar/data/../../../ix?doc=/Archives/edgar/data/0001822479/000182247924000011/shc-20231231.htm" TargetMode="External"/><Relationship Id="rId8" Type="http://schemas.openxmlformats.org/officeDocument/2006/relationships/hyperlink" Target="http://www.sec.gov/Archives/edgar/data/../../../ix?doc=/Archives/edgar/data/1822479/000119312523099939/d425483ddef14a.htm" TargetMode="External"/><Relationship Id="rId9" Type="http://schemas.openxmlformats.org/officeDocument/2006/relationships/hyperlink" Target="http://www.sec.gov/Archives/edgar/data/../../../ix?doc=/Archives/edgar/data/1822479/000182247923000015/shc-20221231.htm"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28160</Words>
  <Characters>148201</Characters>
  <CharactersWithSpaces>177027</CharactersWithSpaces>
  <Paragraphs>3288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