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83601L 102</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1" w:name="page2"/>
    <w:bookmarkEnd w:id="1"/>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43" w:lineRule="exact"/>
        <w:rPr>
          <w:sz w:val="20"/>
          <w:szCs w:val="20"/>
          <w:color w:val="auto"/>
        </w:rPr>
      </w:pPr>
    </w:p>
    <w:p>
      <w:pPr>
        <w:ind w:left="420" w:hanging="247"/>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5048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048885"/>
                    </a:xfrm>
                    <a:prstGeom prst="rect">
                      <a:avLst/>
                    </a:prstGeom>
                    <a:noFill/>
                  </pic:spPr>
                </pic:pic>
              </a:graphicData>
            </a:graphic>
          </wp:anchor>
        </w:drawing>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WP XI, L.P.</w:t>
      </w:r>
    </w:p>
    <w:p>
      <w:pPr>
        <w:spacing w:after="0" w:line="27" w:lineRule="exact"/>
        <w:rPr>
          <w:sz w:val="20"/>
          <w:szCs w:val="20"/>
          <w:color w:val="auto"/>
        </w:rPr>
      </w:pPr>
    </w:p>
    <w:p>
      <w:pPr>
        <w:ind w:left="420" w:hanging="247"/>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4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180"/>
        <w:spacing w:after="0"/>
        <w:tabs>
          <w:tab w:leader="none" w:pos="4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SEC USE ONLY</w:t>
      </w:r>
    </w:p>
    <w:p>
      <w:pPr>
        <w:spacing w:after="0" w:line="239" w:lineRule="exact"/>
        <w:rPr>
          <w:sz w:val="20"/>
          <w:szCs w:val="20"/>
          <w:color w:val="auto"/>
        </w:rPr>
      </w:pPr>
    </w:p>
    <w:p>
      <w:pPr>
        <w:ind w:left="420" w:right="7160" w:hanging="247"/>
        <w:spacing w:after="0" w:line="38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2700" w:hanging="316"/>
        <w:spacing w:after="0"/>
        <w:tabs>
          <w:tab w:leader="none" w:pos="2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00" w:type="dxa"/>
            <w:vAlign w:val="bottom"/>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700" w:type="dxa"/>
            <w:vAlign w:val="bottom"/>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0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73,822,952</w:t>
      </w:r>
    </w:p>
    <w:p>
      <w:pPr>
        <w:spacing w:after="0" w:line="27" w:lineRule="exact"/>
        <w:rPr>
          <w:sz w:val="20"/>
          <w:szCs w:val="20"/>
          <w:color w:val="auto"/>
        </w:rPr>
      </w:pPr>
    </w:p>
    <w:p>
      <w:pPr>
        <w:ind w:left="180"/>
        <w:spacing w:after="0"/>
        <w:tabs>
          <w:tab w:leader="none" w:pos="4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AGGREGATE AMOUNT BENEFICIALLY OWNED BY EACH REPORTING PERSON</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420" w:hanging="247"/>
        <w:spacing w:after="0"/>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4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420" w:right="5880" w:hanging="247"/>
        <w:spacing w:after="0" w:line="374"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43.3% (2)</w:t>
      </w:r>
    </w:p>
    <w:p>
      <w:pPr>
        <w:spacing w:after="0" w:line="1" w:lineRule="exact"/>
        <w:rPr>
          <w:rFonts w:ascii="Times New Roman" w:cs="Times New Roman" w:eastAsia="Times New Roman" w:hAnsi="Times New Roman"/>
          <w:sz w:val="18"/>
          <w:szCs w:val="18"/>
          <w:color w:val="auto"/>
        </w:rPr>
      </w:pPr>
    </w:p>
    <w:p>
      <w:pPr>
        <w:ind w:left="420" w:right="8320" w:hanging="247"/>
        <w:spacing w:after="0" w:line="383"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hanging="332"/>
        <w:spacing w:after="0" w:line="25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U.S. Securities and Exchange Commission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Securities Exchange Act of 1934, as amended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Warburg Pincus Private Equity XI, L.P.</w:t>
            </w:r>
          </w:p>
        </w:tc>
      </w:tr>
      <w:tr>
        <w:trPr>
          <w:trHeight w:val="155"/>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Warburg Pincus XI Partners, L.P.</w:t>
            </w:r>
          </w:p>
        </w:tc>
      </w:tr>
      <w:tr>
        <w:trPr>
          <w:trHeight w:val="155"/>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Warburg Pincus Private Equity XI-B, L.P.</w:t>
            </w:r>
          </w:p>
        </w:tc>
      </w:tr>
      <w:tr>
        <w:trPr>
          <w:trHeight w:val="155"/>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Warburg Pincus Private Equity XI-C, L.P.</w:t>
            </w:r>
          </w:p>
        </w:tc>
      </w:tr>
      <w:tr>
        <w:trPr>
          <w:trHeight w:val="156"/>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Bull Co-Invest, L.P.</w:t>
            </w:r>
          </w:p>
        </w:tc>
      </w:tr>
      <w:tr>
        <w:trPr>
          <w:trHeight w:val="156"/>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Warburg Pincus Private XI, L.P.</w:t>
            </w:r>
          </w:p>
        </w:tc>
      </w:tr>
      <w:tr>
        <w:trPr>
          <w:trHeight w:val="155"/>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173990</wp:posOffset>
            </wp:positionV>
            <wp:extent cx="8890" cy="5048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5048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890" cy="5048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50488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r>
      <w:tr>
        <w:trPr>
          <w:trHeight w:val="234"/>
        </w:trPr>
        <w:tc>
          <w:tcPr>
            <w:tcW w:w="360" w:type="dxa"/>
            <w:vAlign w:val="bottom"/>
            <w:tcBorders>
              <w:right w:val="single" w:sz="8" w:color="auto"/>
            </w:tcBorders>
          </w:tcPr>
          <w:p>
            <w:pPr>
              <w:spacing w:after="0"/>
              <w:rPr>
                <w:sz w:val="20"/>
                <w:szCs w:val="20"/>
                <w:color w:val="auto"/>
              </w:rPr>
            </w:pP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r>
      <w:tr>
        <w:trPr>
          <w:trHeight w:val="432"/>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WP Global LLC</w:t>
            </w:r>
          </w:p>
        </w:tc>
      </w:tr>
      <w:tr>
        <w:trPr>
          <w:trHeight w:val="155"/>
        </w:trPr>
        <w:tc>
          <w:tcPr>
            <w:tcW w:w="360" w:type="dxa"/>
            <w:vAlign w:val="bottom"/>
            <w:tcBorders>
              <w:right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08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r>
      <w:tr>
        <w:trPr>
          <w:trHeight w:val="303"/>
        </w:trPr>
        <w:tc>
          <w:tcPr>
            <w:tcW w:w="360" w:type="dxa"/>
            <w:vAlign w:val="bottom"/>
            <w:tcBorders>
              <w:right w:val="single" w:sz="8" w:color="auto"/>
            </w:tcBorders>
          </w:tcPr>
          <w:p>
            <w:pPr>
              <w:spacing w:after="0"/>
              <w:rPr>
                <w:sz w:val="24"/>
                <w:szCs w:val="24"/>
                <w:color w:val="auto"/>
              </w:rPr>
            </w:pPr>
          </w:p>
        </w:tc>
        <w:tc>
          <w:tcPr>
            <w:tcW w:w="108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r>
      <w:tr>
        <w:trPr>
          <w:trHeight w:val="183"/>
        </w:trPr>
        <w:tc>
          <w:tcPr>
            <w:tcW w:w="360" w:type="dxa"/>
            <w:vAlign w:val="bottom"/>
            <w:tcBorders>
              <w:bottom w:val="single" w:sz="8" w:color="auto"/>
              <w:right w:val="single" w:sz="8" w:color="auto"/>
            </w:tcBorders>
          </w:tcPr>
          <w:p>
            <w:pPr>
              <w:spacing w:after="0"/>
              <w:rPr>
                <w:sz w:val="15"/>
                <w:szCs w:val="15"/>
                <w:color w:val="auto"/>
              </w:rPr>
            </w:pPr>
          </w:p>
        </w:tc>
        <w:tc>
          <w:tcPr>
            <w:tcW w:w="10880" w:type="dxa"/>
            <w:vAlign w:val="bottom"/>
            <w:tcBorders>
              <w:bottom w:val="single" w:sz="8" w:color="auto"/>
            </w:tcBorders>
          </w:tcPr>
          <w:p>
            <w:pPr>
              <w:spacing w:after="0"/>
              <w:rPr>
                <w:sz w:val="15"/>
                <w:szCs w:val="15"/>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r>
      <w:tr>
        <w:trPr>
          <w:trHeight w:val="198"/>
        </w:trPr>
        <w:tc>
          <w:tcPr>
            <w:tcW w:w="360" w:type="dxa"/>
            <w:vAlign w:val="bottom"/>
            <w:tcBorders>
              <w:bottom w:val="single" w:sz="8" w:color="auto"/>
              <w:right w:val="single" w:sz="8" w:color="auto"/>
            </w:tcBorders>
          </w:tcPr>
          <w:p>
            <w:pPr>
              <w:spacing w:after="0"/>
              <w:rPr>
                <w:sz w:val="17"/>
                <w:szCs w:val="17"/>
                <w:color w:val="auto"/>
              </w:rPr>
            </w:pPr>
          </w:p>
        </w:tc>
        <w:tc>
          <w:tcPr>
            <w:tcW w:w="10880" w:type="dxa"/>
            <w:vAlign w:val="bottom"/>
            <w:tcBorders>
              <w:bottom w:val="single" w:sz="8" w:color="auto"/>
            </w:tcBorders>
          </w:tcPr>
          <w:p>
            <w:pPr>
              <w:spacing w:after="0"/>
              <w:rPr>
                <w:sz w:val="17"/>
                <w:szCs w:val="17"/>
                <w:color w:val="auto"/>
              </w:rPr>
            </w:pPr>
          </w:p>
        </w:tc>
      </w:tr>
      <w:tr>
        <w:trPr>
          <w:trHeight w:val="228"/>
        </w:trPr>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360" w:type="dxa"/>
            <w:vAlign w:val="bottom"/>
            <w:tcBorders>
              <w:bottom w:val="single" w:sz="8" w:color="auto"/>
              <w:right w:val="single" w:sz="8" w:color="auto"/>
            </w:tcBorders>
          </w:tcPr>
          <w:p>
            <w:pPr>
              <w:spacing w:after="0"/>
              <w:rPr>
                <w:sz w:val="24"/>
                <w:szCs w:val="24"/>
                <w:color w:val="auto"/>
              </w:rPr>
            </w:pPr>
          </w:p>
        </w:tc>
        <w:tc>
          <w:tcPr>
            <w:tcW w:w="10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688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68846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-7620</wp:posOffset>
            </wp:positionV>
            <wp:extent cx="8255" cy="1688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688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8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380" w:type="dxa"/>
            <w:vAlign w:val="bottom"/>
            <w:vMerge w:val="restart"/>
          </w:tcPr>
          <w:p>
            <w:pPr>
              <w:spacing w:after="0"/>
              <w:rPr>
                <w:sz w:val="2"/>
                <w:szCs w:val="2"/>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73,822,952</w:t>
            </w: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123,038,253</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43.4% (2)</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12</w:t>
            </w:r>
          </w:p>
        </w:tc>
        <w:tc>
          <w:tcPr>
            <w:tcW w:w="10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3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287"/>
        <w:spacing w:after="0" w:line="250" w:lineRule="auto"/>
        <w:tabs>
          <w:tab w:leader="none" w:pos="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3"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25</w:t>
      </w:r>
    </w:p>
    <w:p>
      <w:pPr>
        <w:spacing w:after="0" w:line="243" w:lineRule="exact"/>
        <w:rPr>
          <w:sz w:val="20"/>
          <w:szCs w:val="20"/>
          <w:color w:val="auto"/>
        </w:rPr>
      </w:pPr>
    </w:p>
    <w:p>
      <w:pPr>
        <w:ind w:left="700" w:hanging="581"/>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688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Partners II, L.P.</w:t>
      </w:r>
    </w:p>
    <w:p>
      <w:pPr>
        <w:spacing w:after="0" w:line="27" w:lineRule="exact"/>
        <w:rPr>
          <w:sz w:val="20"/>
          <w:szCs w:val="20"/>
          <w:color w:val="auto"/>
        </w:rPr>
      </w:pPr>
    </w:p>
    <w:p>
      <w:pPr>
        <w:ind w:left="700" w:hanging="581"/>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900" w:hanging="581"/>
        <w:spacing w:after="0" w:line="391"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2940" w:hanging="327"/>
        <w:spacing w:after="0"/>
        <w:tabs>
          <w:tab w:leader="none" w:pos="2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671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8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80" w:type="dxa"/>
            <w:vAlign w:val="bottom"/>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820" w:hanging="701"/>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8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820" w:hanging="701"/>
        <w:spacing w:after="0"/>
        <w:tabs>
          <w:tab w:leader="none" w:pos="8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820" w:right="5500" w:hanging="701"/>
        <w:spacing w:after="0" w:line="374" w:lineRule="auto"/>
        <w:tabs>
          <w:tab w:leader="none" w:pos="8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820" w:right="7940" w:hanging="701"/>
        <w:spacing w:after="0" w:line="388" w:lineRule="auto"/>
        <w:tabs>
          <w:tab w:leader="none" w:pos="8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right="60" w:hanging="287"/>
        <w:spacing w:after="0" w:line="252" w:lineRule="auto"/>
        <w:tabs>
          <w:tab w:leader="none" w:pos="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0" w:name="page11"/>
    <w:bookmarkEnd w:id="10"/>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25</w:t>
      </w:r>
    </w:p>
    <w:p>
      <w:pPr>
        <w:spacing w:after="0" w:line="243" w:lineRule="exact"/>
        <w:rPr>
          <w:sz w:val="20"/>
          <w:szCs w:val="20"/>
          <w:color w:val="auto"/>
        </w:rPr>
      </w:pPr>
    </w:p>
    <w:p>
      <w:pPr>
        <w:ind w:left="700" w:hanging="581"/>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3369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3369310"/>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Partners GP LLC</w:t>
      </w:r>
    </w:p>
    <w:p>
      <w:pPr>
        <w:spacing w:after="0" w:line="27" w:lineRule="exact"/>
        <w:rPr>
          <w:sz w:val="20"/>
          <w:szCs w:val="20"/>
          <w:color w:val="auto"/>
        </w:rPr>
      </w:pPr>
    </w:p>
    <w:p>
      <w:pPr>
        <w:ind w:left="700" w:hanging="581"/>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880" w:hanging="581"/>
        <w:spacing w:after="0" w:line="391"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2940" w:hanging="327"/>
        <w:spacing w:after="0"/>
        <w:tabs>
          <w:tab w:leader="none" w:pos="2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8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80" w:type="dxa"/>
            <w:vAlign w:val="bottom"/>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820" w:hanging="701"/>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9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820" w:hanging="701"/>
        <w:spacing w:after="0"/>
        <w:tabs>
          <w:tab w:leader="none" w:pos="8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820" w:right="5480" w:hanging="701"/>
        <w:spacing w:after="0" w:line="374" w:lineRule="auto"/>
        <w:tabs>
          <w:tab w:leader="none" w:pos="8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820" w:right="7920" w:hanging="701"/>
        <w:spacing w:after="0" w:line="388" w:lineRule="auto"/>
        <w:tabs>
          <w:tab w:leader="none" w:pos="8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ind w:left="340" w:right="40" w:hanging="287"/>
        <w:spacing w:after="0" w:line="252" w:lineRule="auto"/>
        <w:tabs>
          <w:tab w:leader="none" w:pos="3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25</w:t>
      </w:r>
    </w:p>
    <w:p>
      <w:pPr>
        <w:spacing w:after="0" w:line="243" w:lineRule="exact"/>
        <w:rPr>
          <w:sz w:val="20"/>
          <w:szCs w:val="20"/>
          <w:color w:val="auto"/>
        </w:rPr>
      </w:pPr>
    </w:p>
    <w:p>
      <w:pPr>
        <w:ind w:left="700" w:hanging="581"/>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688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&amp; Co.</w:t>
      </w:r>
    </w:p>
    <w:p>
      <w:pPr>
        <w:spacing w:after="0" w:line="27" w:lineRule="exact"/>
        <w:rPr>
          <w:sz w:val="20"/>
          <w:szCs w:val="20"/>
          <w:color w:val="auto"/>
        </w:rPr>
      </w:pPr>
    </w:p>
    <w:p>
      <w:pPr>
        <w:ind w:left="700" w:hanging="581"/>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900" w:hanging="581"/>
        <w:spacing w:after="0" w:line="391"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spacing w:after="0" w:line="1" w:lineRule="exact"/>
        <w:rPr>
          <w:sz w:val="20"/>
          <w:szCs w:val="20"/>
          <w:color w:val="auto"/>
        </w:rPr>
      </w:pPr>
    </w:p>
    <w:p>
      <w:pPr>
        <w:ind w:left="2940" w:hanging="327"/>
        <w:spacing w:after="0"/>
        <w:tabs>
          <w:tab w:leader="none" w:pos="2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6719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671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6719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671955"/>
                    </a:xfrm>
                    <a:prstGeom prst="rect">
                      <a:avLst/>
                    </a:prstGeom>
                    <a:noFill/>
                  </pic:spPr>
                </pic:pic>
              </a:graphicData>
            </a:graphic>
          </wp:anchor>
        </w:drawing>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40" w:type="dxa"/>
            <w:vAlign w:val="bottom"/>
          </w:tcPr>
          <w:p>
            <w:pPr>
              <w:jc w:val="center"/>
              <w:ind w:right="5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40" w:type="dxa"/>
            <w:vAlign w:val="bottom"/>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4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700" w:hanging="58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9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700" w:hanging="581"/>
        <w:spacing w:after="0"/>
        <w:tabs>
          <w:tab w:leader="none" w:pos="7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7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700" w:right="5620" w:hanging="581"/>
        <w:spacing w:after="0" w:line="374" w:lineRule="auto"/>
        <w:tabs>
          <w:tab w:leader="none" w:pos="7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700" w:right="8060" w:hanging="581"/>
        <w:spacing w:after="0" w:line="383" w:lineRule="auto"/>
        <w:tabs>
          <w:tab w:leader="none" w:pos="7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right="60" w:hanging="287"/>
        <w:spacing w:after="0" w:line="252" w:lineRule="auto"/>
        <w:tabs>
          <w:tab w:leader="none" w:pos="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2" w:name="page13"/>
    <w:bookmarkEnd w:id="12"/>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 of 25</w:t>
      </w:r>
    </w:p>
    <w:p>
      <w:pPr>
        <w:spacing w:after="0" w:line="243" w:lineRule="exact"/>
        <w:rPr>
          <w:sz w:val="20"/>
          <w:szCs w:val="20"/>
          <w:color w:val="auto"/>
        </w:rPr>
      </w:pPr>
    </w:p>
    <w:p>
      <w:pPr>
        <w:ind w:left="700" w:hanging="581"/>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4912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4912360"/>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(Cayman) XI, L.P.</w:t>
      </w:r>
    </w:p>
    <w:p>
      <w:pPr>
        <w:spacing w:after="0" w:line="27" w:lineRule="exact"/>
        <w:rPr>
          <w:sz w:val="20"/>
          <w:szCs w:val="20"/>
          <w:color w:val="auto"/>
        </w:rPr>
      </w:pPr>
    </w:p>
    <w:p>
      <w:pPr>
        <w:ind w:left="700" w:hanging="58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940" w:hanging="244"/>
        <w:spacing w:after="0" w:line="207" w:lineRule="exact"/>
        <w:tabs>
          <w:tab w:leader="none" w:pos="940" w:val="left"/>
        </w:tabs>
        <w:numPr>
          <w:ilvl w:val="1"/>
          <w:numId w:val="5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960" w:hanging="264"/>
        <w:spacing w:after="0" w:line="207" w:lineRule="exact"/>
        <w:tabs>
          <w:tab w:leader="none" w:pos="960" w:val="left"/>
        </w:tabs>
        <w:numPr>
          <w:ilvl w:val="1"/>
          <w:numId w:val="5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700" w:hanging="581"/>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880" w:hanging="581"/>
        <w:spacing w:after="0" w:line="386"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1" w:lineRule="exact"/>
        <w:rPr>
          <w:sz w:val="20"/>
          <w:szCs w:val="20"/>
          <w:color w:val="auto"/>
        </w:rPr>
      </w:pPr>
    </w:p>
    <w:p>
      <w:pPr>
        <w:ind w:left="2820" w:hanging="447"/>
        <w:spacing w:after="0"/>
        <w:tabs>
          <w:tab w:leader="none" w:pos="2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60" w:type="dxa"/>
            <w:vAlign w:val="bottom"/>
          </w:tcPr>
          <w:p>
            <w:pPr>
              <w:jc w:val="center"/>
              <w:ind w:right="39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8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380" w:type="dxa"/>
            <w:vAlign w:val="bottom"/>
          </w:tcPr>
          <w:p>
            <w:pPr>
              <w:spacing w:after="0"/>
              <w:rPr>
                <w:sz w:val="18"/>
                <w:szCs w:val="18"/>
                <w:color w:val="auto"/>
              </w:rPr>
            </w:pPr>
          </w:p>
        </w:tc>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6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60" w:type="dxa"/>
            <w:vAlign w:val="bottom"/>
            <w:vMerge w:val="continue"/>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73,822,952</w:t>
      </w:r>
    </w:p>
    <w:p>
      <w:pPr>
        <w:spacing w:after="0" w:line="27" w:lineRule="exact"/>
        <w:rPr>
          <w:sz w:val="20"/>
          <w:szCs w:val="20"/>
          <w:color w:val="auto"/>
        </w:rPr>
      </w:pPr>
    </w:p>
    <w:p>
      <w:pPr>
        <w:ind w:left="680" w:hanging="56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680" w:hanging="561"/>
        <w:spacing w:after="0" w:line="207" w:lineRule="exact"/>
        <w:tabs>
          <w:tab w:leader="none" w:pos="6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680" w:right="5620" w:hanging="561"/>
        <w:spacing w:after="0" w:line="374" w:lineRule="auto"/>
        <w:tabs>
          <w:tab w:leader="none" w:pos="6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680" w:right="8060" w:hanging="561"/>
        <w:spacing w:after="0" w:line="383" w:lineRule="auto"/>
        <w:tabs>
          <w:tab w:leader="none" w:pos="6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right="40" w:hanging="332"/>
        <w:spacing w:after="0" w:line="25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 of 25</w:t>
      </w:r>
    </w:p>
    <w:p>
      <w:pPr>
        <w:spacing w:after="0" w:line="270" w:lineRule="exact"/>
        <w:rPr>
          <w:sz w:val="20"/>
          <w:szCs w:val="20"/>
          <w:color w:val="auto"/>
        </w:rPr>
      </w:pPr>
    </w:p>
    <w:p>
      <w:pPr>
        <w:ind w:left="680" w:hanging="56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688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Warburg Pincus XI-C, LLC</w:t>
      </w:r>
    </w:p>
    <w:p>
      <w:pPr>
        <w:spacing w:after="0" w:line="27" w:lineRule="exact"/>
        <w:rPr>
          <w:sz w:val="20"/>
          <w:szCs w:val="20"/>
          <w:color w:val="auto"/>
        </w:rPr>
      </w:pPr>
    </w:p>
    <w:p>
      <w:pPr>
        <w:ind w:left="680" w:hanging="56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6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680" w:hanging="56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680" w:right="6900" w:hanging="561"/>
        <w:spacing w:after="0" w:line="391"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2940" w:hanging="327"/>
        <w:spacing w:after="0"/>
        <w:tabs>
          <w:tab w:leader="none" w:pos="2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671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8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80" w:type="dxa"/>
            <w:vAlign w:val="bottom"/>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700" w:hanging="581"/>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8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700" w:hanging="581"/>
        <w:spacing w:after="0"/>
        <w:tabs>
          <w:tab w:leader="none" w:pos="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7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700" w:right="5620" w:hanging="581"/>
        <w:spacing w:after="0" w:line="374" w:lineRule="auto"/>
        <w:tabs>
          <w:tab w:leader="none" w:pos="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700" w:right="8060" w:hanging="581"/>
        <w:spacing w:after="0" w:line="383" w:lineRule="auto"/>
        <w:tabs>
          <w:tab w:leader="none" w:pos="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ind w:left="340" w:right="60" w:hanging="332"/>
        <w:spacing w:after="0" w:line="25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1"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4" w:name="page15"/>
    <w:bookmarkEnd w:id="14"/>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 of 25</w:t>
      </w:r>
    </w:p>
    <w:p>
      <w:pPr>
        <w:spacing w:after="0" w:line="243" w:lineRule="exact"/>
        <w:rPr>
          <w:sz w:val="20"/>
          <w:szCs w:val="20"/>
          <w:color w:val="auto"/>
        </w:rPr>
      </w:pPr>
    </w:p>
    <w:p>
      <w:pPr>
        <w:ind w:left="700" w:hanging="581"/>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689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Partners II (Cayman), L.P.</w:t>
      </w:r>
    </w:p>
    <w:p>
      <w:pPr>
        <w:spacing w:after="0" w:line="27" w:lineRule="exact"/>
        <w:rPr>
          <w:sz w:val="20"/>
          <w:szCs w:val="20"/>
          <w:color w:val="auto"/>
        </w:rPr>
      </w:pPr>
    </w:p>
    <w:p>
      <w:pPr>
        <w:ind w:left="700" w:hanging="581"/>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900" w:hanging="581"/>
        <w:spacing w:after="0" w:line="391"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1" w:lineRule="exact"/>
        <w:rPr>
          <w:sz w:val="20"/>
          <w:szCs w:val="20"/>
          <w:color w:val="auto"/>
        </w:rPr>
      </w:pPr>
    </w:p>
    <w:p>
      <w:pPr>
        <w:ind w:left="2940" w:hanging="327"/>
        <w:spacing w:after="0"/>
        <w:tabs>
          <w:tab w:leader="none" w:pos="2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671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8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80" w:type="dxa"/>
            <w:vAlign w:val="bottom"/>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820" w:hanging="701"/>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9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820" w:hanging="701"/>
        <w:spacing w:after="0"/>
        <w:tabs>
          <w:tab w:leader="none" w:pos="8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820" w:right="5500" w:hanging="701"/>
        <w:spacing w:after="0" w:line="374" w:lineRule="auto"/>
        <w:tabs>
          <w:tab w:leader="none" w:pos="8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820" w:right="7940" w:hanging="701"/>
        <w:spacing w:after="0" w:line="388" w:lineRule="auto"/>
        <w:tabs>
          <w:tab w:leader="none" w:pos="8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right="60" w:hanging="287"/>
        <w:spacing w:after="0" w:line="252" w:lineRule="auto"/>
        <w:tabs>
          <w:tab w:leader="none" w:pos="3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5" w:name="page16"/>
    <w:bookmarkEnd w:id="15"/>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 of 25</w:t>
      </w:r>
    </w:p>
    <w:p>
      <w:pPr>
        <w:spacing w:after="0" w:line="243" w:lineRule="exact"/>
        <w:rPr>
          <w:sz w:val="20"/>
          <w:szCs w:val="20"/>
          <w:color w:val="auto"/>
        </w:rPr>
      </w:pPr>
    </w:p>
    <w:p>
      <w:pPr>
        <w:ind w:left="700" w:hanging="581"/>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688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(Bermuda) Private Equity GP, Ltd.</w:t>
      </w:r>
    </w:p>
    <w:p>
      <w:pPr>
        <w:spacing w:after="0" w:line="27" w:lineRule="exact"/>
        <w:rPr>
          <w:sz w:val="20"/>
          <w:szCs w:val="20"/>
          <w:color w:val="auto"/>
        </w:rPr>
      </w:pPr>
    </w:p>
    <w:p>
      <w:pPr>
        <w:ind w:left="700" w:hanging="581"/>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900" w:hanging="581"/>
        <w:spacing w:after="0" w:line="391" w:lineRule="auto"/>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Bermuda</w:t>
      </w:r>
    </w:p>
    <w:p>
      <w:pPr>
        <w:spacing w:after="0" w:line="1" w:lineRule="exact"/>
        <w:rPr>
          <w:sz w:val="20"/>
          <w:szCs w:val="20"/>
          <w:color w:val="auto"/>
        </w:rPr>
      </w:pPr>
    </w:p>
    <w:p>
      <w:pPr>
        <w:ind w:left="2940" w:hanging="327"/>
        <w:spacing w:after="0"/>
        <w:tabs>
          <w:tab w:leader="none" w:pos="2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671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40" w:type="dxa"/>
            <w:vAlign w:val="bottom"/>
          </w:tcPr>
          <w:p>
            <w:pPr>
              <w:jc w:val="center"/>
              <w:ind w:right="5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40" w:type="dxa"/>
            <w:vAlign w:val="bottom"/>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4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820" w:hanging="701"/>
        <w:spacing w:after="0"/>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8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820" w:hanging="701"/>
        <w:spacing w:after="0"/>
        <w:tabs>
          <w:tab w:leader="none" w:pos="8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820" w:right="5500" w:hanging="701"/>
        <w:spacing w:after="0" w:line="374" w:lineRule="auto"/>
        <w:tabs>
          <w:tab w:leader="none" w:pos="8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820" w:right="7940" w:hanging="701"/>
        <w:spacing w:after="0" w:line="388" w:lineRule="auto"/>
        <w:tabs>
          <w:tab w:leader="none" w:pos="8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ind w:left="340" w:right="60" w:hanging="287"/>
        <w:spacing w:after="0" w:line="252" w:lineRule="auto"/>
        <w:tabs>
          <w:tab w:leader="none" w:pos="3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6" w:name="page17"/>
    <w:bookmarkEnd w:id="16"/>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 of 25</w:t>
      </w:r>
    </w:p>
    <w:p>
      <w:pPr>
        <w:spacing w:after="0" w:line="243" w:lineRule="exact"/>
        <w:rPr>
          <w:sz w:val="20"/>
          <w:szCs w:val="20"/>
          <w:color w:val="auto"/>
        </w:rPr>
      </w:pPr>
    </w:p>
    <w:p>
      <w:pPr>
        <w:ind w:left="700" w:hanging="581"/>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689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Warburg Pincus LLC</w:t>
      </w:r>
    </w:p>
    <w:p>
      <w:pPr>
        <w:spacing w:after="0" w:line="27" w:lineRule="exact"/>
        <w:rPr>
          <w:sz w:val="20"/>
          <w:szCs w:val="20"/>
          <w:color w:val="auto"/>
        </w:rPr>
      </w:pPr>
    </w:p>
    <w:p>
      <w:pPr>
        <w:ind w:left="700" w:hanging="581"/>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7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700" w:hanging="581"/>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00" w:right="6900" w:hanging="581"/>
        <w:spacing w:after="0" w:line="391" w:lineRule="auto"/>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2940" w:hanging="327"/>
        <w:spacing w:after="0"/>
        <w:tabs>
          <w:tab w:leader="none" w:pos="29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-119380</wp:posOffset>
            </wp:positionV>
            <wp:extent cx="8890" cy="1671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-119380</wp:posOffset>
            </wp:positionV>
            <wp:extent cx="8255" cy="1671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671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1671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6713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-119380</wp:posOffset>
            </wp:positionV>
            <wp:extent cx="8255" cy="1671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88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4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123,038,253 (1)</w:t>
            </w:r>
          </w:p>
        </w:tc>
        <w:tc>
          <w:tcPr>
            <w:tcW w:w="0" w:type="dxa"/>
            <w:vAlign w:val="bottom"/>
          </w:tcPr>
          <w:p>
            <w:pPr>
              <w:spacing w:after="0"/>
              <w:rPr>
                <w:sz w:val="1"/>
                <w:szCs w:val="1"/>
                <w:color w:val="auto"/>
              </w:rPr>
            </w:pPr>
          </w:p>
        </w:tc>
      </w:tr>
      <w:tr>
        <w:trPr>
          <w:trHeight w:val="178"/>
        </w:trPr>
        <w:tc>
          <w:tcPr>
            <w:tcW w:w="1880" w:type="dxa"/>
            <w:vAlign w:val="bottom"/>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4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8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73,822,952</w:t>
      </w:r>
    </w:p>
    <w:p>
      <w:pPr>
        <w:spacing w:after="0" w:line="36" w:lineRule="exact"/>
        <w:rPr>
          <w:sz w:val="20"/>
          <w:szCs w:val="20"/>
          <w:color w:val="auto"/>
        </w:rPr>
      </w:pPr>
    </w:p>
    <w:p>
      <w:pPr>
        <w:ind w:left="820" w:hanging="701"/>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688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688465"/>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123,038,253</w:t>
      </w:r>
    </w:p>
    <w:p>
      <w:pPr>
        <w:spacing w:after="0" w:line="27" w:lineRule="exact"/>
        <w:rPr>
          <w:sz w:val="20"/>
          <w:szCs w:val="20"/>
          <w:color w:val="auto"/>
        </w:rPr>
      </w:pPr>
    </w:p>
    <w:p>
      <w:pPr>
        <w:ind w:left="820" w:hanging="701"/>
        <w:spacing w:after="0"/>
        <w:tabs>
          <w:tab w:leader="none" w:pos="8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79"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820" w:right="5500" w:hanging="701"/>
        <w:spacing w:after="0" w:line="374" w:lineRule="auto"/>
        <w:tabs>
          <w:tab w:leader="none" w:pos="8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43.4% (2)</w:t>
      </w:r>
    </w:p>
    <w:p>
      <w:pPr>
        <w:spacing w:after="0" w:line="1" w:lineRule="exact"/>
        <w:rPr>
          <w:rFonts w:ascii="Times New Roman" w:cs="Times New Roman" w:eastAsia="Times New Roman" w:hAnsi="Times New Roman"/>
          <w:sz w:val="18"/>
          <w:szCs w:val="18"/>
          <w:color w:val="auto"/>
        </w:rPr>
      </w:pPr>
    </w:p>
    <w:p>
      <w:pPr>
        <w:ind w:left="820" w:right="7940" w:hanging="701"/>
        <w:spacing w:after="0" w:line="388" w:lineRule="auto"/>
        <w:tabs>
          <w:tab w:leader="none" w:pos="8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ind w:left="340" w:right="60" w:hanging="287"/>
        <w:spacing w:after="0" w:line="252" w:lineRule="auto"/>
        <w:tabs>
          <w:tab w:leader="none" w:pos="3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Amendment No. 2 to Schedule 13G, the WP Investors are party to a Stockholders Agreement with the GTCR Investors and certain other holders of Common Stock of the Issuer. The WP Investors, together with the GTCR Investors, hold an aggregate total of 123,038,253 shares of Common Stock of the Issuer (approximately 43.4% of the outstanding shares of Common Stock of the Issuer), of which 49,215,301 shares of Common Stock are publicly reported as being owned by the GTCR Investors in such entities’ Form 4, filed with the Commission September 9, 2024.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w:t>
      </w:r>
    </w:p>
    <w:p>
      <w:pPr>
        <w:spacing w:after="0" w:line="6"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283,214,342 shares of Common Stock outstanding as of July 29, 2024 as reported on the Issuer’s final prospectus reported on Form 424B7, filed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7" w:name="page18"/>
    <w:bookmarkEnd w:id="17"/>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83601L 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 of 25</w:t>
      </w:r>
    </w:p>
    <w:p>
      <w:pPr>
        <w:spacing w:after="0" w:line="200" w:lineRule="exact"/>
        <w:rPr>
          <w:sz w:val="20"/>
          <w:szCs w:val="20"/>
          <w:color w:val="auto"/>
        </w:rPr>
      </w:pPr>
    </w:p>
    <w:p>
      <w:pPr>
        <w:sectPr>
          <w:pgSz w:w="11900" w:h="16838" w:orient="portrait"/>
          <w:cols w:equalWidth="0" w:num="2">
            <w:col w:w="9520" w:space="720"/>
            <w:col w:w="1000"/>
          </w:cols>
          <w:pgMar w:left="320" w:top="819" w:right="33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81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issuer is Sotera Health Company, a Delaware corporation (the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the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executive offices of the Issuer are located at 9100 South Hills Blvd, Suite 300 Broadview Heights, OH 44147.</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Names of Persons Filing: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2 to Schedule 13G is being filed jointly by 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 The WP XI Funds, Bull Co-Invest, Bull Holdco, WP Global, WPP II, WPP GP LLC, WP XI Cayman GP, WP XI-C LLC, WPP II Cayman, WP Bermuda GP, WP Bull Manager, WP LLC and WP are collectively referred to herein as the "Warburg Pincus Entities."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 The WP XI Funds, Bull Co-Invest, WP XI-C, WP XI LP, WP Global, WPP II, WPP GP LLC, WP Cayman, Warburg Pincus XI-C, WPP II Cayman, Warburg Pincus (Bermuda), WP Bull Manager, WP LLC and WP are collectively referred to herein as the “Warburg Pincus Reporting Persons or WP Investors.”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of each of the Warburg Pincus Reporting Persons is 450 Lexington Avenue, New York, New York 10017.</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83601L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8" w:name="page19"/>
    <w:bookmarkEnd w:id="18"/>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 of 25</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a(n):</w:t>
      </w:r>
    </w:p>
    <w:p>
      <w:pPr>
        <w:spacing w:after="0" w:line="215"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 (15 U.S.C. 78o).</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 (15 U.S.C. 78c).</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 (15 U.S.C. 78c).</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§240.13d-1(b)(1)(ii)(G).</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(13 U.S.C. 1813).</w:t>
      </w:r>
    </w:p>
    <w:p>
      <w:pPr>
        <w:spacing w:after="0" w:line="252" w:lineRule="exact"/>
        <w:rPr>
          <w:rFonts w:ascii="Times New Roman" w:cs="Times New Roman" w:eastAsia="Times New Roman" w:hAnsi="Times New Roman"/>
          <w:sz w:val="18"/>
          <w:szCs w:val="18"/>
          <w:color w:val="auto"/>
        </w:rPr>
      </w:pPr>
    </w:p>
    <w:p>
      <w:pPr>
        <w:ind w:left="660" w:right="120" w:hanging="328"/>
        <w:spacing w:after="0" w:line="245"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(15 U.S.C. 80a-3).</w:t>
      </w:r>
    </w:p>
    <w:p>
      <w:pPr>
        <w:spacing w:after="0" w:line="18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§240. 13d-1(b)(1)(ii)(J).</w:t>
      </w:r>
    </w:p>
    <w:p>
      <w:pPr>
        <w:spacing w:after="0" w:line="252"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§240.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5262880</wp:posOffset>
            </wp:positionH>
            <wp:positionV relativeFrom="paragraph">
              <wp:posOffset>-7620</wp:posOffset>
            </wp:positionV>
            <wp:extent cx="28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 hereto for each Warburg Pincus Reporting Person and is incorporated herein by reference for each such Warburg Pincus Reporting Person.</w:t>
      </w:r>
    </w:p>
    <w:p>
      <w:pPr>
        <w:spacing w:after="0" w:line="16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On November 19, 2020, (i) the Issuer, (ii) Warburg Pincus Private Equity XI, L.P., Warburg Pincus Private Equity XI_B, L.P., Warburg Pincus Private Equity XI-C, L.P., WP XI Partners, L.P.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 aggregate total of 123,038,253 shares of Common Stock of the Issuer (approximately 43.4% of the outstanding shares of Common Stock of the Issuer), including 49,215,301 shares of Common Stock of the Issuer that are publicly reported as being owned by the GTCR Sponsors and 73,822,952 shares of Common Stock of the Issuer that are publicly reported as being owned by the Warburg Pincus Reporting Persons.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 of 25</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total of 49,215,301 shares of Common Stock of the Issuer indicated in this Amendment No. 2 to Schedule 13G as being beneficially owned by the GTCR Sponsors is derived from the GTCR Sponsors’ Form 4, filed with the Commission on September 9, 2024, and is not purported to be an accurate representation of the GTCR Sponsors’ beneficial ownership as of the date of this Amendment No. 2 to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percentages used herein are calculated based on 283,214,342 shares of Common Stock outstanding as of July 29, 2024 as reported on the Issuer’s final prospectus reported on Form 424B7, filed on September 5, 2024.</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than as set forth herein, no other person has the right to receive or the power to direct the receipt of dividends from, or the proceeds from the sale of, in excess of 5% of the total outstanding Common Stock.</w:t>
      </w:r>
    </w:p>
    <w:p>
      <w:pPr>
        <w:spacing w:after="0" w:line="158"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right="200" w:firstLine="8"/>
        <w:spacing w:after="0" w:line="266"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Reporting Persons are making this single, joint filing because they may be deemed to constitute a “group” within the meaning of the Exchange Act. The joint filing agreement among the Warburg Pincus Reporting Persons to file this Amendment No. 2 to Schedule 13G jointly in accordance with Rule 13d-1(k) of the Exchange Act is incorporated by reference as Exhibit 99.1.</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21 of 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594"/>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1" w:name="page22"/>
    <w:bookmarkEnd w:id="21"/>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22 of 25</w:t>
      </w:r>
    </w:p>
    <w:p>
      <w:pPr>
        <w:sectPr>
          <w:pgSz w:w="11900" w:h="16838" w:orient="portrait"/>
          <w:cols w:equalWidth="0" w:num="1">
            <w:col w:w="11240"/>
          </w:cols>
          <w:pgMar w:left="320" w:top="819"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WP XI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(Cayman) XI,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XI-C,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(Cayman),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(Bermuda) Private Equity GP Ltd.,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XI,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594"/>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2" w:name="page23"/>
    <w:bookmarkEnd w:id="22"/>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23 of 25</w:t>
      </w:r>
    </w:p>
    <w:p>
      <w:pPr>
        <w:sectPr>
          <w:pgSz w:w="11900" w:h="16838" w:orient="portrait"/>
          <w:cols w:equalWidth="0" w:num="1">
            <w:col w:w="11240"/>
          </w:cols>
          <w:pgMar w:left="320" w:top="819"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WP GLOBAL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&amp; CO.</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XI-C,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(Cayman),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(Bermuda) Private Equity GP Ltd.,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594"/>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3" w:name="page24"/>
    <w:bookmarkEnd w:id="23"/>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No. 83601L 102</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24 of 25</w:t>
      </w:r>
    </w:p>
    <w:p>
      <w:pPr>
        <w:sectPr>
          <w:pgSz w:w="11900" w:h="16838" w:orient="portrait"/>
          <w:cols w:equalWidth="0" w:num="1">
            <w:col w:w="11240"/>
          </w:cols>
          <w:pgMar w:left="320" w:top="819"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XI-C,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Partners II (Cayman), L.P.,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(Bermuda) Private Equity GP Ltd.,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Warburg Pincus (Bermuda) Private Equity GP Ltd.,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WARBURG PINCUS LLC</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351"/>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26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8"/>
              </w:rPr>
              <w:t xml:space="preserve">Page </w:t>
            </w:r>
            <w:r>
              <w:rPr>
                <w:rFonts w:ascii="Times New Roman" w:cs="Times New Roman" w:eastAsia="Times New Roman" w:hAnsi="Times New Roman"/>
                <w:sz w:val="18"/>
                <w:szCs w:val="18"/>
                <w:b w:val="1"/>
                <w:bCs w:val="1"/>
                <w:color w:val="auto"/>
                <w:w w:val="98"/>
              </w:rPr>
              <w:t>25 of 25</w:t>
            </w:r>
          </w:p>
        </w:tc>
      </w:tr>
      <w:tr>
        <w:trPr>
          <w:trHeight w:val="432"/>
        </w:trPr>
        <w:tc>
          <w:tcPr>
            <w:tcW w:w="900" w:type="dxa"/>
            <w:vAlign w:val="bottom"/>
          </w:tcPr>
          <w:p>
            <w:pPr>
              <w:spacing w:after="0"/>
              <w:rPr>
                <w:sz w:val="24"/>
                <w:szCs w:val="24"/>
                <w:color w:val="auto"/>
              </w:rPr>
            </w:pPr>
          </w:p>
        </w:tc>
        <w:tc>
          <w:tcPr>
            <w:tcW w:w="77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EXHIBIT LIST</w:t>
            </w:r>
          </w:p>
        </w:tc>
        <w:tc>
          <w:tcPr>
            <w:tcW w:w="2640" w:type="dxa"/>
            <w:vAlign w:val="bottom"/>
          </w:tcPr>
          <w:p>
            <w:pPr>
              <w:spacing w:after="0"/>
              <w:rPr>
                <w:sz w:val="24"/>
                <w:szCs w:val="24"/>
                <w:color w:val="auto"/>
              </w:rPr>
            </w:pPr>
          </w:p>
        </w:tc>
      </w:tr>
      <w:tr>
        <w:trPr>
          <w:trHeight w:val="391"/>
        </w:trPr>
        <w:tc>
          <w:tcPr>
            <w:tcW w:w="90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Exhibit 99.1</w:t>
              </w:r>
            </w:hyperlink>
          </w:p>
        </w:tc>
        <w:tc>
          <w:tcPr>
            <w:tcW w:w="7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Agreement of Joint Filing as required by Rule 13d-1(k)(1) under the Act.*</w:t>
            </w:r>
          </w:p>
        </w:tc>
        <w:tc>
          <w:tcPr>
            <w:tcW w:w="2640" w:type="dxa"/>
            <w:vAlign w:val="bottom"/>
          </w:tcPr>
          <w:p>
            <w:pPr>
              <w:spacing w:after="0"/>
              <w:rPr>
                <w:sz w:val="24"/>
                <w:szCs w:val="24"/>
                <w:color w:val="auto"/>
              </w:rPr>
            </w:pPr>
          </w:p>
        </w:tc>
      </w:tr>
    </w:tbl>
    <w:p>
      <w:pPr>
        <w:spacing w:after="0" w:line="225" w:lineRule="exact"/>
        <w:rPr>
          <w:sz w:val="20"/>
          <w:szCs w:val="20"/>
          <w:color w:val="auto"/>
        </w:rPr>
      </w:pPr>
    </w:p>
    <w:p>
      <w:pPr>
        <w:ind w:firstLine="8"/>
        <w:spacing w:after="0" w:line="256" w:lineRule="auto"/>
        <w:tabs>
          <w:tab w:leader="none" w:pos="1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Agreement of Joint Filing by Warburg Pincus Private Equity XI, L.P., Warburg Pincus XI Partners, L.P., Warburg Pincus Private Equity XI-B, L.P., WP XI Partners, L.P., Warburg Pincus Private Equity XI-C, L.P., Bull Co-Invest L.P., Warburg Pincus XI, L.P., WP Global LLC, Warburg Pincus Partners II, L.P., Warburg Pincus Partners GP LLC, Warburg Pincus &amp; Co., Warburg Pincus (Cayman) XI, L.P., Warburg Pincus XI-C, LLC, Warburg Pincus Partners II (Cayman), L.P., Warburg Pincus (Bermuda) Private Equity GP LTD., and Warburg Pincus LLC (“Warburg Pincus Funds”) dated as of February 14, 2022, which was previously filed with the Commission as Exhibit 99.1 to Amendment No. 1 to Schedule 13G filed by the Warburg Pincus Funds on February 14, 2022 with respect to the shares of common stock of Sotera Health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bullet"/>
      <w:start w:val="1"/>
    </w:lvl>
  </w:abstractNum>
  <w:abstractNum w:abstractNumId="4">
    <w:nsid w:val="3DC240FB"/>
    <w:multiLevelType w:val="hybridMultilevel"/>
    <w:lvl w:ilvl="0">
      <w:lvlJc w:val="left"/>
      <w:lvlText w:val="2"/>
      <w:numFmt w:val="bullet"/>
      <w:start w:val="1"/>
    </w:lvl>
  </w:abstractNum>
  <w:abstractNum w:abstractNumId="5">
    <w:nsid w:val="1BA026FA"/>
    <w:multiLevelType w:val="hybridMultilevel"/>
    <w:lvl w:ilvl="0">
      <w:lvlJc w:val="left"/>
      <w:lvlText w:val="4"/>
      <w:numFmt w:val="bullet"/>
      <w:start w:val="1"/>
    </w:lvl>
  </w:abstractNum>
  <w:abstractNum w:abstractNumId="6">
    <w:nsid w:val="79A1DEAA"/>
    <w:multiLevelType w:val="hybridMultilevel"/>
    <w:lvl w:ilvl="0">
      <w:lvlJc w:val="left"/>
      <w:lvlText w:val="5"/>
      <w:numFmt w:val="bullet"/>
      <w:start w:val="1"/>
    </w:lvl>
  </w:abstractNum>
  <w:abstractNum w:abstractNumId="7">
    <w:nsid w:val="75C6C33A"/>
    <w:multiLevelType w:val="hybridMultilevel"/>
    <w:lvl w:ilvl="0">
      <w:lvlJc w:val="left"/>
      <w:lvlText w:val="%1"/>
      <w:numFmt w:val="decimal"/>
      <w:start w:val="1"/>
    </w:lvl>
    <w:lvl w:ilvl="1">
      <w:lvlJc w:val="left"/>
      <w:lvlText w:val="%2"/>
      <w:numFmt w:val="decimal"/>
      <w:start w:val="10"/>
    </w:lvl>
  </w:abstractNum>
  <w:abstractNum w:abstractNumId="8">
    <w:nsid w:val="12E685FB"/>
    <w:multiLevelType w:val="hybridMultilevel"/>
    <w:lvl w:ilvl="0">
      <w:lvlJc w:val="left"/>
      <w:lvlText w:val="(%1)"/>
      <w:numFmt w:val="decimal"/>
      <w:start w:val="1"/>
    </w:lvl>
    <w:lvl w:ilvl="1">
      <w:lvlJc w:val="left"/>
      <w:lvlText w:val="%2"/>
      <w:numFmt w:val="decimal"/>
      <w:start w:val="1"/>
    </w:lvl>
  </w:abstractNum>
  <w:abstractNum w:abstractNumId="9">
    <w:nsid w:val="70C6A529"/>
    <w:multiLevelType w:val="hybridMultilevel"/>
    <w:lvl w:ilvl="0">
      <w:lvlJc w:val="left"/>
      <w:lvlText w:val="%1"/>
      <w:numFmt w:val="decimal"/>
      <w:start w:val="1"/>
    </w:lvl>
    <w:lvl w:ilvl="1">
      <w:lvlJc w:val="left"/>
      <w:lvlText w:val="(%2)"/>
      <w:numFmt w:val="decimal"/>
      <w:start w:val="1"/>
    </w:lvl>
  </w:abstractNum>
  <w:abstractNum w:abstractNumId="10">
    <w:nsid w:val="520EEDD1"/>
    <w:multiLevelType w:val="hybridMultilevel"/>
    <w:lvl w:ilvl="0">
      <w:lvlJc w:val="left"/>
      <w:lvlText w:val="(%1)"/>
      <w:numFmt w:val="decimal"/>
      <w:start w:val="2"/>
    </w:lvl>
    <w:lvl w:ilvl="1">
      <w:lvlJc w:val="left"/>
      <w:lvlText w:val="%2"/>
      <w:numFmt w:val="decimal"/>
      <w:start w:val="1"/>
    </w:lvl>
  </w:abstractNum>
  <w:abstractNum w:abstractNumId="11">
    <w:nsid w:val="374A3FE6"/>
    <w:multiLevelType w:val="hybridMultilevel"/>
    <w:lvl w:ilvl="0">
      <w:lvlJc w:val="left"/>
      <w:lvlText w:val="%1"/>
      <w:numFmt w:val="decimal"/>
      <w:start w:val="1"/>
    </w:lvl>
    <w:lvl w:ilvl="1">
      <w:lvlJc w:val="left"/>
      <w:lvlText w:val="(%2)"/>
      <w:numFmt w:val="decimal"/>
      <w:start w:val="1"/>
    </w:lvl>
  </w:abstractNum>
  <w:abstractNum w:abstractNumId="12">
    <w:nsid w:val="4F4EF005"/>
    <w:multiLevelType w:val="hybridMultilevel"/>
    <w:lvl w:ilvl="0">
      <w:lvlJc w:val="left"/>
      <w:lvlText w:val="(%1)"/>
      <w:numFmt w:val="decimal"/>
      <w:start w:val="2"/>
    </w:lvl>
    <w:lvl w:ilvl="1">
      <w:lvlJc w:val="left"/>
      <w:lvlText w:val="%2"/>
      <w:numFmt w:val="decimal"/>
      <w:start w:val="1"/>
    </w:lvl>
  </w:abstractNum>
  <w:abstractNum w:abstractNumId="13">
    <w:nsid w:val="23F9C13C"/>
    <w:multiLevelType w:val="hybridMultilevel"/>
    <w:lvl w:ilvl="0">
      <w:lvlJc w:val="left"/>
      <w:lvlText w:val="%1"/>
      <w:numFmt w:val="decimal"/>
      <w:start w:val="1"/>
    </w:lvl>
    <w:lvl w:ilvl="1">
      <w:lvlJc w:val="left"/>
      <w:lvlText w:val="(%2)"/>
      <w:numFmt w:val="decimal"/>
      <w:start w:val="1"/>
    </w:lvl>
  </w:abstractNum>
  <w:abstractNum w:abstractNumId="14">
    <w:nsid w:val="649BB77C"/>
    <w:multiLevelType w:val="hybridMultilevel"/>
    <w:lvl w:ilvl="0">
      <w:lvlJc w:val="left"/>
      <w:lvlText w:val="(%1)"/>
      <w:numFmt w:val="decimal"/>
      <w:start w:val="2"/>
    </w:lvl>
    <w:lvl w:ilvl="1">
      <w:lvlJc w:val="left"/>
      <w:lvlText w:val="%2"/>
      <w:numFmt w:val="decimal"/>
      <w:start w:val="1"/>
    </w:lvl>
  </w:abstractNum>
  <w:abstractNum w:abstractNumId="15">
    <w:nsid w:val="275AC794"/>
    <w:multiLevelType w:val="hybridMultilevel"/>
    <w:lvl w:ilvl="0">
      <w:lvlJc w:val="left"/>
      <w:lvlText w:val="%1"/>
      <w:numFmt w:val="decimal"/>
      <w:start w:val="1"/>
    </w:lvl>
    <w:lvl w:ilvl="1">
      <w:lvlJc w:val="left"/>
      <w:lvlText w:val="(%2)"/>
      <w:numFmt w:val="decimal"/>
      <w:start w:val="1"/>
    </w:lvl>
  </w:abstractNum>
  <w:abstractNum w:abstractNumId="16">
    <w:nsid w:val="39386575"/>
    <w:multiLevelType w:val="hybridMultilevel"/>
    <w:lvl w:ilvl="0">
      <w:lvlJc w:val="left"/>
      <w:lvlText w:val="(%1)"/>
      <w:numFmt w:val="decimal"/>
      <w:start w:val="2"/>
    </w:lvl>
    <w:lvl w:ilvl="1">
      <w:lvlJc w:val="left"/>
      <w:lvlText w:val="%2"/>
      <w:numFmt w:val="decimal"/>
      <w:start w:val="1"/>
    </w:lvl>
  </w:abstractNum>
  <w:abstractNum w:abstractNumId="17">
    <w:nsid w:val="1CF10FD8"/>
    <w:multiLevelType w:val="hybridMultilevel"/>
    <w:lvl w:ilvl="0">
      <w:lvlJc w:val="left"/>
      <w:lvlText w:val="%1"/>
      <w:numFmt w:val="decimal"/>
      <w:start w:val="1"/>
    </w:lvl>
    <w:lvl w:ilvl="1">
      <w:lvlJc w:val="left"/>
      <w:lvlText w:val="(%2)"/>
      <w:numFmt w:val="decimal"/>
      <w:start w:val="1"/>
    </w:lvl>
  </w:abstractNum>
  <w:abstractNum w:abstractNumId="18">
    <w:nsid w:val="180115BE"/>
    <w:multiLevelType w:val="hybridMultilevel"/>
    <w:lvl w:ilvl="0">
      <w:lvlJc w:val="left"/>
      <w:lvlText w:val="(%1)"/>
      <w:numFmt w:val="decimal"/>
      <w:start w:val="2"/>
    </w:lvl>
    <w:lvl w:ilvl="1">
      <w:lvlJc w:val="left"/>
      <w:lvlText w:val="%2"/>
      <w:numFmt w:val="decimal"/>
      <w:start w:val="1"/>
    </w:lvl>
  </w:abstractNum>
  <w:abstractNum w:abstractNumId="19">
    <w:nsid w:val="235BA861"/>
    <w:multiLevelType w:val="hybridMultilevel"/>
    <w:lvl w:ilvl="0">
      <w:lvlJc w:val="left"/>
      <w:lvlText w:val="%1"/>
      <w:numFmt w:val="decimal"/>
      <w:start w:val="1"/>
    </w:lvl>
    <w:lvl w:ilvl="1">
      <w:lvlJc w:val="left"/>
      <w:lvlText w:val="(%2)"/>
      <w:numFmt w:val="decimal"/>
      <w:start w:val="1"/>
    </w:lvl>
  </w:abstractNum>
  <w:abstractNum w:abstractNumId="20">
    <w:nsid w:val="47398C89"/>
    <w:multiLevelType w:val="hybridMultilevel"/>
    <w:lvl w:ilvl="0">
      <w:lvlJc w:val="left"/>
      <w:lvlText w:val="(%1)"/>
      <w:numFmt w:val="decimal"/>
      <w:start w:val="2"/>
    </w:lvl>
    <w:lvl w:ilvl="1">
      <w:lvlJc w:val="left"/>
      <w:lvlText w:val="%2"/>
      <w:numFmt w:val="decimal"/>
      <w:start w:val="1"/>
    </w:lvl>
  </w:abstractNum>
  <w:abstractNum w:abstractNumId="21">
    <w:nsid w:val="354FE9F9"/>
    <w:multiLevelType w:val="hybridMultilevel"/>
    <w:lvl w:ilvl="0">
      <w:lvlJc w:val="left"/>
      <w:lvlText w:val="%1"/>
      <w:numFmt w:val="decimal"/>
      <w:start w:val="1"/>
    </w:lvl>
    <w:lvl w:ilvl="1">
      <w:lvlJc w:val="left"/>
      <w:lvlText w:val="(%2)"/>
      <w:numFmt w:val="decimal"/>
      <w:start w:val="1"/>
    </w:lvl>
  </w:abstractNum>
  <w:abstractNum w:abstractNumId="22">
    <w:nsid w:val="15B5AF5C"/>
    <w:multiLevelType w:val="hybridMultilevel"/>
    <w:lvl w:ilvl="0">
      <w:lvlJc w:val="left"/>
      <w:lvlText w:val="(%1)"/>
      <w:numFmt w:val="decimal"/>
      <w:start w:val="2"/>
    </w:lvl>
    <w:lvl w:ilvl="1">
      <w:lvlJc w:val="left"/>
      <w:lvlText w:val="%2"/>
      <w:numFmt w:val="decimal"/>
      <w:start w:val="1"/>
    </w:lvl>
  </w:abstractNum>
  <w:abstractNum w:abstractNumId="23">
    <w:nsid w:val="741226BB"/>
    <w:multiLevelType w:val="hybridMultilevel"/>
    <w:lvl w:ilvl="0">
      <w:lvlJc w:val="left"/>
      <w:lvlText w:val="1"/>
      <w:numFmt w:val="bullet"/>
      <w:start w:val="1"/>
    </w:lvl>
  </w:abstractNum>
  <w:abstractNum w:abstractNumId="24">
    <w:nsid w:val="D34B6A8"/>
    <w:multiLevelType w:val="hybridMultilevel"/>
    <w:lvl w:ilvl="0">
      <w:lvlJc w:val="left"/>
      <w:lvlText w:val="2"/>
      <w:numFmt w:val="bullet"/>
      <w:start w:val="1"/>
    </w:lvl>
  </w:abstractNum>
  <w:abstractNum w:abstractNumId="25">
    <w:nsid w:val="10233C99"/>
    <w:multiLevelType w:val="hybridMultilevel"/>
    <w:lvl w:ilvl="0">
      <w:lvlJc w:val="left"/>
      <w:lvlText w:val="3"/>
      <w:numFmt w:val="bullet"/>
      <w:start w:val="1"/>
    </w:lvl>
  </w:abstractNum>
  <w:abstractNum w:abstractNumId="26">
    <w:nsid w:val="3F6AB60F"/>
    <w:multiLevelType w:val="hybridMultilevel"/>
    <w:lvl w:ilvl="0">
      <w:lvlJc w:val="left"/>
      <w:lvlText w:val="4"/>
      <w:numFmt w:val="bullet"/>
      <w:start w:val="1"/>
    </w:lvl>
  </w:abstractNum>
  <w:abstractNum w:abstractNumId="27">
    <w:nsid w:val="61574095"/>
    <w:multiLevelType w:val="hybridMultilevel"/>
    <w:lvl w:ilvl="0">
      <w:lvlJc w:val="left"/>
      <w:lvlText w:val="5"/>
      <w:numFmt w:val="bullet"/>
      <w:start w:val="1"/>
    </w:lvl>
  </w:abstractNum>
  <w:abstractNum w:abstractNumId="28">
    <w:nsid w:val="7E0C57B1"/>
    <w:multiLevelType w:val="hybridMultilevel"/>
    <w:lvl w:ilvl="0">
      <w:lvlJc w:val="left"/>
      <w:lvlText w:val="9"/>
      <w:numFmt w:val="bullet"/>
      <w:start w:val="1"/>
    </w:lvl>
  </w:abstractNum>
  <w:abstractNum w:abstractNumId="29">
    <w:nsid w:val="77AE35E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0">
    <w:nsid w:val="579BE4F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1">
    <w:nsid w:val="310C50B3"/>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32">
    <w:nsid w:val="5FF87E05"/>
    <w:multiLevelType w:val="hybridMultilevel"/>
    <w:lvl w:ilvl="0">
      <w:lvlJc w:val="left"/>
      <w:lvlText w:val="1"/>
      <w:numFmt w:val="bullet"/>
      <w:start w:val="1"/>
    </w:lvl>
  </w:abstractNum>
  <w:abstractNum w:abstractNumId="33">
    <w:nsid w:val="2F305DEF"/>
    <w:multiLevelType w:val="hybridMultilevel"/>
    <w:lvl w:ilvl="0">
      <w:lvlJc w:val="left"/>
      <w:lvlText w:val="2"/>
      <w:numFmt w:val="bullet"/>
      <w:start w:val="1"/>
    </w:lvl>
  </w:abstractNum>
  <w:abstractNum w:abstractNumId="34">
    <w:nsid w:val="25A70BF7"/>
    <w:multiLevelType w:val="hybridMultilevel"/>
    <w:lvl w:ilvl="0">
      <w:lvlJc w:val="left"/>
      <w:lvlText w:val="3"/>
      <w:numFmt w:val="bullet"/>
      <w:start w:val="1"/>
    </w:lvl>
  </w:abstractNum>
  <w:abstractNum w:abstractNumId="35">
    <w:nsid w:val="1DBABF00"/>
    <w:multiLevelType w:val="hybridMultilevel"/>
    <w:lvl w:ilvl="0">
      <w:lvlJc w:val="left"/>
      <w:lvlText w:val="4"/>
      <w:numFmt w:val="bullet"/>
      <w:start w:val="1"/>
    </w:lvl>
  </w:abstractNum>
  <w:abstractNum w:abstractNumId="36">
    <w:nsid w:val="4AD084E9"/>
    <w:multiLevelType w:val="hybridMultilevel"/>
    <w:lvl w:ilvl="0">
      <w:lvlJc w:val="left"/>
      <w:lvlText w:val="5"/>
      <w:numFmt w:val="bullet"/>
      <w:start w:val="1"/>
    </w:lvl>
  </w:abstractNum>
  <w:abstractNum w:abstractNumId="37">
    <w:nsid w:val="1F48EAA1"/>
    <w:multiLevelType w:val="hybridMultilevel"/>
    <w:lvl w:ilvl="0">
      <w:lvlJc w:val="left"/>
      <w:lvlText w:val="9"/>
      <w:numFmt w:val="bullet"/>
      <w:start w:val="1"/>
    </w:lvl>
  </w:abstractNum>
  <w:abstractNum w:abstractNumId="38">
    <w:nsid w:val="1381823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9">
    <w:nsid w:val="5DB70AE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0">
    <w:nsid w:val="100F8FCA"/>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41">
    <w:nsid w:val="6590700B"/>
    <w:multiLevelType w:val="hybridMultilevel"/>
    <w:lvl w:ilvl="0">
      <w:lvlJc w:val="left"/>
      <w:lvlText w:val="1"/>
      <w:numFmt w:val="bullet"/>
      <w:start w:val="1"/>
    </w:lvl>
  </w:abstractNum>
  <w:abstractNum w:abstractNumId="42">
    <w:nsid w:val="15014ACB"/>
    <w:multiLevelType w:val="hybridMultilevel"/>
    <w:lvl w:ilvl="0">
      <w:lvlJc w:val="left"/>
      <w:lvlText w:val="2"/>
      <w:numFmt w:val="bullet"/>
      <w:start w:val="1"/>
    </w:lvl>
  </w:abstractNum>
  <w:abstractNum w:abstractNumId="43">
    <w:nsid w:val="5F5E7FD0"/>
    <w:multiLevelType w:val="hybridMultilevel"/>
    <w:lvl w:ilvl="0">
      <w:lvlJc w:val="left"/>
      <w:lvlText w:val="3"/>
      <w:numFmt w:val="bullet"/>
      <w:start w:val="1"/>
    </w:lvl>
  </w:abstractNum>
  <w:abstractNum w:abstractNumId="44">
    <w:nsid w:val="98A3148"/>
    <w:multiLevelType w:val="hybridMultilevel"/>
    <w:lvl w:ilvl="0">
      <w:lvlJc w:val="left"/>
      <w:lvlText w:val="4"/>
      <w:numFmt w:val="bullet"/>
      <w:start w:val="1"/>
    </w:lvl>
  </w:abstractNum>
  <w:abstractNum w:abstractNumId="45">
    <w:nsid w:val="799D0247"/>
    <w:multiLevelType w:val="hybridMultilevel"/>
    <w:lvl w:ilvl="0">
      <w:lvlJc w:val="left"/>
      <w:lvlText w:val="5"/>
      <w:numFmt w:val="bullet"/>
      <w:start w:val="1"/>
    </w:lvl>
  </w:abstractNum>
  <w:abstractNum w:abstractNumId="46">
    <w:nsid w:val="6B94764"/>
    <w:multiLevelType w:val="hybridMultilevel"/>
    <w:lvl w:ilvl="0">
      <w:lvlJc w:val="left"/>
      <w:lvlText w:val="9"/>
      <w:numFmt w:val="bullet"/>
      <w:start w:val="1"/>
    </w:lvl>
  </w:abstractNum>
  <w:abstractNum w:abstractNumId="47">
    <w:nsid w:val="42C296B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8">
    <w:nsid w:val="168E121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9">
    <w:nsid w:val="1EBA5D23"/>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50">
    <w:nsid w:val="661E3F1E"/>
    <w:multiLevelType w:val="hybridMultilevel"/>
    <w:lvl w:ilvl="0">
      <w:lvlJc w:val="left"/>
      <w:lvlText w:val="1"/>
      <w:numFmt w:val="bullet"/>
      <w:start w:val="1"/>
    </w:lvl>
  </w:abstractNum>
  <w:abstractNum w:abstractNumId="51">
    <w:nsid w:val="5DC79EA8"/>
    <w:multiLevelType w:val="hybridMultilevel"/>
    <w:lvl w:ilvl="0">
      <w:lvlJc w:val="left"/>
      <w:lvlText w:val="2"/>
      <w:numFmt w:val="bullet"/>
      <w:start w:val="1"/>
    </w:lvl>
    <w:lvl w:ilvl="1">
      <w:lvlJc w:val="left"/>
      <w:lvlText w:val="(%2)"/>
      <w:numFmt w:val="lowerLetter"/>
      <w:start w:val="1"/>
    </w:lvl>
  </w:abstractNum>
  <w:abstractNum w:abstractNumId="52">
    <w:nsid w:val="540A471C"/>
    <w:multiLevelType w:val="hybridMultilevel"/>
    <w:lvl w:ilvl="0">
      <w:lvlJc w:val="left"/>
      <w:lvlText w:val="3"/>
      <w:numFmt w:val="bullet"/>
      <w:start w:val="1"/>
    </w:lvl>
  </w:abstractNum>
  <w:abstractNum w:abstractNumId="53">
    <w:nsid w:val="7BD3EE7B"/>
    <w:multiLevelType w:val="hybridMultilevel"/>
    <w:lvl w:ilvl="0">
      <w:lvlJc w:val="left"/>
      <w:lvlText w:val="4"/>
      <w:numFmt w:val="bullet"/>
      <w:start w:val="1"/>
    </w:lvl>
  </w:abstractNum>
  <w:abstractNum w:abstractNumId="54">
    <w:nsid w:val="51D9C564"/>
    <w:multiLevelType w:val="hybridMultilevel"/>
    <w:lvl w:ilvl="0">
      <w:lvlJc w:val="left"/>
      <w:lvlText w:val="5"/>
      <w:numFmt w:val="bullet"/>
      <w:start w:val="1"/>
    </w:lvl>
  </w:abstractNum>
  <w:abstractNum w:abstractNumId="55">
    <w:nsid w:val="613EFDC5"/>
    <w:multiLevelType w:val="hybridMultilevel"/>
    <w:lvl w:ilvl="0">
      <w:lvlJc w:val="left"/>
      <w:lvlText w:val="9"/>
      <w:numFmt w:val="bullet"/>
      <w:start w:val="1"/>
    </w:lvl>
  </w:abstractNum>
  <w:abstractNum w:abstractNumId="56">
    <w:nsid w:val="BF72B14"/>
    <w:multiLevelType w:val="hybridMultilevel"/>
    <w:lvl w:ilvl="0">
      <w:lvlJc w:val="left"/>
      <w:lvlText w:val="%1"/>
      <w:numFmt w:val="decimal"/>
      <w:start w:val="1"/>
    </w:lvl>
    <w:lvl w:ilvl="1">
      <w:lvlJc w:val="left"/>
      <w:lvlText w:val="%2"/>
      <w:numFmt w:val="decimal"/>
      <w:start w:val="10"/>
    </w:lvl>
  </w:abstractNum>
  <w:abstractNum w:abstractNumId="57">
    <w:nsid w:val="11447B73"/>
    <w:multiLevelType w:val="hybridMultilevel"/>
    <w:lvl w:ilvl="0">
      <w:lvlJc w:val="left"/>
      <w:lvlText w:val="(%1)"/>
      <w:numFmt w:val="decimal"/>
      <w:start w:val="1"/>
    </w:lvl>
    <w:lvl w:ilvl="1">
      <w:lvlJc w:val="left"/>
      <w:lvlText w:val="%2"/>
      <w:numFmt w:val="decimal"/>
      <w:start w:val="1"/>
    </w:lvl>
  </w:abstractNum>
  <w:abstractNum w:abstractNumId="58">
    <w:nsid w:val="42963E5A"/>
    <w:multiLevelType w:val="hybridMultilevel"/>
    <w:lvl w:ilvl="0">
      <w:lvlJc w:val="left"/>
      <w:lvlText w:val="1"/>
      <w:numFmt w:val="bullet"/>
      <w:start w:val="1"/>
    </w:lvl>
  </w:abstractNum>
  <w:abstractNum w:abstractNumId="59">
    <w:nsid w:val="A0382C5"/>
    <w:multiLevelType w:val="hybridMultilevel"/>
    <w:lvl w:ilvl="0">
      <w:lvlJc w:val="left"/>
      <w:lvlText w:val="2"/>
      <w:numFmt w:val="bullet"/>
      <w:start w:val="1"/>
    </w:lvl>
  </w:abstractNum>
  <w:abstractNum w:abstractNumId="60">
    <w:nsid w:val="8F2B15E"/>
    <w:multiLevelType w:val="hybridMultilevel"/>
    <w:lvl w:ilvl="0">
      <w:lvlJc w:val="left"/>
      <w:lvlText w:val="3"/>
      <w:numFmt w:val="bullet"/>
      <w:start w:val="1"/>
    </w:lvl>
  </w:abstractNum>
  <w:abstractNum w:abstractNumId="61">
    <w:nsid w:val="1A32234B"/>
    <w:multiLevelType w:val="hybridMultilevel"/>
    <w:lvl w:ilvl="0">
      <w:lvlJc w:val="left"/>
      <w:lvlText w:val="4"/>
      <w:numFmt w:val="bullet"/>
      <w:start w:val="1"/>
    </w:lvl>
  </w:abstractNum>
  <w:abstractNum w:abstractNumId="62">
    <w:nsid w:val="3B0FD379"/>
    <w:multiLevelType w:val="hybridMultilevel"/>
    <w:lvl w:ilvl="0">
      <w:lvlJc w:val="left"/>
      <w:lvlText w:val="5"/>
      <w:numFmt w:val="bullet"/>
      <w:start w:val="1"/>
    </w:lvl>
  </w:abstractNum>
  <w:abstractNum w:abstractNumId="63">
    <w:nsid w:val="68EB2F63"/>
    <w:multiLevelType w:val="hybridMultilevel"/>
    <w:lvl w:ilvl="0">
      <w:lvlJc w:val="left"/>
      <w:lvlText w:val="9"/>
      <w:numFmt w:val="bullet"/>
      <w:start w:val="1"/>
    </w:lvl>
  </w:abstractNum>
  <w:abstractNum w:abstractNumId="64">
    <w:nsid w:val="4962813B"/>
    <w:multiLevelType w:val="hybridMultilevel"/>
    <w:lvl w:ilvl="0">
      <w:lvlJc w:val="left"/>
      <w:lvlText w:val="%1"/>
      <w:numFmt w:val="decimal"/>
      <w:start w:val="1"/>
    </w:lvl>
    <w:lvl w:ilvl="1">
      <w:lvlJc w:val="left"/>
      <w:lvlText w:val="%2"/>
      <w:numFmt w:val="decimal"/>
      <w:start w:val="10"/>
    </w:lvl>
  </w:abstractNum>
  <w:abstractNum w:abstractNumId="65">
    <w:nsid w:val="60B6DF70"/>
    <w:multiLevelType w:val="hybridMultilevel"/>
    <w:lvl w:ilvl="0">
      <w:lvlJc w:val="left"/>
      <w:lvlText w:val="(%1)"/>
      <w:numFmt w:val="decimal"/>
      <w:start w:val="1"/>
    </w:lvl>
    <w:lvl w:ilvl="1">
      <w:lvlJc w:val="left"/>
      <w:lvlText w:val="%2"/>
      <w:numFmt w:val="decimal"/>
      <w:start w:val="1"/>
    </w:lvl>
  </w:abstractNum>
  <w:abstractNum w:abstractNumId="66">
    <w:nsid w:val="6A5EE64"/>
    <w:multiLevelType w:val="hybridMultilevel"/>
    <w:lvl w:ilvl="0">
      <w:lvlJc w:val="left"/>
      <w:lvlText w:val="1"/>
      <w:numFmt w:val="bullet"/>
      <w:start w:val="1"/>
    </w:lvl>
  </w:abstractNum>
  <w:abstractNum w:abstractNumId="67">
    <w:nsid w:val="14330624"/>
    <w:multiLevelType w:val="hybridMultilevel"/>
    <w:lvl w:ilvl="0">
      <w:lvlJc w:val="left"/>
      <w:lvlText w:val="2"/>
      <w:numFmt w:val="bullet"/>
      <w:start w:val="1"/>
    </w:lvl>
  </w:abstractNum>
  <w:abstractNum w:abstractNumId="68">
    <w:nsid w:val="7FFFCA11"/>
    <w:multiLevelType w:val="hybridMultilevel"/>
    <w:lvl w:ilvl="0">
      <w:lvlJc w:val="left"/>
      <w:lvlText w:val="3"/>
      <w:numFmt w:val="bullet"/>
      <w:start w:val="1"/>
    </w:lvl>
  </w:abstractNum>
  <w:abstractNum w:abstractNumId="69">
    <w:nsid w:val="1A27709E"/>
    <w:multiLevelType w:val="hybridMultilevel"/>
    <w:lvl w:ilvl="0">
      <w:lvlJc w:val="left"/>
      <w:lvlText w:val="4"/>
      <w:numFmt w:val="bullet"/>
      <w:start w:val="1"/>
    </w:lvl>
  </w:abstractNum>
  <w:abstractNum w:abstractNumId="70">
    <w:nsid w:val="71EA1109"/>
    <w:multiLevelType w:val="hybridMultilevel"/>
    <w:lvl w:ilvl="0">
      <w:lvlJc w:val="left"/>
      <w:lvlText w:val="5"/>
      <w:numFmt w:val="bullet"/>
      <w:start w:val="1"/>
    </w:lvl>
  </w:abstractNum>
  <w:abstractNum w:abstractNumId="71">
    <w:nsid w:val="100F59DC"/>
    <w:multiLevelType w:val="hybridMultilevel"/>
    <w:lvl w:ilvl="0">
      <w:lvlJc w:val="left"/>
      <w:lvlText w:val="9"/>
      <w:numFmt w:val="bullet"/>
      <w:start w:val="1"/>
    </w:lvl>
  </w:abstractNum>
  <w:abstractNum w:abstractNumId="72">
    <w:nsid w:val="7FB7E0A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3">
    <w:nsid w:val="6EB5B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4">
    <w:nsid w:val="6F6DD9AC"/>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75">
    <w:nsid w:val="94211F2"/>
    <w:multiLevelType w:val="hybridMultilevel"/>
    <w:lvl w:ilvl="0">
      <w:lvlJc w:val="left"/>
      <w:lvlText w:val="1"/>
      <w:numFmt w:val="bullet"/>
      <w:start w:val="1"/>
    </w:lvl>
  </w:abstractNum>
  <w:abstractNum w:abstractNumId="76">
    <w:nsid w:val="885E1B"/>
    <w:multiLevelType w:val="hybridMultilevel"/>
    <w:lvl w:ilvl="0">
      <w:lvlJc w:val="left"/>
      <w:lvlText w:val="2"/>
      <w:numFmt w:val="bullet"/>
      <w:start w:val="1"/>
    </w:lvl>
  </w:abstractNum>
  <w:abstractNum w:abstractNumId="77">
    <w:nsid w:val="76272110"/>
    <w:multiLevelType w:val="hybridMultilevel"/>
    <w:lvl w:ilvl="0">
      <w:lvlJc w:val="left"/>
      <w:lvlText w:val="3"/>
      <w:numFmt w:val="bullet"/>
      <w:start w:val="1"/>
    </w:lvl>
  </w:abstractNum>
  <w:abstractNum w:abstractNumId="78">
    <w:nsid w:val="4C04A8AF"/>
    <w:multiLevelType w:val="hybridMultilevel"/>
    <w:lvl w:ilvl="0">
      <w:lvlJc w:val="left"/>
      <w:lvlText w:val="4"/>
      <w:numFmt w:val="bullet"/>
      <w:start w:val="1"/>
    </w:lvl>
  </w:abstractNum>
  <w:abstractNum w:abstractNumId="79">
    <w:nsid w:val="1716703B"/>
    <w:multiLevelType w:val="hybridMultilevel"/>
    <w:lvl w:ilvl="0">
      <w:lvlJc w:val="left"/>
      <w:lvlText w:val="5"/>
      <w:numFmt w:val="bullet"/>
      <w:start w:val="1"/>
    </w:lvl>
  </w:abstractNum>
  <w:abstractNum w:abstractNumId="80">
    <w:nsid w:val="14E17E33"/>
    <w:multiLevelType w:val="hybridMultilevel"/>
    <w:lvl w:ilvl="0">
      <w:lvlJc w:val="left"/>
      <w:lvlText w:val="9"/>
      <w:numFmt w:val="bullet"/>
      <w:start w:val="1"/>
    </w:lvl>
  </w:abstractNum>
  <w:abstractNum w:abstractNumId="81">
    <w:nsid w:val="3222E7C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2">
    <w:nsid w:val="74DE0E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3">
    <w:nsid w:val="68EBC550"/>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84">
    <w:nsid w:val="2DF6D648"/>
    <w:multiLevelType w:val="hybridMultilevel"/>
    <w:lvl w:ilvl="0">
      <w:lvlJc w:val="left"/>
      <w:lvlText w:val="1"/>
      <w:numFmt w:val="bullet"/>
      <w:start w:val="1"/>
    </w:lvl>
  </w:abstractNum>
  <w:abstractNum w:abstractNumId="85">
    <w:nsid w:val="46B7D447"/>
    <w:multiLevelType w:val="hybridMultilevel"/>
    <w:lvl w:ilvl="0">
      <w:lvlJc w:val="left"/>
      <w:lvlText w:val="2"/>
      <w:numFmt w:val="bullet"/>
      <w:start w:val="1"/>
    </w:lvl>
  </w:abstractNum>
  <w:abstractNum w:abstractNumId="86">
    <w:nsid w:val="4A2AC315"/>
    <w:multiLevelType w:val="hybridMultilevel"/>
    <w:lvl w:ilvl="0">
      <w:lvlJc w:val="left"/>
      <w:lvlText w:val="3"/>
      <w:numFmt w:val="bullet"/>
      <w:start w:val="1"/>
    </w:lvl>
  </w:abstractNum>
  <w:abstractNum w:abstractNumId="87">
    <w:nsid w:val="39EE015C"/>
    <w:multiLevelType w:val="hybridMultilevel"/>
    <w:lvl w:ilvl="0">
      <w:lvlJc w:val="left"/>
      <w:lvlText w:val="4"/>
      <w:numFmt w:val="bullet"/>
      <w:start w:val="1"/>
    </w:lvl>
  </w:abstractNum>
  <w:abstractNum w:abstractNumId="88">
    <w:nsid w:val="57FC4FBB"/>
    <w:multiLevelType w:val="hybridMultilevel"/>
    <w:lvl w:ilvl="0">
      <w:lvlJc w:val="left"/>
      <w:lvlText w:val="5"/>
      <w:numFmt w:val="bullet"/>
      <w:start w:val="1"/>
    </w:lvl>
  </w:abstractNum>
  <w:abstractNum w:abstractNumId="89">
    <w:nsid w:val="CC1016F"/>
    <w:multiLevelType w:val="hybridMultilevel"/>
    <w:lvl w:ilvl="0">
      <w:lvlJc w:val="left"/>
      <w:lvlText w:val="9"/>
      <w:numFmt w:val="bullet"/>
      <w:start w:val="1"/>
    </w:lvl>
  </w:abstractNum>
  <w:abstractNum w:abstractNumId="90">
    <w:nsid w:val="43F1842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1">
    <w:nsid w:val="60EF011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2">
    <w:nsid w:val="26F324BA"/>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4" Type="http://schemas.openxmlformats.org/officeDocument/2006/relationships/hyperlink" Target="http://www.sec.gov/Archives/edgar/data/0001822479/000119312522042088/d27597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2024-11-14T16:15:18Z</dcterms:created>
  <dcterms:modified xsi:type="dcterms:W3CDTF">2024-11-14T16:15:18Z</dcterms:modified>
</cp:coreProperties>
</file>