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November 17,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Chris Edwards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Sotera Health Company</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u w:val="single" w:color="auto"/>
          <w:color w:val="auto"/>
        </w:rPr>
        <w:t>Registration Statement on Form S-1 (File No. 333-249648)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Edwards:</w:t>
      </w:r>
    </w:p>
    <w:p>
      <w:pPr>
        <w:spacing w:after="0" w:line="117" w:lineRule="exact"/>
        <w:rPr>
          <w:sz w:val="24"/>
          <w:szCs w:val="24"/>
          <w:color w:val="auto"/>
        </w:rPr>
      </w:pPr>
    </w:p>
    <w:p>
      <w:pPr>
        <w:ind w:right="120" w:firstLine="440"/>
        <w:spacing w:after="0" w:line="259" w:lineRule="auto"/>
        <w:rPr>
          <w:sz w:val="20"/>
          <w:szCs w:val="20"/>
          <w:color w:val="auto"/>
        </w:rPr>
      </w:pPr>
      <w:r>
        <w:rPr>
          <w:rFonts w:ascii="Arial" w:cs="Arial" w:eastAsia="Arial" w:hAnsi="Arial"/>
          <w:sz w:val="18"/>
          <w:szCs w:val="18"/>
          <w:color w:val="auto"/>
        </w:rPr>
        <w:t>Pursuant to Rule 461 under the Securities Act of 1933, as amended,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effectiveness of the above-referenced Registration Statement on Form S-1, as amended, be accelerated so that it will be declared effective by 4:00 p.m., Eastern Time, on November 19,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or as soon as possible thereafter. We ask, however, that the Registration Statement not be declared effective until you speak to our counsel on the Effective Date.</w:t>
      </w:r>
    </w:p>
    <w:p>
      <w:pPr>
        <w:spacing w:after="0" w:line="187" w:lineRule="exact"/>
        <w:rPr>
          <w:sz w:val="24"/>
          <w:szCs w:val="24"/>
          <w:color w:val="auto"/>
        </w:rPr>
      </w:pPr>
    </w:p>
    <w:p>
      <w:pPr>
        <w:ind w:right="720" w:firstLine="440"/>
        <w:spacing w:after="0" w:line="308" w:lineRule="auto"/>
        <w:rPr>
          <w:sz w:val="20"/>
          <w:szCs w:val="20"/>
          <w:color w:val="auto"/>
        </w:rPr>
      </w:pPr>
      <w:r>
        <w:rPr>
          <w:rFonts w:ascii="Arial" w:cs="Arial" w:eastAsia="Arial" w:hAnsi="Arial"/>
          <w:sz w:val="17"/>
          <w:szCs w:val="17"/>
          <w:color w:val="auto"/>
        </w:rPr>
        <w:t>Please contact David Lopez of Cleary Gottlieb Steen &amp; Hamilton LLP, counsel to the Company, at (212) 225 2632, prior to declaring the Registration Statement effective on the Effective Date, or if you have any other questions or concerns regarding this matter.</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20"/>
          </w:cols>
          <w:pgMar w:left="440" w:top="233"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 of 2</w:t>
      </w:r>
    </w:p>
    <w:p>
      <w:pPr>
        <w:spacing w:after="0" w:line="38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/s/ Matthew J. Klaben</w:t>
      </w:r>
    </w:p>
    <w:p>
      <w:pPr>
        <w:spacing w:after="0" w:line="4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Matthew J. Klaben</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444" w:right="8519" w:hanging="444"/>
        <w:spacing w:after="0" w:line="287"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Tracie Mariner Sasha Parikh Dorrie Yale</w:t>
      </w:r>
    </w:p>
    <w:p>
      <w:pPr>
        <w:spacing w:after="0" w:line="2" w:lineRule="exact"/>
        <w:rPr>
          <w:rFonts w:ascii="Arial" w:cs="Arial" w:eastAsia="Arial" w:hAnsi="Arial"/>
          <w:sz w:val="16"/>
          <w:szCs w:val="16"/>
          <w:color w:val="auto"/>
        </w:rPr>
      </w:pPr>
    </w:p>
    <w:p>
      <w:pPr>
        <w:ind w:left="984"/>
        <w:spacing w:after="0"/>
        <w:rPr>
          <w:rFonts w:ascii="Arial" w:cs="Arial" w:eastAsia="Arial" w:hAnsi="Arial"/>
          <w:sz w:val="16"/>
          <w:szCs w:val="16"/>
          <w:color w:val="auto"/>
        </w:rPr>
      </w:pPr>
      <w:r>
        <w:rPr>
          <w:rFonts w:ascii="Arial" w:cs="Arial" w:eastAsia="Arial" w:hAnsi="Arial"/>
          <w:sz w:val="18"/>
          <w:szCs w:val="18"/>
          <w:color w:val="auto"/>
        </w:rPr>
        <w:t>Securities and Exchange Commission</w:t>
      </w:r>
    </w:p>
    <w:p>
      <w:pPr>
        <w:spacing w:after="0" w:line="210"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David Lopez</w:t>
      </w:r>
    </w:p>
    <w:p>
      <w:pPr>
        <w:spacing w:after="0" w:line="23" w:lineRule="exact"/>
        <w:rPr>
          <w:rFonts w:ascii="Arial" w:cs="Arial" w:eastAsia="Arial" w:hAnsi="Arial"/>
          <w:sz w:val="16"/>
          <w:szCs w:val="16"/>
          <w:color w:val="auto"/>
        </w:rPr>
      </w:pPr>
    </w:p>
    <w:p>
      <w:pPr>
        <w:ind w:left="984"/>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p>
      <w:pPr>
        <w:spacing w:after="0" w:line="210" w:lineRule="exact"/>
        <w:rPr>
          <w:rFonts w:ascii="Arial" w:cs="Arial" w:eastAsia="Arial" w:hAnsi="Arial"/>
          <w:sz w:val="16"/>
          <w:szCs w:val="16"/>
          <w:color w:val="auto"/>
        </w:rPr>
      </w:pPr>
    </w:p>
    <w:p>
      <w:pPr>
        <w:ind w:left="444" w:right="8139"/>
        <w:spacing w:after="0" w:line="291" w:lineRule="auto"/>
        <w:rPr>
          <w:rFonts w:ascii="Arial" w:cs="Arial" w:eastAsia="Arial" w:hAnsi="Arial"/>
          <w:sz w:val="16"/>
          <w:szCs w:val="16"/>
          <w:color w:val="auto"/>
        </w:rPr>
      </w:pPr>
      <w:r>
        <w:rPr>
          <w:rFonts w:ascii="Arial" w:cs="Arial" w:eastAsia="Arial" w:hAnsi="Arial"/>
          <w:sz w:val="16"/>
          <w:szCs w:val="16"/>
          <w:color w:val="auto"/>
        </w:rPr>
        <w:t>Arthur D. Robinson John C. Ericson</w:t>
      </w:r>
    </w:p>
    <w:p>
      <w:pPr>
        <w:ind w:left="984"/>
        <w:spacing w:after="0"/>
        <w:rPr>
          <w:rFonts w:ascii="Arial" w:cs="Arial" w:eastAsia="Arial" w:hAnsi="Arial"/>
          <w:sz w:val="16"/>
          <w:szCs w:val="16"/>
          <w:color w:val="auto"/>
        </w:rPr>
      </w:pPr>
      <w:r>
        <w:rPr>
          <w:rFonts w:ascii="Arial" w:cs="Arial" w:eastAsia="Arial" w:hAnsi="Arial"/>
          <w:sz w:val="18"/>
          <w:szCs w:val="18"/>
          <w:color w:val="auto"/>
        </w:rPr>
        <w:t>Simpson Thacher &amp; Bartlett LLP</w:t>
      </w:r>
    </w:p>
    <w:p>
      <w:pPr>
        <w:spacing w:after="0" w:line="143"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2020-12-21T23:06:56Z</dcterms:created>
  <dcterms:modified xsi:type="dcterms:W3CDTF">2020-12-21T23:06:56Z</dcterms:modified>
</cp:coreProperties>
</file>