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27, 2025</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February 27, 2025, Sotera Health Company (the “Company”) issued a press release (the “Press Release”) announcing its financial results for the quarter and year ended December 31, 2024. The Company will hold its previously announced conference call on February 27, 2025, at 9:00 a.m. Eastern Time to discuss its financial results and full-year 2025 outlook. A copy of the Press Release is attached to this Current Report on Form 8-K as Exhibit 99.1 and is incorporated herein by reference.</w:t>
      </w:r>
    </w:p>
    <w:p>
      <w:pPr>
        <w:spacing w:after="0" w:line="13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700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February 27, 2025</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top w:val="single" w:sz="8" w:color="0000FF"/>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Calibri" w:cs="Calibri" w:eastAsia="Calibri" w:hAnsi="Calibri"/>
          <w:sz w:val="29"/>
          <w:szCs w:val="29"/>
          <w:b w:val="1"/>
          <w:bCs w:val="1"/>
          <w:color w:val="auto"/>
        </w:rPr>
        <w:t>Sotera Health Reports Fourth-Quarter and Full-Year 2024 Results;</w:t>
      </w:r>
    </w:p>
    <w:p>
      <w:pPr>
        <w:jc w:val="center"/>
        <w:ind w:right="-19"/>
        <w:spacing w:after="0" w:line="237" w:lineRule="auto"/>
        <w:rPr>
          <w:sz w:val="20"/>
          <w:szCs w:val="20"/>
          <w:color w:val="auto"/>
        </w:rPr>
      </w:pPr>
      <w:r>
        <w:rPr>
          <w:rFonts w:ascii="Calibri" w:cs="Calibri" w:eastAsia="Calibri" w:hAnsi="Calibri"/>
          <w:sz w:val="29"/>
          <w:szCs w:val="29"/>
          <w:b w:val="1"/>
          <w:bCs w:val="1"/>
          <w:color w:val="auto"/>
        </w:rPr>
        <w:t>Provides 2025 Outlook</w:t>
      </w:r>
    </w:p>
    <w:p>
      <w:pPr>
        <w:spacing w:after="0" w:line="214" w:lineRule="exact"/>
        <w:rPr>
          <w:sz w:val="20"/>
          <w:szCs w:val="20"/>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2024 net revenues increased 4.9% to $1.10 billion, compared to 2023; or 5.4% on a constant currency basis</w:t>
      </w:r>
    </w:p>
    <w:p>
      <w:pPr>
        <w:spacing w:after="0" w:line="57" w:lineRule="exact"/>
        <w:rPr>
          <w:rFonts w:ascii="Calibri" w:cs="Calibri" w:eastAsia="Calibri" w:hAnsi="Calibri"/>
          <w:sz w:val="22"/>
          <w:szCs w:val="22"/>
          <w:b w:val="1"/>
          <w:bCs w:val="1"/>
          <w:i w:val="1"/>
          <w:iCs w:val="1"/>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2024 net income of $44 million or $0.16 per diluted share, compared to 2023</w:t>
      </w:r>
    </w:p>
    <w:p>
      <w:pPr>
        <w:spacing w:after="0" w:line="52" w:lineRule="exact"/>
        <w:rPr>
          <w:rFonts w:ascii="Calibri" w:cs="Calibri" w:eastAsia="Calibri" w:hAnsi="Calibri"/>
          <w:sz w:val="22"/>
          <w:szCs w:val="22"/>
          <w:b w:val="1"/>
          <w:bCs w:val="1"/>
          <w:i w:val="1"/>
          <w:iCs w:val="1"/>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2024 Adjusted EBITDA</w:t>
      </w:r>
      <w:r>
        <w:rPr>
          <w:rFonts w:ascii="Calibri" w:cs="Calibri" w:eastAsia="Calibri" w:hAnsi="Calibri"/>
          <w:sz w:val="28"/>
          <w:szCs w:val="28"/>
          <w:b w:val="1"/>
          <w:bCs w:val="1"/>
          <w:i w:val="1"/>
          <w:iCs w:val="1"/>
          <w:color w:val="auto"/>
          <w:vertAlign w:val="superscript"/>
        </w:rPr>
        <w:t>(1)</w:t>
      </w:r>
      <w:r>
        <w:rPr>
          <w:rFonts w:ascii="Calibri" w:cs="Calibri" w:eastAsia="Calibri" w:hAnsi="Calibri"/>
          <w:sz w:val="22"/>
          <w:szCs w:val="22"/>
          <w:b w:val="1"/>
          <w:bCs w:val="1"/>
          <w:i w:val="1"/>
          <w:iCs w:val="1"/>
          <w:color w:val="auto"/>
        </w:rPr>
        <w:t xml:space="preserve"> increased 3.9% to $549 million, compared to 2023; or 4.6% on a constant currency basis</w:t>
      </w:r>
    </w:p>
    <w:p>
      <w:pPr>
        <w:ind w:left="660" w:hanging="328"/>
        <w:spacing w:after="0" w:line="227"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2024 Adjusted EPS</w:t>
      </w:r>
      <w:r>
        <w:rPr>
          <w:rFonts w:ascii="Calibri" w:cs="Calibri" w:eastAsia="Calibri" w:hAnsi="Calibri"/>
          <w:sz w:val="28"/>
          <w:szCs w:val="28"/>
          <w:b w:val="1"/>
          <w:bCs w:val="1"/>
          <w:i w:val="1"/>
          <w:iCs w:val="1"/>
          <w:color w:val="auto"/>
          <w:vertAlign w:val="superscript"/>
        </w:rPr>
        <w:t>(1)</w:t>
      </w:r>
      <w:r>
        <w:rPr>
          <w:rFonts w:ascii="Calibri" w:cs="Calibri" w:eastAsia="Calibri" w:hAnsi="Calibri"/>
          <w:sz w:val="22"/>
          <w:szCs w:val="22"/>
          <w:b w:val="1"/>
          <w:bCs w:val="1"/>
          <w:i w:val="1"/>
          <w:iCs w:val="1"/>
          <w:color w:val="auto"/>
        </w:rPr>
        <w:t xml:space="preserve"> of $0.70, a decrease of $0.02 per diluted share, compared to 2023</w:t>
      </w:r>
    </w:p>
    <w:p>
      <w:pPr>
        <w:spacing w:after="0" w:line="23" w:lineRule="exact"/>
        <w:rPr>
          <w:rFonts w:ascii="Calibri" w:cs="Calibri" w:eastAsia="Calibri" w:hAnsi="Calibri"/>
          <w:sz w:val="22"/>
          <w:szCs w:val="22"/>
          <w:b w:val="1"/>
          <w:bCs w:val="1"/>
          <w:i w:val="1"/>
          <w:iCs w:val="1"/>
          <w:color w:val="auto"/>
        </w:rPr>
      </w:pPr>
    </w:p>
    <w:p>
      <w:pPr>
        <w:ind w:left="660" w:right="70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Full-year 2025 outlook of 4.0% - 6.0% net revenues growth and 4.5% - 6.5% Adjusted EBITDA growth, both on a constant currency basis</w:t>
      </w:r>
    </w:p>
    <w:p>
      <w:pPr>
        <w:spacing w:after="0" w:line="221" w:lineRule="exact"/>
        <w:rPr>
          <w:sz w:val="20"/>
          <w:szCs w:val="20"/>
          <w:color w:val="auto"/>
        </w:rPr>
      </w:pPr>
    </w:p>
    <w:p>
      <w:pPr>
        <w:ind w:right="560"/>
        <w:spacing w:after="0" w:line="231" w:lineRule="auto"/>
        <w:rPr>
          <w:sz w:val="20"/>
          <w:szCs w:val="20"/>
          <w:color w:val="auto"/>
        </w:rPr>
      </w:pPr>
      <w:r>
        <w:rPr>
          <w:rFonts w:ascii="Calibri" w:cs="Calibri" w:eastAsia="Calibri" w:hAnsi="Calibri"/>
          <w:sz w:val="20"/>
          <w:szCs w:val="20"/>
          <w:b w:val="1"/>
          <w:bCs w:val="1"/>
          <w:color w:val="auto"/>
        </w:rPr>
        <w:t xml:space="preserve">CLEVELAND, OH, February 27, 2025 </w:t>
      </w:r>
      <w:r>
        <w:rPr>
          <w:rFonts w:ascii="Calibri" w:cs="Calibri" w:eastAsia="Calibri" w:hAnsi="Calibri"/>
          <w:sz w:val="20"/>
          <w:szCs w:val="20"/>
          <w:color w:val="auto"/>
        </w:rPr>
        <w:t>– Sotera Health Company (“Sotera Health” or the “Company”) (Nasdaq: SHC), a leading global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provider of mission-critcal end-to-end sterilizaton solutons, lab testng and advisory services for the healthcare industry, today announced fnancial results for the fourth-quarter and full-year 2024 and its inital 2025 outlook.</w:t>
      </w:r>
    </w:p>
    <w:p>
      <w:pPr>
        <w:spacing w:after="0" w:line="227"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For the fourth-quarter 2024, net revenues decreased 6.5% to $290 million, compared with $310 million in the same period a year ago, as expected. Net revenues decreased 5.2% on a constant currency basis. Net income atributable to the Company (“net income”) was $12 million, or $0.04 per diluted share, compared with net income atributable to the Company of $39 million, or $0.14 per diluted share for the fourth-quarter 2023. Adjusted EBITDA decreased by 8.3% to $153 million compared to the prior-year quarter. Adjusted EBITDA decreased 6.7% on a constant currency basis. Adjusted earnings per diluted share (“Adjusted EPS”) was $0.21, a decrease of $0.02 per diluted share, compared to the fourth quarter of 2023.</w:t>
      </w:r>
    </w:p>
    <w:p>
      <w:pPr>
        <w:spacing w:after="0" w:line="211" w:lineRule="exact"/>
        <w:rPr>
          <w:sz w:val="20"/>
          <w:szCs w:val="20"/>
          <w:color w:val="auto"/>
        </w:rPr>
      </w:pPr>
    </w:p>
    <w:p>
      <w:pPr>
        <w:jc w:val="both"/>
        <w:ind w:right="100"/>
        <w:spacing w:after="0" w:line="233" w:lineRule="auto"/>
        <w:rPr>
          <w:sz w:val="20"/>
          <w:szCs w:val="20"/>
          <w:color w:val="auto"/>
        </w:rPr>
      </w:pPr>
      <w:r>
        <w:rPr>
          <w:rFonts w:ascii="Calibri" w:cs="Calibri" w:eastAsia="Calibri" w:hAnsi="Calibri"/>
          <w:sz w:val="20"/>
          <w:szCs w:val="20"/>
          <w:color w:val="auto"/>
        </w:rPr>
        <w:t>For full-year 2024, net revenues increased 4.9% to $1.10 billion, compared with $1.05 billion for full-year 2023. Net revenues increased 5.4% on a constant currency basis. Net income was $44 million, or $0.16 per diluted share, compared with net income of $51 million, or $0.18 per diluted share, for 2023. Adjusted EBITDA increased 3.9% to $549 million, compared to 2023. Adjusted EBITDA increased 4.6% on a constant currency basis. Adjusted EPS was $0.70 in 2024, a decrease of $0.02 from 2023.</w:t>
      </w:r>
    </w:p>
    <w:p>
      <w:pPr>
        <w:spacing w:after="0" w:line="226" w:lineRule="exact"/>
        <w:rPr>
          <w:sz w:val="20"/>
          <w:szCs w:val="20"/>
          <w:color w:val="auto"/>
        </w:rPr>
      </w:pPr>
    </w:p>
    <w:p>
      <w:pPr>
        <w:ind w:right="120"/>
        <w:spacing w:after="0" w:line="231" w:lineRule="auto"/>
        <w:rPr>
          <w:sz w:val="20"/>
          <w:szCs w:val="20"/>
          <w:color w:val="auto"/>
        </w:rPr>
      </w:pPr>
      <w:r>
        <w:rPr>
          <w:rFonts w:ascii="Calibri" w:cs="Calibri" w:eastAsia="Calibri" w:hAnsi="Calibri"/>
          <w:sz w:val="20"/>
          <w:szCs w:val="20"/>
          <w:color w:val="auto"/>
        </w:rPr>
        <w:t>“I am pleased to announce another year of top- and botom-line growth in 2024. This marks the 19th consecutve year of annual revenue growth for the company,” said Chairman and Chief Executve Ofcer, Michael B. Petras, Jr. “We accomplished several important milestones during the year, including contnued strong customer satsfacton scores of over 80%, a strengthened balance sheet, the expansion of a Sterigenics facility, strong double-digit year-over-year growth in Nelson Labs’ Embedded Labs and Expert Advisory Services segments, and high-single digit growth at Nordion versus 2023.”</w:t>
      </w:r>
    </w:p>
    <w:p>
      <w:pPr>
        <w:spacing w:after="0" w:line="94"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Petras contnued, “From a governance perspectve, Chris Simon, CEO of Haemonetcs, joined our board of directors and in January of this year Vince Petrella was appointed lead independent director. These changes further enhance an already strong board governance structure.”</w:t>
      </w:r>
    </w:p>
    <w:p>
      <w:pPr>
        <w:spacing w:after="0" w:line="105" w:lineRule="exact"/>
        <w:rPr>
          <w:sz w:val="20"/>
          <w:szCs w:val="20"/>
          <w:color w:val="auto"/>
        </w:rPr>
      </w:pPr>
    </w:p>
    <w:p>
      <w:pPr>
        <w:ind w:right="560"/>
        <w:spacing w:after="0" w:line="228" w:lineRule="auto"/>
        <w:rPr>
          <w:sz w:val="20"/>
          <w:szCs w:val="20"/>
          <w:color w:val="auto"/>
        </w:rPr>
      </w:pPr>
      <w:r>
        <w:rPr>
          <w:rFonts w:ascii="Calibri" w:cs="Calibri" w:eastAsia="Calibri" w:hAnsi="Calibri"/>
          <w:sz w:val="20"/>
          <w:szCs w:val="20"/>
          <w:color w:val="auto"/>
        </w:rPr>
        <w:t>“We look forward to contnued growth in 2025 and serving our customers with excellence as we fulfll our mission of Safeguarding Global Health®.”</w:t>
      </w:r>
    </w:p>
    <w:p>
      <w:pPr>
        <w:spacing w:after="0" w:line="200" w:lineRule="exact"/>
        <w:rPr>
          <w:sz w:val="20"/>
          <w:szCs w:val="20"/>
          <w:color w:val="auto"/>
        </w:rPr>
      </w:pPr>
    </w:p>
    <w:p>
      <w:pPr>
        <w:spacing w:after="0" w:line="251" w:lineRule="exact"/>
        <w:rPr>
          <w:sz w:val="20"/>
          <w:szCs w:val="20"/>
          <w:color w:val="auto"/>
        </w:rPr>
      </w:pPr>
    </w:p>
    <w:p>
      <w:pPr>
        <w:ind w:right="240" w:firstLine="8"/>
        <w:spacing w:after="0" w:line="217" w:lineRule="auto"/>
        <w:tabs>
          <w:tab w:leader="none" w:pos="137" w:val="left"/>
        </w:tabs>
        <w:numPr>
          <w:ilvl w:val="0"/>
          <w:numId w:val="3"/>
        </w:numPr>
        <w:rPr>
          <w:rFonts w:ascii="Calibri" w:cs="Calibri" w:eastAsia="Calibri" w:hAnsi="Calibri"/>
          <w:sz w:val="17"/>
          <w:szCs w:val="17"/>
          <w:color w:val="auto"/>
          <w:vertAlign w:val="superscript"/>
        </w:rPr>
      </w:pPr>
      <w:r>
        <w:rPr>
          <w:rFonts w:ascii="Calibri" w:cs="Calibri" w:eastAsia="Calibri" w:hAnsi="Calibri"/>
          <w:sz w:val="13"/>
          <w:szCs w:val="13"/>
          <w:color w:val="auto"/>
        </w:rPr>
        <w:t>This is a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jc w:val="center"/>
        <w:ind w:right="-19"/>
        <w:spacing w:after="0" w:line="218" w:lineRule="auto"/>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58" w:right="33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b w:val="1"/>
          <w:bCs w:val="1"/>
          <w:u w:val="single" w:color="auto"/>
          <w:color w:val="auto"/>
        </w:rPr>
        <w:t>Fourth-Quarter and Full-Year 2024 Review by Business Segment</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Sterigenics</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For fourth-quarter 2024, Sterigenics net revenues were $179 million, an increase of 4.2% compared to the fourth quarter a year ago.</w:t>
      </w:r>
    </w:p>
    <w:p>
      <w:pPr>
        <w:spacing w:after="0" w:line="225" w:lineRule="auto"/>
        <w:rPr>
          <w:sz w:val="20"/>
          <w:szCs w:val="20"/>
          <w:color w:val="auto"/>
        </w:rPr>
      </w:pPr>
      <w:r>
        <w:rPr>
          <w:rFonts w:ascii="Calibri" w:cs="Calibri" w:eastAsia="Calibri" w:hAnsi="Calibri"/>
          <w:sz w:val="20"/>
          <w:szCs w:val="20"/>
          <w:color w:val="auto"/>
        </w:rPr>
        <w:t>Sterigenics revenues grew 5.3% on a constant currency basis. Segment income was $100 million, an increase of 5.1%.</w:t>
      </w:r>
    </w:p>
    <w:p>
      <w:pPr>
        <w:spacing w:after="0" w:line="90" w:lineRule="exact"/>
        <w:rPr>
          <w:sz w:val="20"/>
          <w:szCs w:val="20"/>
          <w:color w:val="auto"/>
        </w:rPr>
      </w:pPr>
    </w:p>
    <w:p>
      <w:pPr>
        <w:ind w:right="220"/>
        <w:spacing w:after="0" w:line="234" w:lineRule="auto"/>
        <w:rPr>
          <w:sz w:val="20"/>
          <w:szCs w:val="20"/>
          <w:color w:val="auto"/>
        </w:rPr>
      </w:pPr>
      <w:r>
        <w:rPr>
          <w:rFonts w:ascii="Calibri" w:cs="Calibri" w:eastAsia="Calibri" w:hAnsi="Calibri"/>
          <w:sz w:val="20"/>
          <w:szCs w:val="20"/>
          <w:color w:val="auto"/>
        </w:rPr>
        <w:t>For full-year 2024, Sterigenics net revenues were $698 million, an increase of 4.6% compared to 2023. Sterigenics revenues grew 4.9% on a constant currency basis. Segment income increased 4.4% to $378 million.</w:t>
      </w:r>
    </w:p>
    <w:p>
      <w:pPr>
        <w:spacing w:after="0" w:line="91" w:lineRule="exact"/>
        <w:rPr>
          <w:sz w:val="20"/>
          <w:szCs w:val="20"/>
          <w:color w:val="auto"/>
        </w:rPr>
      </w:pPr>
    </w:p>
    <w:p>
      <w:pPr>
        <w:ind w:right="860"/>
        <w:spacing w:after="0" w:line="234" w:lineRule="auto"/>
        <w:rPr>
          <w:sz w:val="20"/>
          <w:szCs w:val="20"/>
          <w:color w:val="auto"/>
        </w:rPr>
      </w:pPr>
      <w:r>
        <w:rPr>
          <w:rFonts w:ascii="Calibri" w:cs="Calibri" w:eastAsia="Calibri" w:hAnsi="Calibri"/>
          <w:sz w:val="20"/>
          <w:szCs w:val="20"/>
          <w:color w:val="auto"/>
        </w:rPr>
        <w:t>Net revenue growth for fourth-quarter 2024 was driven by favorable pricing and changes in volume and mix, partally ofset by unfavorable changes in foreign currency exchange rates.</w:t>
      </w:r>
    </w:p>
    <w:p>
      <w:pPr>
        <w:spacing w:after="0" w:line="91" w:lineRule="exact"/>
        <w:rPr>
          <w:sz w:val="20"/>
          <w:szCs w:val="20"/>
          <w:color w:val="auto"/>
        </w:rPr>
      </w:pPr>
    </w:p>
    <w:p>
      <w:pPr>
        <w:ind w:right="120"/>
        <w:spacing w:after="0" w:line="234" w:lineRule="auto"/>
        <w:rPr>
          <w:sz w:val="20"/>
          <w:szCs w:val="20"/>
          <w:color w:val="auto"/>
        </w:rPr>
      </w:pPr>
      <w:r>
        <w:rPr>
          <w:rFonts w:ascii="Calibri" w:cs="Calibri" w:eastAsia="Calibri" w:hAnsi="Calibri"/>
          <w:sz w:val="20"/>
          <w:szCs w:val="20"/>
          <w:color w:val="auto"/>
        </w:rPr>
        <w:t>Segment income growth for the quarter was driven by favorable pricing and changes in volume and mix, partally ofset by infaton and unfavorable changes in foreign currency rates.</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Nordion</w:t>
      </w:r>
    </w:p>
    <w:p>
      <w:pPr>
        <w:spacing w:after="0" w:line="90" w:lineRule="exact"/>
        <w:rPr>
          <w:sz w:val="20"/>
          <w:szCs w:val="20"/>
          <w:color w:val="auto"/>
        </w:rPr>
      </w:pPr>
    </w:p>
    <w:p>
      <w:pPr>
        <w:jc w:val="both"/>
        <w:ind w:right="300"/>
        <w:spacing w:after="0" w:line="236" w:lineRule="auto"/>
        <w:rPr>
          <w:sz w:val="20"/>
          <w:szCs w:val="20"/>
          <w:color w:val="auto"/>
        </w:rPr>
      </w:pPr>
      <w:r>
        <w:rPr>
          <w:rFonts w:ascii="Calibri" w:cs="Calibri" w:eastAsia="Calibri" w:hAnsi="Calibri"/>
          <w:sz w:val="20"/>
          <w:szCs w:val="20"/>
          <w:color w:val="auto"/>
        </w:rPr>
        <w:t>For fourth-quarter 2024, Nordion net revenues were $57 million, a decrease of 28.9%, compared to the fourth quarter a year ago, as expected, due to the tming of cobalt harvest schedules. Nordion net revenues declined 26.8% on a constant currency basis. Segment income decreased 33.8% to $35 million.</w:t>
      </w:r>
    </w:p>
    <w:p>
      <w:pPr>
        <w:spacing w:after="0" w:line="90" w:lineRule="exact"/>
        <w:rPr>
          <w:sz w:val="20"/>
          <w:szCs w:val="20"/>
          <w:color w:val="auto"/>
        </w:rPr>
      </w:pPr>
    </w:p>
    <w:p>
      <w:pPr>
        <w:ind w:right="400"/>
        <w:spacing w:after="0" w:line="234" w:lineRule="auto"/>
        <w:rPr>
          <w:sz w:val="20"/>
          <w:szCs w:val="20"/>
          <w:color w:val="auto"/>
        </w:rPr>
      </w:pPr>
      <w:r>
        <w:rPr>
          <w:rFonts w:ascii="Calibri" w:cs="Calibri" w:eastAsia="Calibri" w:hAnsi="Calibri"/>
          <w:sz w:val="20"/>
          <w:szCs w:val="20"/>
          <w:color w:val="auto"/>
        </w:rPr>
        <w:t>For full-year 2024, Nordion net revenues were $173 million, an increase of 8.0% compared to 2023. Nordion net revenues increased 10.1% on a constant currency basis. Segment income increased by 4.7% to $101 million.</w:t>
      </w:r>
    </w:p>
    <w:p>
      <w:pPr>
        <w:spacing w:after="0" w:line="91" w:lineRule="exact"/>
        <w:rPr>
          <w:sz w:val="20"/>
          <w:szCs w:val="20"/>
          <w:color w:val="auto"/>
        </w:rPr>
      </w:pPr>
    </w:p>
    <w:p>
      <w:pPr>
        <w:ind w:right="20"/>
        <w:spacing w:after="0" w:line="231" w:lineRule="auto"/>
        <w:rPr>
          <w:sz w:val="20"/>
          <w:szCs w:val="20"/>
          <w:color w:val="auto"/>
        </w:rPr>
      </w:pPr>
      <w:r>
        <w:rPr>
          <w:rFonts w:ascii="Calibri" w:cs="Calibri" w:eastAsia="Calibri" w:hAnsi="Calibri"/>
          <w:sz w:val="20"/>
          <w:szCs w:val="20"/>
          <w:color w:val="auto"/>
        </w:rPr>
        <w:t>The tming of Co-60 supply harvest schedules resulted in unfavorable volume and mix, which was the primary driver for net revenue, segment income and segment income margin declines for fourth-quarter 2024, partally ofset by favorable pricing. Unfavorable changes in foreign currency exchange rates also contributed to the declines in revenue and segment income.</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Nelson Labs</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For fourth-quarter 2024, Nelson Labs net revenues were $54 million, a decrease of 7.3% compared to the fourth quarter a year ago.</w:t>
      </w:r>
    </w:p>
    <w:p>
      <w:pPr>
        <w:spacing w:after="0" w:line="225" w:lineRule="auto"/>
        <w:rPr>
          <w:sz w:val="20"/>
          <w:szCs w:val="20"/>
          <w:color w:val="auto"/>
        </w:rPr>
      </w:pPr>
      <w:r>
        <w:rPr>
          <w:rFonts w:ascii="Calibri" w:cs="Calibri" w:eastAsia="Calibri" w:hAnsi="Calibri"/>
          <w:sz w:val="20"/>
          <w:szCs w:val="20"/>
          <w:color w:val="auto"/>
        </w:rPr>
        <w:t>Nelson Labs net revenues declined 7.0% on a constant currency basis. Segment income decreased 3.3% to $18 million.</w:t>
      </w:r>
    </w:p>
    <w:p>
      <w:pPr>
        <w:spacing w:after="0" w:line="104" w:lineRule="exact"/>
        <w:rPr>
          <w:sz w:val="20"/>
          <w:szCs w:val="20"/>
          <w:color w:val="auto"/>
        </w:rPr>
      </w:pPr>
    </w:p>
    <w:p>
      <w:pPr>
        <w:ind w:right="600"/>
        <w:spacing w:after="0" w:line="228" w:lineRule="auto"/>
        <w:rPr>
          <w:sz w:val="20"/>
          <w:szCs w:val="20"/>
          <w:color w:val="auto"/>
        </w:rPr>
      </w:pPr>
      <w:r>
        <w:rPr>
          <w:rFonts w:ascii="Calibri" w:cs="Calibri" w:eastAsia="Calibri" w:hAnsi="Calibri"/>
          <w:sz w:val="20"/>
          <w:szCs w:val="20"/>
          <w:color w:val="auto"/>
        </w:rPr>
        <w:t>For full-year 2024, Nelson Labs net revenues were $229 million, an increase of 3.4% compared to 2023. Nelson Labs net revenues increased 3.4% on a constant currency basis. Segment income increased 0.1% to $69 million.</w:t>
      </w:r>
    </w:p>
    <w:p>
      <w:pPr>
        <w:spacing w:after="0" w:line="90"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Net revenue decline for the fourth-quarter 2024 was driven by unfavorable volume and mix primarily due to a decline of Expert Advisory Services revenue as well as changes in foreign currency exchange rates, partally ofset by favorable pricing.</w:t>
      </w:r>
    </w:p>
    <w:p>
      <w:pPr>
        <w:spacing w:after="0" w:line="91"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Segment income decline for the fourth-quarter 2024 was driven by unfavorable volume and mix as well as higher employee compensaton costs, partally ofset by favorable pricing and labor productvity. Segment income margin improved primarily due to lower Expert Advisory Services revenue, favorable pricing and labor productvity.</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Balance Sheet and Liquidity</w:t>
      </w:r>
    </w:p>
    <w:p>
      <w:pPr>
        <w:spacing w:after="0" w:line="90" w:lineRule="exact"/>
        <w:rPr>
          <w:sz w:val="20"/>
          <w:szCs w:val="20"/>
          <w:color w:val="auto"/>
        </w:rPr>
      </w:pPr>
    </w:p>
    <w:p>
      <w:pPr>
        <w:ind w:right="60"/>
        <w:spacing w:after="0" w:line="233" w:lineRule="auto"/>
        <w:rPr>
          <w:sz w:val="20"/>
          <w:szCs w:val="20"/>
          <w:color w:val="auto"/>
        </w:rPr>
      </w:pPr>
      <w:r>
        <w:rPr>
          <w:rFonts w:ascii="Calibri" w:cs="Calibri" w:eastAsia="Calibri" w:hAnsi="Calibri"/>
          <w:sz w:val="20"/>
          <w:szCs w:val="20"/>
          <w:color w:val="auto"/>
        </w:rPr>
        <w:t>As of December 31, 2024, Sotera Health had $2.3 billion in total debt, and $277 million in cash and cash equivalents, compared to $2.3 billion in total debt and $296 million in cash and cash equivalents as of December 31, 2023. As of December 31, 2024, the Company had no balance outstanding on its revolving credit facility. The Company’s outstanding material debt balances do not mature untl 2031. Sotera Health’s Net Leverage Rato</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as of December 31, 2024 was 3.7x, compared to 3.8x at December 31, 2023.</w:t>
      </w:r>
    </w:p>
    <w:p>
      <w:pPr>
        <w:spacing w:after="0" w:line="393" w:lineRule="exact"/>
        <w:rPr>
          <w:sz w:val="20"/>
          <w:szCs w:val="20"/>
          <w:color w:val="auto"/>
        </w:rPr>
      </w:pPr>
    </w:p>
    <w:p>
      <w:pPr>
        <w:ind w:right="220" w:firstLine="8"/>
        <w:spacing w:after="0" w:line="217" w:lineRule="auto"/>
        <w:tabs>
          <w:tab w:leader="none" w:pos="137" w:val="left"/>
        </w:tabs>
        <w:numPr>
          <w:ilvl w:val="0"/>
          <w:numId w:val="4"/>
        </w:numPr>
        <w:rPr>
          <w:rFonts w:ascii="Calibri" w:cs="Calibri" w:eastAsia="Calibri" w:hAnsi="Calibri"/>
          <w:sz w:val="17"/>
          <w:szCs w:val="17"/>
          <w:color w:val="auto"/>
          <w:vertAlign w:val="superscript"/>
        </w:rPr>
      </w:pPr>
      <w:r>
        <w:rPr>
          <w:rFonts w:ascii="Calibri" w:cs="Calibri" w:eastAsia="Calibri" w:hAnsi="Calibri"/>
          <w:sz w:val="13"/>
          <w:szCs w:val="13"/>
          <w:color w:val="auto"/>
        </w:rPr>
        <w:t>This is a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jc w:val="center"/>
        <w:ind w:right="-39"/>
        <w:spacing w:after="0" w:line="218" w:lineRule="auto"/>
        <w:rPr>
          <w:sz w:val="20"/>
          <w:szCs w:val="20"/>
          <w:color w:val="auto"/>
        </w:rPr>
      </w:pPr>
      <w:r>
        <w:rPr>
          <w:rFonts w:ascii="Calibri" w:cs="Calibri" w:eastAsia="Calibri" w:hAnsi="Calibri"/>
          <w:sz w:val="18"/>
          <w:szCs w:val="18"/>
          <w:color w:val="auto"/>
        </w:rPr>
        <w:t>2</w:t>
      </w:r>
    </w:p>
    <w:p>
      <w:pPr>
        <w:sectPr>
          <w:pgSz w:w="11900" w:h="16838" w:orient="portrait"/>
          <w:cols w:equalWidth="0" w:num="1">
            <w:col w:w="11220"/>
          </w:cols>
          <w:pgMar w:left="320" w:top="1064" w:right="35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b w:val="1"/>
          <w:bCs w:val="1"/>
          <w:u w:val="single" w:color="auto"/>
          <w:color w:val="auto"/>
        </w:rPr>
        <w:t>Full-Year 2025 Outlook</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Today, Sotera Health is providing its full-year 2025 outlook:</w:t>
      </w:r>
    </w:p>
    <w:p>
      <w:pPr>
        <w:spacing w:after="0" w:line="134" w:lineRule="exact"/>
        <w:rPr>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Net revenues growth in the range of 4.0% to 6.0%, on a constant currency basis,</w:t>
      </w:r>
    </w:p>
    <w:p>
      <w:pPr>
        <w:spacing w:after="0" w:line="79" w:lineRule="exact"/>
        <w:rPr>
          <w:rFonts w:ascii="Calibri" w:cs="Calibri" w:eastAsia="Calibri" w:hAnsi="Calibri"/>
          <w:sz w:val="20"/>
          <w:szCs w:val="20"/>
          <w:color w:val="auto"/>
        </w:rPr>
      </w:pPr>
    </w:p>
    <w:p>
      <w:pPr>
        <w:ind w:left="1300" w:hanging="320"/>
        <w:spacing w:after="0"/>
        <w:tabs>
          <w:tab w:leader="none" w:pos="1300" w:val="left"/>
        </w:tabs>
        <w:numPr>
          <w:ilvl w:val="1"/>
          <w:numId w:val="5"/>
        </w:numPr>
        <w:rPr>
          <w:rFonts w:ascii="Calibri" w:cs="Calibri" w:eastAsia="Calibri" w:hAnsi="Calibri"/>
          <w:sz w:val="20"/>
          <w:szCs w:val="20"/>
          <w:color w:val="auto"/>
        </w:rPr>
      </w:pPr>
      <w:r>
        <w:rPr>
          <w:rFonts w:ascii="Calibri" w:cs="Calibri" w:eastAsia="Calibri" w:hAnsi="Calibri"/>
          <w:sz w:val="20"/>
          <w:szCs w:val="20"/>
          <w:color w:val="auto"/>
        </w:rPr>
        <w:t>Foreign currency headwind to net revenues of approximately 2.25%,</w:t>
      </w:r>
    </w:p>
    <w:p>
      <w:pPr>
        <w:spacing w:after="0" w:line="93"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Adjusted EBITDA growth in the range of 4.5% to 6.5%, on a constant currency basis,</w:t>
      </w:r>
    </w:p>
    <w:p>
      <w:pPr>
        <w:spacing w:after="0" w:line="79" w:lineRule="exact"/>
        <w:rPr>
          <w:rFonts w:ascii="Calibri" w:cs="Calibri" w:eastAsia="Calibri" w:hAnsi="Calibri"/>
          <w:sz w:val="20"/>
          <w:szCs w:val="20"/>
          <w:color w:val="auto"/>
        </w:rPr>
      </w:pPr>
    </w:p>
    <w:p>
      <w:pPr>
        <w:ind w:left="1300" w:hanging="320"/>
        <w:spacing w:after="0"/>
        <w:tabs>
          <w:tab w:leader="none" w:pos="1300" w:val="left"/>
        </w:tabs>
        <w:numPr>
          <w:ilvl w:val="1"/>
          <w:numId w:val="5"/>
        </w:numPr>
        <w:rPr>
          <w:rFonts w:ascii="Calibri" w:cs="Calibri" w:eastAsia="Calibri" w:hAnsi="Calibri"/>
          <w:sz w:val="20"/>
          <w:szCs w:val="20"/>
          <w:color w:val="auto"/>
        </w:rPr>
      </w:pPr>
      <w:r>
        <w:rPr>
          <w:rFonts w:ascii="Calibri" w:cs="Calibri" w:eastAsia="Calibri" w:hAnsi="Calibri"/>
          <w:sz w:val="20"/>
          <w:szCs w:val="20"/>
          <w:color w:val="auto"/>
        </w:rPr>
        <w:t>Foreign currency headwind to Adjusted EBITDA of approximately 2.50%,</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Interest expense in the range of $155 million to $165 million,</w:t>
      </w:r>
    </w:p>
    <w:p>
      <w:pPr>
        <w:spacing w:after="0" w:line="80"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Tax rate applicable to Adjusted Net Income</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in the range of 33.0% to 35.0%,</w:t>
      </w:r>
    </w:p>
    <w:p>
      <w:pPr>
        <w:spacing w:after="0" w:line="32"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Adjusted EPS in the range of $0.70 to $0.76,</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A weighted-average fully diluted share count in the range of 286 million to 287 million shares,</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Capital expenditures in the range of $190 million to $210 million,</w:t>
      </w:r>
    </w:p>
    <w:p>
      <w:pPr>
        <w:spacing w:after="0" w:line="225"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The Company does not provide a reconciliaton for non-GAAP fnancial measures on a forward-looking basis where it is unable to provide a meaningful or accurate calculaton or estmaton of reconciling items without unreasonable efort. The Company cannot reconcile its expected Adjusted EBITDA,</w:t>
      </w:r>
    </w:p>
    <w:p>
      <w:pPr>
        <w:spacing w:after="0" w:line="11" w:lineRule="exact"/>
        <w:rPr>
          <w:sz w:val="20"/>
          <w:szCs w:val="20"/>
          <w:color w:val="auto"/>
        </w:rPr>
      </w:pPr>
    </w:p>
    <w:p>
      <w:pPr>
        <w:ind w:right="40"/>
        <w:spacing w:after="0" w:line="230" w:lineRule="auto"/>
        <w:rPr>
          <w:sz w:val="20"/>
          <w:szCs w:val="20"/>
          <w:color w:val="auto"/>
        </w:rPr>
      </w:pPr>
      <w:r>
        <w:rPr>
          <w:rFonts w:ascii="Calibri" w:cs="Calibri" w:eastAsia="Calibri" w:hAnsi="Calibri"/>
          <w:sz w:val="20"/>
          <w:szCs w:val="20"/>
          <w:color w:val="auto"/>
        </w:rPr>
        <w:t>Adjusted Net Income Tax Rate, Adjusted Net Income and Adjusted EPS without unreasonable efort because certain items that impact net income, earnings per share and other reconciling metrics are out of the Company’s control and/or cannot be reasonably predicted at this tme, including uncertaintes caused by changes to the regulatory landscape, restructuring items and certain fair value measurements, all of which are potental adjustments for future earnings.</w:t>
      </w:r>
    </w:p>
    <w:p>
      <w:pPr>
        <w:spacing w:after="0" w:line="104" w:lineRule="exact"/>
        <w:rPr>
          <w:sz w:val="20"/>
          <w:szCs w:val="20"/>
          <w:color w:val="auto"/>
        </w:rPr>
      </w:pPr>
    </w:p>
    <w:p>
      <w:pPr>
        <w:ind w:right="20"/>
        <w:spacing w:after="0" w:line="231" w:lineRule="auto"/>
        <w:rPr>
          <w:sz w:val="20"/>
          <w:szCs w:val="20"/>
          <w:color w:val="auto"/>
        </w:rPr>
      </w:pPr>
      <w:r>
        <w:rPr>
          <w:rFonts w:ascii="Calibri" w:cs="Calibri" w:eastAsia="Calibri" w:hAnsi="Calibri"/>
          <w:sz w:val="20"/>
          <w:szCs w:val="20"/>
          <w:color w:val="auto"/>
        </w:rPr>
        <w:t>The outlook provided above contains a number of assumptons, including, among others, the Company’s current expectatons regarding supply chain contnuity, partcularly for the supply of ethylene oxide (“EO”) and Cobalt-60, the impact of infatonary trends including their impact on energy prices and the supply of labor, and the expectaton that average exchange rates for January 2025 remain constant for the remainder of 2025. Our outlook is based on current plans and expectatons and is subject to several known and unknown risks and uncertaintes, including those set forth below under “Cautonary Note Regarding Forward-Looking Statements.”</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Earnings Webcast</w:t>
      </w:r>
    </w:p>
    <w:p>
      <w:pPr>
        <w:spacing w:after="0" w:line="90" w:lineRule="exact"/>
        <w:rPr>
          <w:sz w:val="20"/>
          <w:szCs w:val="20"/>
          <w:color w:val="auto"/>
        </w:rPr>
      </w:pPr>
    </w:p>
    <w:p>
      <w:pPr>
        <w:ind w:right="60"/>
        <w:spacing w:after="0" w:line="231" w:lineRule="auto"/>
        <w:rPr>
          <w:sz w:val="20"/>
          <w:szCs w:val="20"/>
          <w:color w:val="auto"/>
        </w:rPr>
      </w:pPr>
      <w:r>
        <w:rPr>
          <w:rFonts w:ascii="Calibri" w:cs="Calibri" w:eastAsia="Calibri" w:hAnsi="Calibri"/>
          <w:sz w:val="20"/>
          <w:szCs w:val="20"/>
          <w:color w:val="auto"/>
        </w:rPr>
        <w:t xml:space="preserve">Sotera Health management will host a conference call and webcast to discuss the Company’s operatng highlights and fnancial results at 9:00 a.m. Eastern Time today. To partcipate in the live call, please dial 1-844-481-2916 if dialing in from the United States, or 1-412-317-0709 if dialing in from other locatons. A live webcast of the conference call and accompanying materials may also be accessed via the Investor Relatons secton of the Company’s website at </w:t>
      </w:r>
      <w:r>
        <w:rPr>
          <w:rFonts w:ascii="Calibri" w:cs="Calibri" w:eastAsia="Calibri" w:hAnsi="Calibri"/>
          <w:sz w:val="20"/>
          <w:szCs w:val="20"/>
          <w:u w:val="single" w:color="auto"/>
          <w:color w:val="3051F2"/>
        </w:rPr>
        <w:t>Presentaton &amp; Events | Sotera Health</w:t>
      </w:r>
      <w:r>
        <w:rPr>
          <w:rFonts w:ascii="Calibri" w:cs="Calibri" w:eastAsia="Calibri" w:hAnsi="Calibri"/>
          <w:sz w:val="20"/>
          <w:szCs w:val="20"/>
          <w:color w:val="auto"/>
        </w:rPr>
        <w:t>. A replay of the webcast will be archived on the Company’s website.</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Upcoming Investor Events</w:t>
      </w:r>
    </w:p>
    <w:p>
      <w:pPr>
        <w:spacing w:after="0" w:line="93" w:lineRule="exact"/>
        <w:rPr>
          <w:sz w:val="20"/>
          <w:szCs w:val="20"/>
          <w:color w:val="auto"/>
        </w:rPr>
      </w:pPr>
    </w:p>
    <w:p>
      <w:pPr>
        <w:ind w:left="640" w:hanging="308"/>
        <w:spacing w:after="0"/>
        <w:tabs>
          <w:tab w:leader="none" w:pos="64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Barclay’s 2025 Global Healthcare Conference at 9:30 a.m. Eastern Time, March 11, 2025</w:t>
      </w:r>
    </w:p>
    <w:p>
      <w:pPr>
        <w:spacing w:after="0" w:line="106" w:lineRule="exact"/>
        <w:rPr>
          <w:rFonts w:ascii="Calibri" w:cs="Calibri" w:eastAsia="Calibri" w:hAnsi="Calibri"/>
          <w:sz w:val="20"/>
          <w:szCs w:val="20"/>
          <w:color w:val="auto"/>
        </w:rPr>
      </w:pPr>
    </w:p>
    <w:p>
      <w:pPr>
        <w:ind w:left="640" w:hanging="308"/>
        <w:spacing w:after="0"/>
        <w:tabs>
          <w:tab w:leader="none" w:pos="64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KeyBanc Life Sciences &amp; Medtech Investor Forum at 9:00 a.m. Eastern Time, March 18, 2025</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Cautonary Note Regarding Forward-Looking Statements</w:t>
      </w:r>
    </w:p>
    <w:p>
      <w:pPr>
        <w:spacing w:after="0" w:line="90" w:lineRule="exact"/>
        <w:rPr>
          <w:sz w:val="20"/>
          <w:szCs w:val="20"/>
          <w:color w:val="auto"/>
        </w:rPr>
      </w:pPr>
    </w:p>
    <w:p>
      <w:pPr>
        <w:ind w:right="20"/>
        <w:spacing w:after="0" w:line="231" w:lineRule="auto"/>
        <w:rPr>
          <w:sz w:val="20"/>
          <w:szCs w:val="20"/>
          <w:color w:val="auto"/>
        </w:rPr>
      </w:pPr>
      <w:r>
        <w:rPr>
          <w:rFonts w:ascii="Calibri" w:cs="Calibri" w:eastAsia="Calibri" w:hAnsi="Calibri"/>
          <w:sz w:val="20"/>
          <w:szCs w:val="20"/>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within the meaning of the Private Securites Litgaton Reform Act of 1995 and refects management’s expectatons about future events and the Company’s operatng plans and performance and speak only as of the date hereof. Forward-looking statements present our current forecasts and</w:t>
      </w:r>
    </w:p>
    <w:p>
      <w:pPr>
        <w:spacing w:after="0" w:line="200" w:lineRule="exact"/>
        <w:rPr>
          <w:sz w:val="20"/>
          <w:szCs w:val="20"/>
          <w:color w:val="auto"/>
        </w:rPr>
      </w:pPr>
    </w:p>
    <w:p>
      <w:pPr>
        <w:spacing w:after="0" w:line="255" w:lineRule="exact"/>
        <w:rPr>
          <w:sz w:val="20"/>
          <w:szCs w:val="20"/>
          <w:color w:val="auto"/>
        </w:rPr>
      </w:pPr>
    </w:p>
    <w:p>
      <w:pPr>
        <w:ind w:right="240" w:firstLine="8"/>
        <w:spacing w:after="0" w:line="217" w:lineRule="auto"/>
        <w:tabs>
          <w:tab w:leader="none" w:pos="137" w:val="left"/>
        </w:tabs>
        <w:numPr>
          <w:ilvl w:val="0"/>
          <w:numId w:val="7"/>
        </w:numPr>
        <w:rPr>
          <w:rFonts w:ascii="Calibri" w:cs="Calibri" w:eastAsia="Calibri" w:hAnsi="Calibri"/>
          <w:sz w:val="17"/>
          <w:szCs w:val="17"/>
          <w:color w:val="auto"/>
          <w:vertAlign w:val="superscript"/>
        </w:rPr>
      </w:pPr>
      <w:r>
        <w:rPr>
          <w:rFonts w:ascii="Calibri" w:cs="Calibri" w:eastAsia="Calibri" w:hAnsi="Calibri"/>
          <w:sz w:val="13"/>
          <w:szCs w:val="13"/>
          <w:color w:val="auto"/>
        </w:rPr>
        <w:t>This is a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jc w:val="center"/>
        <w:ind w:right="-19"/>
        <w:spacing w:after="0" w:line="218" w:lineRule="auto"/>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1064" w:right="339" w:bottom="1440" w:gutter="0" w:footer="0" w:header="0"/>
        </w:sectPr>
      </w:pPr>
    </w:p>
    <w:bookmarkStart w:id="6" w:name="page7"/>
    <w:bookmarkEnd w:id="6"/>
    <w:p>
      <w:pPr>
        <w:spacing w:after="0" w:line="233" w:lineRule="auto"/>
        <w:rPr>
          <w:sz w:val="20"/>
          <w:szCs w:val="20"/>
          <w:color w:val="auto"/>
        </w:rPr>
      </w:pPr>
      <w:r>
        <w:rPr>
          <w:rFonts w:ascii="Calibri" w:cs="Calibri" w:eastAsia="Calibri" w:hAnsi="Calibri"/>
          <w:sz w:val="20"/>
          <w:szCs w:val="20"/>
          <w:color w:val="auto"/>
        </w:rPr>
        <w:t>estmates of future events. These statements do not strictly relate to historical or current results and can be identfed by words such as “antcipate,” “appear,” “assume,” “believe,” “estmate,” “expect,” “forecast,” “intend,” “likely,” “may,” “plan,” “project,” “seek,” “should,” “strategy,” “will” and other terms of similar meaning or import in connecton with any discussion of future operatng, fnancial or other performance. These forward-looking statements are subject to risks, uncertaintes and other factors and actual results may difer materially from those results projected in the statements. These forward-looking statements are subject to various risks, uncertaintes and assumptons relatng to our operatons, fnancial results, fnancial conditon, business, prospects, growth strategy and liquidity. These risks and uncertaintes include, but are not limited to, a disrupton in the availability or supply of, or increases in the price of, EO, Cobalt-60 (“Co-60”) or our other direct materials, services and supplies, including as a result of geopolitcal instability and/or sanctons against Russia by the United States, Canada, United Kingdom and/or the European Union; fuctuatons in foreign currency exchange rates; evolving changes in environmental, health and safety regulatons; health and safety risks associated with the use, storage, transportaton and disposal of potentally hazardous materials such as EO and Co-60; the impact and outcome of current and future legal proceedings and liability claims, including litgaton related to the use, emissions and releases of EO from our facilites in California, Georgia, Illinois and New Mexico and the possibility that other claims will be made in the future relatng to these or other facilites; allegatons of our failure to properly perform services and potental product liability claims, recalls, penaltes and reputatonal harm; compliance with the extensive regulatory requirements to which we are subject, the related costs, and any failures to receive or maintain, or delays in receiving, required clearances or approvals; adverse changes in industry trends; competton we face; market conditons and changes, including infatonary trends, that impact our long-term supply contracts with variable price clauses and increase our cost of revenues; business contnuity hazards, including supply chain disruptons and other risks associated with our operatons; the risks of doing business internatonally, including global and regional economic and politcal instability and compliance with various applicable laws and potentally inconsistent laws and regulatons in multple jurisdictons; our ability to increase capacity at existng facilites, build new facilites in a tmely and cost-efectve manner and renew leases for our leased facilites; our ability to atract and retain qualifed employees; severe health events or environmental events; cybersecurity incidents, unauthorized data disclosures, and our dependence on informaton technology systems; an inability to pursue strategic transactons, fnd suitable acquisiton targets, or integrate strategic acquisitons into our business successfully; our ability to maintain efectve internal control over fnancial reportng; our reliance on intellectual property to maintain our compettve positon and the risk of claims from third partes that we have infringed or misappropriated, or are infringing or misappropriatng, their intellectual property rights; our ability to comply with rapidly evolving data privacy and security laws and regulatons in various jurisdictons and any inefectve compliance eforts with such laws and regulatons; our ability to generate proftability in future periods; impairment charges on our goodwill and other intangible assets with indefnite lives, as well as other long-lived assets and intangible assets with defnite lives; the efects of unionizaton eforts and labor regulatons in countries in which we operate; adverse changes to our tax positons in U.S. or non-U.S. jurisdictons or the interpretaton and applicaton of recent U.S. tax legislaton or other changes in U.S. or non-U.S. taxaton of our operatons; and our signifcant leverage and how this signifcant leverage could adversely afect our ability to raise additonal capital, limit our ability to react to challenges confrontng our Company or broader changes in our industry or the economy, limit our fexibility in operatng our business through restrictons contained in our debt agreements and/or prevent us from meetng our obligatons under our existng and future agreements governing our indebtedness. For additonal discussion of these risks and uncertaintes, please refer to the Company’s flings with the Securites and Exchange Commission, such as its Annual Report on Form 10-K and quarterly reports. We do not undertake any obligaton to publicly update or revise these forward-looking statements,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20"/>
          </w:cols>
          <w:pgMar w:left="320" w:top="939" w:right="359" w:bottom="1440" w:gutter="0" w:footer="0" w:header="0"/>
        </w:sectPr>
      </w:pPr>
    </w:p>
    <w:bookmarkStart w:id="7" w:name="page8"/>
    <w:bookmarkEnd w:id="7"/>
    <w:p>
      <w:pPr>
        <w:spacing w:after="0"/>
        <w:rPr>
          <w:sz w:val="20"/>
          <w:szCs w:val="20"/>
          <w:color w:val="auto"/>
        </w:rPr>
      </w:pPr>
      <w:r>
        <w:rPr>
          <w:rFonts w:ascii="Calibri" w:cs="Calibri" w:eastAsia="Calibri" w:hAnsi="Calibri"/>
          <w:sz w:val="20"/>
          <w:szCs w:val="20"/>
          <w:b w:val="1"/>
          <w:bCs w:val="1"/>
          <w:u w:val="single" w:color="auto"/>
          <w:color w:val="auto"/>
        </w:rPr>
        <w:t>Non-GAAP Financial Measures</w:t>
      </w:r>
    </w:p>
    <w:p>
      <w:pPr>
        <w:spacing w:after="0" w:line="90" w:lineRule="exact"/>
        <w:rPr>
          <w:sz w:val="20"/>
          <w:szCs w:val="20"/>
          <w:color w:val="auto"/>
        </w:rPr>
      </w:pPr>
    </w:p>
    <w:p>
      <w:pPr>
        <w:ind w:right="220"/>
        <w:spacing w:after="0" w:line="231" w:lineRule="auto"/>
        <w:rPr>
          <w:sz w:val="20"/>
          <w:szCs w:val="20"/>
          <w:color w:val="auto"/>
        </w:rPr>
      </w:pPr>
      <w:r>
        <w:rPr>
          <w:rFonts w:ascii="Calibri" w:cs="Calibri" w:eastAsia="Calibri" w:hAnsi="Calibri"/>
          <w:sz w:val="20"/>
          <w:szCs w:val="20"/>
          <w:color w:val="auto"/>
        </w:rPr>
        <w:t>To supplement our consolidated fnancial statements presented in accordance with GAAP, we consider Adjusted EBITDA, Adjusted EBITDA margin, Adjusted Tax Rate, Adjusted Net Income, Adjusted EPS, Segment income margin, Net Debt and Net Leverage Rato and constant currency, fnancial measures that are not based on any standardized methodology prescribed by GAAP.</w:t>
      </w:r>
    </w:p>
    <w:p>
      <w:pPr>
        <w:spacing w:after="0" w:line="11" w:lineRule="exact"/>
        <w:rPr>
          <w:sz w:val="20"/>
          <w:szCs w:val="20"/>
          <w:color w:val="auto"/>
        </w:rPr>
      </w:pPr>
    </w:p>
    <w:p>
      <w:pPr>
        <w:ind w:left="660" w:right="60" w:hanging="328"/>
        <w:spacing w:after="0" w:line="228" w:lineRule="auto"/>
        <w:tabs>
          <w:tab w:leader="none" w:pos="65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We defne Adjusted Net Income as net income (loss) before amortzaton and certain other adjustments that we do not consider in our evaluaton of our ongoing operatng performance from period to period.</w:t>
      </w:r>
    </w:p>
    <w:p>
      <w:pPr>
        <w:spacing w:after="0" w:line="103" w:lineRule="exact"/>
        <w:rPr>
          <w:rFonts w:ascii="Calibri" w:cs="Calibri" w:eastAsia="Calibri" w:hAnsi="Calibri"/>
          <w:sz w:val="20"/>
          <w:szCs w:val="20"/>
          <w:color w:val="auto"/>
        </w:rPr>
      </w:pPr>
    </w:p>
    <w:p>
      <w:pPr>
        <w:ind w:left="660" w:right="80" w:hanging="328"/>
        <w:spacing w:after="0" w:line="228" w:lineRule="auto"/>
        <w:tabs>
          <w:tab w:leader="none" w:pos="65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We defne Adjusted EBITDA as Adjusted Net Income before interest expense, depreciaton (including depreciaton of Co-60 used in our operatons) and income tax provision applicable to Adjusted Net Income.</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Adjusted EBITDA margin is equal to Adjusted EBITDA divided by net revenues.</w:t>
      </w:r>
    </w:p>
    <w:p>
      <w:pPr>
        <w:spacing w:after="0" w:line="93" w:lineRule="exact"/>
        <w:rPr>
          <w:rFonts w:ascii="Calibri" w:cs="Calibri" w:eastAsia="Calibri" w:hAnsi="Calibri"/>
          <w:sz w:val="20"/>
          <w:szCs w:val="20"/>
          <w:color w:val="auto"/>
        </w:rPr>
      </w:pPr>
    </w:p>
    <w:p>
      <w:pPr>
        <w:ind w:left="640" w:hanging="308"/>
        <w:spacing w:after="0"/>
        <w:tabs>
          <w:tab w:leader="none" w:pos="640"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Segment income margin is equal to segment income divided by net segment revenues.</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We defne Adjusted EPS as Adjusted Net Income divided by the weighted average number of diluted shares outstanding.</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Our Net Debt is equal to our total debt, plus unamortzed debt issuance costs and debt discounts, less cash and cash equivalents.</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Our Net Leverage Rato is equal to Net Debt divided by Adjusted EBITDA.</w:t>
      </w:r>
    </w:p>
    <w:p>
      <w:pPr>
        <w:spacing w:after="0" w:line="225" w:lineRule="exact"/>
        <w:rPr>
          <w:sz w:val="20"/>
          <w:szCs w:val="20"/>
          <w:color w:val="auto"/>
        </w:rPr>
      </w:pPr>
    </w:p>
    <w:p>
      <w:pPr>
        <w:ind w:right="80"/>
        <w:spacing w:after="0" w:line="233" w:lineRule="auto"/>
        <w:rPr>
          <w:sz w:val="20"/>
          <w:szCs w:val="20"/>
          <w:color w:val="auto"/>
        </w:rPr>
      </w:pPr>
      <w:r>
        <w:rPr>
          <w:rFonts w:ascii="Calibri" w:cs="Calibri" w:eastAsia="Calibri" w:hAnsi="Calibri"/>
          <w:sz w:val="20"/>
          <w:szCs w:val="20"/>
          <w:color w:val="auto"/>
        </w:rPr>
        <w:t>Constant currency is a non-GAAP fnancial measure we use to assess performance excluding the impact of foreign currency exchange rate changes. We calculate constant currency net revenues by translatng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additon to, not as a substtute for, results reported in accordance with GAAP. Results on a constant currency basis, as we present them, may not be comparable to similarly ttled measures used by other companies and are not measures of performance presented in accordance with GAAP.</w:t>
      </w:r>
    </w:p>
    <w:p>
      <w:pPr>
        <w:spacing w:after="0" w:line="96" w:lineRule="exact"/>
        <w:rPr>
          <w:sz w:val="20"/>
          <w:szCs w:val="20"/>
          <w:color w:val="auto"/>
        </w:rPr>
      </w:pPr>
    </w:p>
    <w:p>
      <w:pPr>
        <w:ind w:right="240"/>
        <w:spacing w:after="0" w:line="232" w:lineRule="auto"/>
        <w:rPr>
          <w:sz w:val="20"/>
          <w:szCs w:val="20"/>
          <w:color w:val="auto"/>
        </w:rPr>
      </w:pPr>
      <w:r>
        <w:rPr>
          <w:rFonts w:ascii="Calibri" w:cs="Calibri" w:eastAsia="Calibri" w:hAnsi="Calibri"/>
          <w:sz w:val="20"/>
          <w:szCs w:val="20"/>
          <w:color w:val="auto"/>
        </w:rPr>
        <w:t>We use these non-GAAP fnancial measures as the principal measures of our operatng performance. Management believes these measures allow management to more efectvely evaluate our operatng performance and compare the results of our operatons from period to period without the impact of certain non-cash items and non-routne items that we do not expect to contnue at the same level in the future and other items that are not core to our operatons. We believe that these measures are useful to our investors because they provide a more complete understanding of the factors and trends afectng our business than could be obtained without these measures and their disclosure. In additon, we believe these measures will assist investors in making comparisons to our historical operatng results and analyzing the underlying performance of our operatons for the periods presented. Our management also uses these measurements in their fnancial analysis and operatonal decision-making and Adjusted EBITDA serves as the key metric for the atainment of our primary annual incentve program. These measures may be calculated diferently from, and therefore may not be comparable to, a similarly ttled measure used by other companies.</w:t>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Sotera Health</w:t>
      </w:r>
    </w:p>
    <w:p>
      <w:pPr>
        <w:spacing w:after="0" w:line="90" w:lineRule="exact"/>
        <w:rPr>
          <w:sz w:val="20"/>
          <w:szCs w:val="20"/>
          <w:color w:val="auto"/>
        </w:rPr>
      </w:pPr>
    </w:p>
    <w:p>
      <w:pPr>
        <w:ind w:right="120"/>
        <w:spacing w:after="0" w:line="231"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220"/>
          </w:cols>
          <w:pgMar w:left="320" w:top="1064" w:right="359" w:bottom="1440" w:gutter="0" w:footer="0" w:header="0"/>
        </w:sectPr>
      </w:pPr>
    </w:p>
    <w:bookmarkStart w:id="8" w:name="page9"/>
    <w:bookmarkEnd w:id="8"/>
    <w:p>
      <w:pPr>
        <w:spacing w:after="0" w:line="234" w:lineRule="auto"/>
        <w:rPr>
          <w:sz w:val="20"/>
          <w:szCs w:val="20"/>
          <w:color w:val="auto"/>
        </w:rPr>
      </w:pPr>
      <w:r>
        <w:rPr>
          <w:rFonts w:ascii="Calibri" w:cs="Calibri" w:eastAsia="Calibri" w:hAnsi="Calibri"/>
          <w:sz w:val="20"/>
          <w:szCs w:val="20"/>
          <w:color w:val="auto"/>
        </w:rPr>
        <w:t xml:space="preserve">Updates on recent developments in maters relevant to investors can be found on the Investor Relatons secton of the Sotera Health website at </w:t>
      </w:r>
      <w:r>
        <w:rPr>
          <w:rFonts w:ascii="Calibri" w:cs="Calibri" w:eastAsia="Calibri" w:hAnsi="Calibri"/>
          <w:sz w:val="20"/>
          <w:szCs w:val="20"/>
          <w:u w:val="single" w:color="auto"/>
          <w:color w:val="3051F2"/>
        </w:rPr>
        <w:t>Investor Relatons | Sotera Health</w:t>
      </w:r>
      <w:r>
        <w:rPr>
          <w:rFonts w:ascii="Calibri" w:cs="Calibri" w:eastAsia="Calibri" w:hAnsi="Calibri"/>
          <w:sz w:val="20"/>
          <w:szCs w:val="20"/>
          <w:color w:val="auto"/>
        </w:rPr>
        <w:t xml:space="preserve">. For developments related to EO, updates can be found at </w:t>
      </w:r>
      <w:r>
        <w:rPr>
          <w:rFonts w:ascii="Calibri" w:cs="Calibri" w:eastAsia="Calibri" w:hAnsi="Calibri"/>
          <w:sz w:val="20"/>
          <w:szCs w:val="20"/>
          <w:u w:val="single" w:color="auto"/>
          <w:color w:val="3051F2"/>
        </w:rPr>
        <w:t>Ethylene Oxide | Sotera Health</w:t>
      </w:r>
      <w:r>
        <w:rPr>
          <w:rFonts w:ascii="Calibri" w:cs="Calibri" w:eastAsia="Calibri" w:hAnsi="Calibri"/>
          <w:sz w:val="20"/>
          <w:szCs w:val="20"/>
          <w:color w:val="auto"/>
        </w:rPr>
        <w:t>.</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Contacts:</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Jason Peterson</w:t>
      </w:r>
    </w:p>
    <w:p>
      <w:pPr>
        <w:spacing w:after="0" w:line="225" w:lineRule="auto"/>
        <w:rPr>
          <w:sz w:val="20"/>
          <w:szCs w:val="20"/>
          <w:color w:val="auto"/>
        </w:rPr>
      </w:pPr>
      <w:r>
        <w:rPr>
          <w:rFonts w:ascii="Calibri" w:cs="Calibri" w:eastAsia="Calibri" w:hAnsi="Calibri"/>
          <w:sz w:val="20"/>
          <w:szCs w:val="20"/>
          <w:color w:val="auto"/>
        </w:rPr>
        <w:t>Vice President, Investor Relatons &amp; Treasurer</w:t>
      </w:r>
    </w:p>
    <w:p>
      <w:pPr>
        <w:spacing w:after="0"/>
        <w:rPr>
          <w:sz w:val="20"/>
          <w:szCs w:val="20"/>
          <w:color w:val="auto"/>
        </w:rPr>
      </w:pPr>
      <w:r>
        <w:rPr>
          <w:rFonts w:ascii="Calibri" w:cs="Calibri" w:eastAsia="Calibri" w:hAnsi="Calibri"/>
          <w:sz w:val="20"/>
          <w:szCs w:val="20"/>
          <w:u w:val="single" w:color="auto"/>
          <w:color w:val="0000FF"/>
        </w:rPr>
        <w:t>IR@soterahealth.com</w:t>
      </w:r>
    </w:p>
    <w:p>
      <w:pPr>
        <w:spacing w:after="0" w:line="268" w:lineRule="exact"/>
        <w:rPr>
          <w:sz w:val="20"/>
          <w:szCs w:val="20"/>
          <w:color w:val="auto"/>
        </w:rPr>
      </w:pPr>
    </w:p>
    <w:p>
      <w:pPr>
        <w:spacing w:after="0"/>
        <w:rPr>
          <w:sz w:val="20"/>
          <w:szCs w:val="20"/>
          <w:color w:val="auto"/>
        </w:rPr>
      </w:pPr>
      <w:r>
        <w:rPr>
          <w:rFonts w:ascii="Calibri" w:cs="Calibri" w:eastAsia="Calibri" w:hAnsi="Calibri"/>
          <w:sz w:val="20"/>
          <w:szCs w:val="20"/>
          <w:color w:val="auto"/>
        </w:rPr>
        <w:t>Kristn Gibbs</w:t>
      </w:r>
    </w:p>
    <w:p>
      <w:pPr>
        <w:spacing w:after="0" w:line="225" w:lineRule="auto"/>
        <w:rPr>
          <w:sz w:val="20"/>
          <w:szCs w:val="20"/>
          <w:color w:val="auto"/>
        </w:rPr>
      </w:pPr>
      <w:r>
        <w:rPr>
          <w:rFonts w:ascii="Calibri" w:cs="Calibri" w:eastAsia="Calibri" w:hAnsi="Calibri"/>
          <w:sz w:val="20"/>
          <w:szCs w:val="20"/>
          <w:color w:val="auto"/>
        </w:rPr>
        <w:t>Chief Marketng Ofcer</w:t>
      </w:r>
    </w:p>
    <w:p>
      <w:pPr>
        <w:spacing w:after="0"/>
        <w:rPr>
          <w:sz w:val="20"/>
          <w:szCs w:val="20"/>
          <w:color w:val="auto"/>
        </w:rPr>
      </w:pPr>
      <w:r>
        <w:rPr>
          <w:rFonts w:ascii="Calibri" w:cs="Calibri" w:eastAsia="Calibri" w:hAnsi="Calibri"/>
          <w:sz w:val="20"/>
          <w:szCs w:val="20"/>
          <w:u w:val="single" w:color="auto"/>
          <w:color w:val="0000FF"/>
        </w:rPr>
        <w:t>kgibbs@soterahealth.com</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9"/>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080"/>
          </w:cols>
          <w:pgMar w:left="320" w:top="1033" w:right="4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20" w:type="dxa"/>
            <w:vAlign w:val="bottom"/>
          </w:tcPr>
          <w:p>
            <w:pPr>
              <w:spacing w:after="0"/>
              <w:rPr>
                <w:sz w:val="17"/>
                <w:szCs w:val="17"/>
                <w:color w:val="auto"/>
              </w:rPr>
            </w:pPr>
          </w:p>
        </w:tc>
        <w:tc>
          <w:tcPr>
            <w:tcW w:w="246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9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238,795</w:t>
            </w: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237,918</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941,822</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905,598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51,408</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72,321</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158,619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143,690</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290,203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1,100,441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1,049,288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108,475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439,543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418,611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17,363</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58,603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53,519</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125,838</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130,156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498,146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472,130</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164,365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602,295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577,158</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61,837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242,630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236,667</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15,382</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62,039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63,799</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77,219</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76,059</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304,669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300,466</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87,146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297,626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276,692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40,960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164,691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142,878</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refinancing of debt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24,168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 EO litigation settlement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44,964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113,874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32,641</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26,989</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69,476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12,323</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44,398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4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29"/>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283,260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282,784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281,008</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285,817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283,339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284,906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40"/>
          </w:cols>
          <w:pgMar w:left="320" w:top="12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76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20" w:type="dxa"/>
            <w:vAlign w:val="bottom"/>
          </w:tcPr>
          <w:p>
            <w:pPr>
              <w:spacing w:after="0"/>
              <w:rPr>
                <w:sz w:val="17"/>
                <w:szCs w:val="17"/>
                <w:color w:val="auto"/>
              </w:rPr>
            </w:pPr>
          </w:p>
        </w:tc>
        <w:tc>
          <w:tcPr>
            <w:tcW w:w="2420" w:type="dxa"/>
            <w:vAlign w:val="bottom"/>
            <w:gridSpan w:val="4"/>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Sterigenics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179,428</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697,853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667,130</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Nordion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160,459</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Nelson Labs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53,984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229,233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221,699</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290,203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1,049,288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99,586</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362,212</w:t>
            </w:r>
          </w:p>
        </w:tc>
        <w:tc>
          <w:tcPr>
            <w:tcW w:w="0" w:type="dxa"/>
            <w:vAlign w:val="bottom"/>
          </w:tcPr>
          <w:p>
            <w:pPr>
              <w:spacing w:after="0"/>
              <w:rPr>
                <w:sz w:val="1"/>
                <w:szCs w:val="1"/>
                <w:color w:val="auto"/>
              </w:rPr>
            </w:pPr>
          </w:p>
        </w:tc>
      </w:tr>
      <w:tr>
        <w:trPr>
          <w:trHeight w:val="230"/>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96,678</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18,066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69,139</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152,934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548,574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528,029</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164,691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142,878</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161,797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157,925</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(c)</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32,364</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refinancing of debt</w:t>
            </w:r>
            <w:r>
              <w:rPr>
                <w:rFonts w:ascii="Times New Roman" w:cs="Times New Roman" w:eastAsia="Times New Roman" w:hAnsi="Times New Roman"/>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(gain) on foreign currency and derivatives not designated as hedging</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4,147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2,448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instruments, net</w:t>
            </w:r>
            <w:r>
              <w:rPr>
                <w:rFonts w:ascii="Times New Roman" w:cs="Times New Roman" w:eastAsia="Times New Roman" w:hAnsi="Times New Roman"/>
                <w:sz w:val="23"/>
                <w:szCs w:val="23"/>
                <w:color w:val="auto"/>
                <w:vertAlign w:val="superscript"/>
              </w:rPr>
              <w:t>(e)</w:t>
            </w: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(f)</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services and other expenses relating to EO sterilization facilities</w:t>
            </w:r>
            <w:r>
              <w:rPr>
                <w:rFonts w:ascii="Times New Roman" w:cs="Times New Roman" w:eastAsia="Times New Roman" w:hAnsi="Times New Roman"/>
                <w:sz w:val="23"/>
                <w:szCs w:val="23"/>
                <w:color w:val="auto"/>
                <w:vertAlign w:val="superscript"/>
              </w:rPr>
              <w:t>(g)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45,312</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Georgia EO litigation settlement</w:t>
            </w:r>
            <w:r>
              <w:rPr>
                <w:rFonts w:ascii="Times New Roman" w:cs="Times New Roman" w:eastAsia="Times New Roman" w:hAnsi="Times New Roman"/>
                <w:sz w:val="23"/>
                <w:szCs w:val="23"/>
                <w:color w:val="auto"/>
                <w:vertAlign w:val="superscript"/>
              </w:rPr>
              <w:t>(h)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Secondary offering and other shareholder activities</w:t>
            </w:r>
            <w:r>
              <w:rPr>
                <w:rFonts w:ascii="Times New Roman" w:cs="Times New Roman" w:eastAsia="Times New Roman" w:hAnsi="Times New Roman"/>
                <w:sz w:val="23"/>
                <w:szCs w:val="23"/>
                <w:color w:val="auto"/>
                <w:vertAlign w:val="superscript"/>
              </w:rPr>
              <w:t>(i)</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(j)</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(loss) before income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44,964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113,874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500" w:right="540" w:hanging="492"/>
        <w:spacing w:after="0" w:line="270" w:lineRule="auto"/>
        <w:tabs>
          <w:tab w:leader="none" w:pos="49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net presented in this reconciliation for the three months and year ended December 31, 2023 has been adjusted to conform to the current year presentation to include interest expense, net on Term Loan B due 2026 attributable to the loan proceeds that were used to fund the $408.0 million Illinois EO litigation settlement.</w:t>
      </w:r>
    </w:p>
    <w:p>
      <w:pPr>
        <w:ind w:left="500" w:right="220" w:hanging="492"/>
        <w:spacing w:after="0" w:line="280"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 The three months and year ended December 31, 2024 excludes accelerated depreciation associated with business optimization activities.</w:t>
      </w:r>
    </w:p>
    <w:p>
      <w:pPr>
        <w:spacing w:after="0" w:line="2"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auto"/>
        </w:rPr>
      </w:pPr>
    </w:p>
    <w:p>
      <w:pPr>
        <w:ind w:left="500" w:right="300" w:hanging="492"/>
        <w:spacing w:after="0" w:line="263"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write-off of unamortized debt issuance costs and discounts, as well as certain other costs incurred related to the Refinancing Term Loans and the Secured Notes. The year ended December 31, 2024 also includes $0.7 million of debt refinancing costs related to Amendment No. 3 to the Senior Secured Credit Facilities.</w:t>
      </w:r>
    </w:p>
    <w:p>
      <w:pPr>
        <w:spacing w:after="0" w:line="2" w:lineRule="exact"/>
        <w:rPr>
          <w:rFonts w:ascii="Times New Roman" w:cs="Times New Roman" w:eastAsia="Times New Roman" w:hAnsi="Times New Roman"/>
          <w:sz w:val="16"/>
          <w:szCs w:val="16"/>
          <w:color w:val="auto"/>
        </w:rPr>
      </w:pPr>
    </w:p>
    <w:p>
      <w:pPr>
        <w:ind w:left="500" w:right="60" w:hanging="492"/>
        <w:spacing w:after="0" w:line="281" w:lineRule="auto"/>
        <w:tabs>
          <w:tab w:leader="none" w:pos="49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auto"/>
        </w:rPr>
      </w:pPr>
    </w:p>
    <w:p>
      <w:pPr>
        <w:ind w:left="500" w:right="60" w:hanging="492"/>
        <w:spacing w:after="0" w:line="260"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year ended December 31, 2023 includes a $1.0 million cancellation fee received from a tenant in connection with the termination of an office space lease at the Nordion facility.</w:t>
      </w:r>
    </w:p>
    <w:p>
      <w:pPr>
        <w:spacing w:after="0" w:line="5" w:lineRule="exact"/>
        <w:rPr>
          <w:rFonts w:ascii="Times New Roman" w:cs="Times New Roman" w:eastAsia="Times New Roman" w:hAnsi="Times New Roman"/>
          <w:sz w:val="16"/>
          <w:szCs w:val="16"/>
          <w:color w:val="auto"/>
        </w:rPr>
      </w:pPr>
    </w:p>
    <w:p>
      <w:pPr>
        <w:ind w:left="500" w:right="20" w:hanging="492"/>
        <w:spacing w:after="0" w:line="270"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 Amounts presented for the three months and year ended December 31, 2023 have been adjusted to exclude interest expense, net associated with Term Loan B due 2026 attributable to the loan proceeds that were used to fund the $408.0 million Illinois EO litigation settlement.</w:t>
      </w:r>
    </w:p>
    <w:p>
      <w:pPr>
        <w:ind w:left="500" w:hanging="492"/>
        <w:spacing w:after="0"/>
        <w:tabs>
          <w:tab w:leader="none" w:pos="50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cost to settle 79 pending EO claims in Georgia under a settlement entered into on December 21, 2023.</w:t>
      </w:r>
    </w:p>
    <w:p>
      <w:pPr>
        <w:spacing w:after="0" w:line="45" w:lineRule="exact"/>
        <w:rPr>
          <w:rFonts w:ascii="Times New Roman" w:cs="Times New Roman" w:eastAsia="Times New Roman" w:hAnsi="Times New Roman"/>
          <w:sz w:val="16"/>
          <w:szCs w:val="16"/>
          <w:color w:val="231F20"/>
        </w:rPr>
      </w:pPr>
    </w:p>
    <w:p>
      <w:pPr>
        <w:ind w:left="500" w:right="720" w:hanging="492"/>
        <w:spacing w:after="0" w:line="272" w:lineRule="auto"/>
        <w:tabs>
          <w:tab w:leader="none" w:pos="49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expenses incurred in connection with secondary offerings of our common stock that closed on March 4, 2024 and September 6, 2024 and legal, consulting, and other fees associated with shareholder engagement.</w:t>
      </w:r>
    </w:p>
    <w:p>
      <w:pPr>
        <w:spacing w:after="0" w:line="1" w:lineRule="exact"/>
        <w:rPr>
          <w:rFonts w:ascii="Times New Roman" w:cs="Times New Roman" w:eastAsia="Times New Roman" w:hAnsi="Times New Roman"/>
          <w:sz w:val="16"/>
          <w:szCs w:val="16"/>
          <w:color w:val="auto"/>
        </w:rPr>
      </w:pPr>
    </w:p>
    <w:p>
      <w:pPr>
        <w:ind w:left="500" w:right="420" w:hanging="492"/>
        <w:spacing w:after="0" w:line="298" w:lineRule="auto"/>
        <w:tabs>
          <w:tab w:leader="none" w:pos="491"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non-cash accretion of asset retirement obligations (“ARO”) related to Co-60 gamma and EO processing facilities, which are based on estimated site remediation costs for any future decommissioning of these facilities and are accreted over the life of the asset.</w:t>
      </w:r>
    </w:p>
    <w:p>
      <w:pPr>
        <w:sectPr>
          <w:pgSz w:w="11900" w:h="16838" w:orient="portrait"/>
          <w:cols w:equalWidth="0" w:num="1">
            <w:col w:w="11240"/>
          </w:cols>
          <w:pgMar w:left="320" w:top="338"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ectPr>
          <w:pgSz w:w="11900" w:h="16838" w:orient="portrait"/>
          <w:cols w:equalWidth="0" w:num="1">
            <w:col w:w="11240"/>
          </w:cols>
          <w:pgMar w:left="320" w:top="338"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including restricted cash</w:t>
            </w:r>
          </w:p>
        </w:tc>
        <w:tc>
          <w:tcPr>
            <w:tcW w:w="34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278,865</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301,654</w:t>
            </w:r>
          </w:p>
        </w:tc>
        <w:tc>
          <w:tcPr>
            <w:tcW w:w="0" w:type="dxa"/>
            <w:vAlign w:val="bottom"/>
          </w:tcPr>
          <w:p>
            <w:pPr>
              <w:spacing w:after="0"/>
              <w:rPr>
                <w:sz w:val="1"/>
                <w:szCs w:val="1"/>
                <w:color w:val="auto"/>
              </w:rPr>
            </w:pPr>
          </w:p>
        </w:tc>
      </w:tr>
      <w:tr>
        <w:trPr>
          <w:trHeight w:val="230"/>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140,327</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147,696</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49,158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57,687</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59,578</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526,037</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557,244</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1,036,892</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946,914</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27,551</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317,653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416,318</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1,081,073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1,111,190</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82,442</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74,717</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3,071,648</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191,002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230,654</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2,208,100</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2,223,674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198,135</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167,904</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69,500</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64,454</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1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2,666,737</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2,686,686</w:t>
            </w: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1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404,911</w:t>
            </w: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443,734</w:t>
            </w:r>
          </w:p>
        </w:tc>
        <w:tc>
          <w:tcPr>
            <w:tcW w:w="0" w:type="dxa"/>
            <w:vAlign w:val="bottom"/>
          </w:tcPr>
          <w:p>
            <w:pPr>
              <w:spacing w:after="0"/>
              <w:rPr>
                <w:sz w:val="1"/>
                <w:szCs w:val="1"/>
                <w:color w:val="auto"/>
              </w:rPr>
            </w:pPr>
          </w:p>
        </w:tc>
      </w:tr>
      <w:tr>
        <w:trPr>
          <w:trHeight w:val="28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3,071,648</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Calibri" w:cs="Calibri" w:eastAsia="Calibri" w:hAnsi="Calibri"/>
                <w:sz w:val="18"/>
                <w:szCs w:val="18"/>
                <w:color w:val="auto"/>
              </w:rPr>
              <w:t>9</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48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4"/>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9"/>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8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44,398</w:t>
            </w:r>
          </w:p>
        </w:tc>
        <w:tc>
          <w:tcPr>
            <w:tcW w:w="14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51,376</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in) operating activities: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items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222,400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204,177</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(42,634)</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(403,285)</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224,164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(147,732)</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(179,070)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(214,975)</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(178,996)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(214,906)</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revolving credit facility and long-term borrowings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2,259,350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of revolving credit facility</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long-term borrowings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(2,264,373)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of debt issuance costs and prepayment premium</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(32,071)</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(25,645)</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Buyout of leased facility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(6,736)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withheld for employee taxes on equity awards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(4,428)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(4,089)</w:t>
            </w:r>
          </w:p>
        </w:tc>
      </w:tr>
      <w:tr>
        <w:trPr>
          <w:trHeight w:val="228"/>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(2,306)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(1,807)</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(50,564)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265,959</w:t>
            </w:r>
          </w:p>
        </w:tc>
      </w:tr>
      <w:tr>
        <w:trPr>
          <w:trHeight w:val="228"/>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(17,393)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2,039</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 including restricted cash</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(22,789)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(94,640)</w:t>
            </w:r>
          </w:p>
        </w:tc>
      </w:tr>
      <w:tr>
        <w:trPr>
          <w:trHeight w:val="228"/>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beginning of period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301,654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396,294</w:t>
            </w:r>
          </w:p>
        </w:tc>
      </w:tr>
      <w:tr>
        <w:trPr>
          <w:trHeight w:val="277"/>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end of period</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278,865</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301,654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9"/>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interest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179,924</w:t>
            </w:r>
          </w:p>
        </w:tc>
        <w:tc>
          <w:tcPr>
            <w:tcW w:w="14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173,842</w:t>
            </w:r>
          </w:p>
        </w:tc>
      </w:tr>
      <w:tr>
        <w:trPr>
          <w:trHeight w:val="237"/>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income taxes, net of tax refunds received</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65,829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50,210</w:t>
            </w:r>
          </w:p>
        </w:tc>
      </w:tr>
      <w:tr>
        <w:trPr>
          <w:trHeight w:val="226"/>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Purchases of property, plant and equipment included in accounts payable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10,180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16,720</w:t>
            </w:r>
          </w:p>
        </w:tc>
      </w:tr>
    </w:tbl>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40"/>
          </w:cols>
          <w:pgMar w:left="320" w:top="12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40" w:type="dxa"/>
            <w:vAlign w:val="bottom"/>
          </w:tcPr>
          <w:p>
            <w:pPr>
              <w:spacing w:after="0"/>
              <w:rPr>
                <w:sz w:val="18"/>
                <w:szCs w:val="18"/>
                <w:color w:val="auto"/>
              </w:rPr>
            </w:pPr>
          </w:p>
        </w:tc>
        <w:tc>
          <w:tcPr>
            <w:tcW w:w="266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12,323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38,681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44,398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51,376</w:t>
            </w: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19,640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20,058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79,377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81,348</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8,173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8,229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36,896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32,364</w:t>
            </w: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24,168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Loss (gain) on foreign currency and derivatives not designated as hedging</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4,147</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(3,011)</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2,448</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(1,552)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instruments, net</w:t>
            </w:r>
            <w:r>
              <w:rPr>
                <w:rFonts w:ascii="Times New Roman" w:cs="Times New Roman" w:eastAsia="Times New Roman" w:hAnsi="Times New Roman"/>
                <w:sz w:val="21"/>
                <w:szCs w:val="21"/>
                <w:color w:val="auto"/>
                <w:vertAlign w:val="superscript"/>
              </w:rPr>
              <w:t>(c)</w:t>
            </w: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(d)</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4,470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7,504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7,662</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Professional services and other expenses relating to EO sterilization</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10,337</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11,362</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32,694</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45,312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facilities</w:t>
            </w:r>
            <w:r>
              <w:rPr>
                <w:rFonts w:ascii="Times New Roman" w:cs="Times New Roman" w:eastAsia="Times New Roman" w:hAnsi="Times New Roman"/>
                <w:sz w:val="21"/>
                <w:szCs w:val="21"/>
                <w:color w:val="auto"/>
                <w:vertAlign w:val="superscript"/>
              </w:rPr>
              <w:t>(e)</w:t>
            </w: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line="230" w:lineRule="exact"/>
              <w:rPr>
                <w:sz w:val="20"/>
                <w:szCs w:val="20"/>
                <w:color w:val="auto"/>
              </w:rPr>
            </w:pPr>
            <w:r>
              <w:rPr>
                <w:rFonts w:ascii="Times New Roman" w:cs="Times New Roman" w:eastAsia="Times New Roman" w:hAnsi="Times New Roman"/>
                <w:sz w:val="16"/>
                <w:szCs w:val="16"/>
                <w:color w:val="auto"/>
              </w:rPr>
              <w:t>Georgia EO litigation settlement</w:t>
            </w:r>
            <w:r>
              <w:rPr>
                <w:rFonts w:ascii="Times New Roman" w:cs="Times New Roman" w:eastAsia="Times New Roman" w:hAnsi="Times New Roman"/>
                <w:sz w:val="21"/>
                <w:szCs w:val="21"/>
                <w:color w:val="auto"/>
                <w:vertAlign w:val="superscript"/>
              </w:rPr>
              <w:t>(f)</w:t>
            </w:r>
          </w:p>
        </w:tc>
        <w:tc>
          <w:tcPr>
            <w:tcW w:w="16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9"/>
                <w:szCs w:val="19"/>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35,000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Secondary offering and other shareholder activities</w:t>
            </w:r>
            <w:r>
              <w:rPr>
                <w:rFonts w:ascii="Times New Roman" w:cs="Times New Roman" w:eastAsia="Times New Roman" w:hAnsi="Times New Roman"/>
                <w:sz w:val="21"/>
                <w:szCs w:val="21"/>
                <w:color w:val="auto"/>
                <w:vertAlign w:val="superscript"/>
              </w:rPr>
              <w:t>(g)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165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1,864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(h)</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724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2,638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2,413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(i)</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(1,246)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(10,057)</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(33,487)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(49,597)</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58,741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66,385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198,500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204,326</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40"/>
              <w:spacing w:after="0" w:line="212"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(j)</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40,960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42,653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164,691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142,878</w:t>
            </w: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(k)</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19,346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20,664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82,420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76,577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(l)</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33,887</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37,046</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102,963</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104,248</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(m)</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152,934</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166,748</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548,574</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528,029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290,203</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310,239</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1,100,441</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1,049,288</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52.7 %</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53.7 %</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49.9 %</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50.3 %</w:t>
            </w: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283,260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281,335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282,784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281,008</w:t>
            </w: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285,817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283,339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284,906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283,222</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0.04</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0.16</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0.04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0.16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0.21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0.70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0.73</w:t>
            </w:r>
          </w:p>
        </w:tc>
        <w:tc>
          <w:tcPr>
            <w:tcW w:w="0" w:type="dxa"/>
            <w:vAlign w:val="bottom"/>
          </w:tcPr>
          <w:p>
            <w:pPr>
              <w:spacing w:after="0"/>
              <w:rPr>
                <w:sz w:val="1"/>
                <w:szCs w:val="1"/>
                <w:color w:val="auto"/>
              </w:rPr>
            </w:pPr>
          </w:p>
        </w:tc>
      </w:tr>
      <w:tr>
        <w:trPr>
          <w:trHeight w:val="212"/>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0.21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0.70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0.72</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231F20"/>
        </w:rPr>
      </w:pPr>
    </w:p>
    <w:p>
      <w:pPr>
        <w:ind w:left="500" w:right="300" w:hanging="492"/>
        <w:spacing w:after="0" w:line="270" w:lineRule="auto"/>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write-off of unamortized debt issuance costs and discounts, as well as certain other costs incurred related to the Refinancing Term Loans and the Secured Notes. The year ended December 31, 2024 also includes $0.7 million of debt refinancing costs related to Amendment No. 3 to the Senior Secured Credit Facilities.</w:t>
      </w:r>
    </w:p>
    <w:p>
      <w:pPr>
        <w:ind w:left="500" w:right="60" w:hanging="492"/>
        <w:spacing w:after="0" w:line="272" w:lineRule="auto"/>
        <w:tabs>
          <w:tab w:leader="none" w:pos="491"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231F20"/>
        </w:rPr>
      </w:pPr>
    </w:p>
    <w:p>
      <w:pPr>
        <w:ind w:left="500" w:right="60" w:hanging="492"/>
        <w:spacing w:after="0" w:line="260" w:lineRule="auto"/>
        <w:tabs>
          <w:tab w:leader="none" w:pos="500"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year ended December 31, 2023 includes a $1.0 million cancellation fee received from a tenant in connection with the termination of an office space lease at the Nordion facility.</w:t>
      </w:r>
    </w:p>
    <w:p>
      <w:pPr>
        <w:spacing w:after="0" w:line="5" w:lineRule="exact"/>
        <w:rPr>
          <w:rFonts w:ascii="Times New Roman" w:cs="Times New Roman" w:eastAsia="Times New Roman" w:hAnsi="Times New Roman"/>
          <w:sz w:val="16"/>
          <w:szCs w:val="16"/>
          <w:color w:val="231F20"/>
        </w:rPr>
      </w:pPr>
    </w:p>
    <w:p>
      <w:pPr>
        <w:ind w:left="500" w:right="20" w:hanging="492"/>
        <w:spacing w:after="0" w:line="270" w:lineRule="auto"/>
        <w:tabs>
          <w:tab w:leader="none" w:pos="49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 Amounts presented for the three months and year ended December 31, 2023 have been adjusted to exclude interest expense, net associated with Term Loan B due 2026 attributable to the loan proceeds that were used to fund the $408.0 million Illinois EO litigation settlement.</w:t>
      </w:r>
    </w:p>
    <w:p>
      <w:pPr>
        <w:ind w:left="500" w:hanging="492"/>
        <w:spacing w:after="0"/>
        <w:tabs>
          <w:tab w:leader="none" w:pos="500"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cost to settle 79 pending EO claims in Georgia under a settlement entered into on December 21, 2023.</w:t>
      </w:r>
    </w:p>
    <w:p>
      <w:pPr>
        <w:spacing w:after="0" w:line="45" w:lineRule="exact"/>
        <w:rPr>
          <w:rFonts w:ascii="Times New Roman" w:cs="Times New Roman" w:eastAsia="Times New Roman" w:hAnsi="Times New Roman"/>
          <w:sz w:val="16"/>
          <w:szCs w:val="16"/>
          <w:color w:val="231F20"/>
        </w:rPr>
      </w:pPr>
    </w:p>
    <w:p>
      <w:pPr>
        <w:ind w:left="500" w:right="700" w:hanging="492"/>
        <w:spacing w:after="0" w:line="280" w:lineRule="auto"/>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expenses incurred in connection with secondary offerings of our common stock that closed on March 4, 2024 and September 6, 2024 and legal, consulting, and other fees associated with shareholder engagement.</w:t>
      </w:r>
    </w:p>
    <w:p>
      <w:pPr>
        <w:spacing w:after="0" w:line="2" w:lineRule="exact"/>
        <w:rPr>
          <w:rFonts w:ascii="Times New Roman" w:cs="Times New Roman" w:eastAsia="Times New Roman" w:hAnsi="Times New Roman"/>
          <w:sz w:val="16"/>
          <w:szCs w:val="16"/>
          <w:color w:val="auto"/>
        </w:rPr>
      </w:pPr>
    </w:p>
    <w:p>
      <w:pPr>
        <w:ind w:left="500" w:right="380" w:hanging="492"/>
        <w:spacing w:after="0" w:line="272" w:lineRule="auto"/>
        <w:tabs>
          <w:tab w:leader="none" w:pos="500"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6"/>
          <w:szCs w:val="16"/>
          <w:color w:val="231F20"/>
        </w:rPr>
      </w:pPr>
    </w:p>
    <w:p>
      <w:pPr>
        <w:ind w:left="500" w:right="40" w:hanging="492"/>
        <w:spacing w:after="0" w:line="280" w:lineRule="auto"/>
        <w:tabs>
          <w:tab w:leader="none" w:pos="491"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sectPr>
          <w:pgSz w:w="11900" w:h="16838" w:orient="portrait"/>
          <w:cols w:equalWidth="0" w:num="1">
            <w:col w:w="11240"/>
          </w:cols>
          <w:pgMar w:left="320" w:top="122"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11</w:t>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line="144" w:lineRule="exact"/>
        <w:rPr>
          <w:sz w:val="20"/>
          <w:szCs w:val="20"/>
          <w:color w:val="auto"/>
        </w:rPr>
      </w:pPr>
    </w:p>
    <w:p>
      <w:pPr>
        <w:jc w:val="both"/>
        <w:ind w:left="492" w:right="480" w:hanging="492"/>
        <w:spacing w:after="0" w:line="270" w:lineRule="auto"/>
        <w:tabs>
          <w:tab w:leader="none" w:pos="483" w:val="left"/>
        </w:tabs>
        <w:numPr>
          <w:ilvl w:val="0"/>
          <w:numId w:val="1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Interest expense, net presented in this reconciliation for the three months and </w:t>
      </w:r>
      <w:r>
        <w:rPr>
          <w:rFonts w:ascii="Times New Roman" w:cs="Times New Roman" w:eastAsia="Times New Roman" w:hAnsi="Times New Roman"/>
          <w:sz w:val="16"/>
          <w:szCs w:val="16"/>
          <w:color w:val="000000"/>
        </w:rPr>
        <w:t>year ended December 31, 2023</w:t>
      </w:r>
      <w:r>
        <w:rPr>
          <w:rFonts w:ascii="Times New Roman" w:cs="Times New Roman" w:eastAsia="Times New Roman" w:hAnsi="Times New Roman"/>
          <w:sz w:val="16"/>
          <w:szCs w:val="16"/>
          <w:color w:val="231F20"/>
        </w:rPr>
        <w:t xml:space="preserve"> has been adjusted to conform to the current year presentation to include interest expense, net on Term Loan B due 2026 attributable to the loan proceeds that were used to fund the $408.0 million Illinois EO litigation settlement.</w:t>
      </w:r>
    </w:p>
    <w:p>
      <w:pPr>
        <w:ind w:left="492" w:right="160" w:hanging="492"/>
        <w:spacing w:after="0" w:line="280" w:lineRule="auto"/>
        <w:tabs>
          <w:tab w:leader="none" w:pos="492" w:val="left"/>
        </w:tabs>
        <w:numPr>
          <w:ilvl w:val="0"/>
          <w:numId w:val="1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depreciation of Co-60 held at gamma irradiation sites. The three months and year ended December 31, 2024 excludes accelerated depreciation associated with business optimization activities.</w:t>
      </w:r>
    </w:p>
    <w:p>
      <w:pPr>
        <w:spacing w:after="0" w:line="2" w:lineRule="exact"/>
        <w:rPr>
          <w:rFonts w:ascii="Times New Roman" w:cs="Times New Roman" w:eastAsia="Times New Roman" w:hAnsi="Times New Roman"/>
          <w:sz w:val="16"/>
          <w:szCs w:val="16"/>
          <w:color w:val="231F20"/>
        </w:rPr>
      </w:pPr>
    </w:p>
    <w:p>
      <w:pPr>
        <w:ind w:left="492" w:right="60" w:hanging="492"/>
        <w:spacing w:after="0" w:line="272" w:lineRule="auto"/>
        <w:tabs>
          <w:tab w:leader="none" w:pos="483" w:val="left"/>
        </w:tabs>
        <w:numPr>
          <w:ilvl w:val="0"/>
          <w:numId w:val="1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difference between the income tax provision/benefit as determined under U.S. GAAP and the income tax benefit associated with pre-tax adjustments described in footnote (i).</w:t>
      </w:r>
    </w:p>
    <w:p>
      <w:pPr>
        <w:spacing w:after="0" w:line="1" w:lineRule="exact"/>
        <w:rPr>
          <w:rFonts w:ascii="Times New Roman" w:cs="Times New Roman" w:eastAsia="Times New Roman" w:hAnsi="Times New Roman"/>
          <w:sz w:val="16"/>
          <w:szCs w:val="16"/>
          <w:color w:val="231F20"/>
        </w:rPr>
      </w:pPr>
    </w:p>
    <w:p>
      <w:pPr>
        <w:jc w:val="both"/>
        <w:ind w:left="492" w:hanging="492"/>
        <w:spacing w:after="0" w:line="272" w:lineRule="auto"/>
        <w:tabs>
          <w:tab w:leader="none" w:pos="483" w:val="left"/>
        </w:tabs>
        <w:numPr>
          <w:ilvl w:val="0"/>
          <w:numId w:val="1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$24.1 million and $24.4 million of the adjustments for the three months ended December 31, 2024 </w:t>
      </w:r>
      <w:r>
        <w:rPr>
          <w:rFonts w:ascii="Times New Roman" w:cs="Times New Roman" w:eastAsia="Times New Roman" w:hAnsi="Times New Roman"/>
          <w:sz w:val="16"/>
          <w:szCs w:val="16"/>
          <w:color w:val="000000"/>
        </w:rPr>
        <w:t>and</w:t>
      </w:r>
      <w:r>
        <w:rPr>
          <w:rFonts w:ascii="Times New Roman" w:cs="Times New Roman" w:eastAsia="Times New Roman" w:hAnsi="Times New Roman"/>
          <w:sz w:val="16"/>
          <w:szCs w:val="16"/>
          <w:color w:val="231F20"/>
        </w:rPr>
        <w:t xml:space="preserve"> 2023, respectively, and $97.1 million and $94.1 million of the adjustments for the </w:t>
      </w:r>
      <w:r>
        <w:rPr>
          <w:rFonts w:ascii="Times New Roman" w:cs="Times New Roman" w:eastAsia="Times New Roman" w:hAnsi="Times New Roman"/>
          <w:sz w:val="16"/>
          <w:szCs w:val="16"/>
          <w:color w:val="000000"/>
        </w:rPr>
        <w:t>year ended December 31, 2024 and</w:t>
      </w:r>
      <w:r>
        <w:rPr>
          <w:rFonts w:ascii="Times New Roman" w:cs="Times New Roman" w:eastAsia="Times New Roman" w:hAnsi="Times New Roman"/>
          <w:sz w:val="16"/>
          <w:szCs w:val="16"/>
          <w:color w:val="231F20"/>
        </w:rPr>
        <w:t xml:space="preserve"> 2023, respectively, are included in cost of revenues, primarily consisting of amortization of intangible assets, depreciation, and accretion of asset retirement obligations.</w:t>
      </w:r>
    </w:p>
    <w:p>
      <w:pPr>
        <w:spacing w:after="0" w:line="374" w:lineRule="exact"/>
        <w:rPr>
          <w:sz w:val="20"/>
          <w:szCs w:val="20"/>
          <w:color w:val="auto"/>
        </w:rPr>
      </w:pPr>
    </w:p>
    <w:p>
      <w:pPr>
        <w:jc w:val="center"/>
        <w:ind w:right="-51"/>
        <w:spacing w:after="0"/>
        <w:rPr>
          <w:sz w:val="20"/>
          <w:szCs w:val="20"/>
          <w:color w:val="auto"/>
        </w:rPr>
      </w:pPr>
      <w:r>
        <w:rPr>
          <w:rFonts w:ascii="Calibri" w:cs="Calibri" w:eastAsia="Calibri" w:hAnsi="Calibri"/>
          <w:sz w:val="18"/>
          <w:szCs w:val="18"/>
          <w:color w:val="auto"/>
        </w:rPr>
        <w:t>12</w:t>
      </w:r>
    </w:p>
    <w:p>
      <w:pPr>
        <w:sectPr>
          <w:pgSz w:w="11900" w:h="16838" w:orient="portrait"/>
          <w:cols w:equalWidth="0" w:num="1">
            <w:col w:w="11172"/>
          </w:cols>
          <w:pgMar w:left="328" w:top="1440" w:right="3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Net Leverage)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tcPr>
          <w:p>
            <w:pPr>
              <w:spacing w:after="0"/>
              <w:rPr>
                <w:sz w:val="19"/>
                <w:szCs w:val="19"/>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14,803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2,208,100</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2,223,674</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95,286</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2,321,112</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2,301,035</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(277,242)</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(296,407)</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2,043,870</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2,004,628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548,574</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528,029</w:t>
            </w:r>
          </w:p>
        </w:tc>
      </w:t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12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3.7x</w:t>
            </w:r>
          </w:p>
        </w:tc>
        <w:tc>
          <w:tcPr>
            <w:tcW w:w="1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2025-02-27T06:29:57Z</dcterms:created>
  <dcterms:modified xsi:type="dcterms:W3CDTF">2025-02-27T06:29:57Z</dcterms:modified>
</cp:coreProperties>
</file>