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2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6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7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2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780" w:type="dxa"/>
            <w:vAlign w:val="bottom"/>
          </w:tcPr>
          <w:p>
            <w:pPr>
              <w:spacing w:after="0"/>
              <w:rPr>
                <w:sz w:val="16"/>
                <w:szCs w:val="16"/>
                <w:color w:val="auto"/>
              </w:rPr>
            </w:pPr>
          </w:p>
        </w:tc>
        <w:tc>
          <w:tcPr>
            <w:tcW w:w="74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9"/>
          </w:tcPr>
          <w:p>
            <w:pPr>
              <w:ind w:left="280"/>
              <w:spacing w:after="0"/>
              <w:rPr>
                <w:sz w:val="20"/>
                <w:szCs w:val="20"/>
                <w:color w:val="auto"/>
              </w:rPr>
            </w:pPr>
            <w:r>
              <w:rPr>
                <w:rFonts w:ascii="Times New Roman" w:cs="Times New Roman" w:eastAsia="Times New Roman" w:hAnsi="Times New Roman"/>
                <w:sz w:val="17"/>
                <w:szCs w:val="17"/>
                <w:color w:val="0000FF"/>
              </w:rPr>
              <w:t>09/06/2024</w:t>
            </w: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vMerge w:val="continue"/>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680" w:type="dxa"/>
            <w:vAlign w:val="bottom"/>
            <w:gridSpan w:val="2"/>
          </w:tcPr>
          <w:p>
            <w:pPr>
              <w:ind w:left="60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10017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2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29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8"/>
          </w:tcPr>
          <w:p>
            <w:pPr>
              <w:ind w:left="4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36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480" w:type="dxa"/>
            <w:vAlign w:val="bottom"/>
            <w:gridSpan w:val="4"/>
          </w:tcPr>
          <w:p>
            <w:pPr>
              <w:ind w:left="1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3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1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4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7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84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ind w:left="50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09/06/2024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15,000,000</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D</w:t>
            </w:r>
          </w:p>
        </w:tc>
        <w:tc>
          <w:tcPr>
            <w:tcW w:w="760" w:type="dxa"/>
            <w:vAlign w:val="bottom"/>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15.03</w:t>
            </w:r>
          </w:p>
        </w:tc>
        <w:tc>
          <w:tcPr>
            <w:tcW w:w="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73,822,952</w:t>
            </w:r>
            <w:r>
              <w:rPr>
                <w:rFonts w:ascii="Times New Roman" w:cs="Times New Roman" w:eastAsia="Times New Roman" w:hAnsi="Times New Roman"/>
                <w:sz w:val="22"/>
                <w:szCs w:val="22"/>
                <w:color w:val="008000"/>
                <w:vertAlign w:val="superscript"/>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20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1"/>
                <w:szCs w:val="11"/>
                <w:color w:val="008000"/>
              </w:rPr>
              <w:t>(4)(5)(6)</w:t>
            </w:r>
          </w:p>
        </w:tc>
        <w:tc>
          <w:tcPr>
            <w:tcW w:w="6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80" w:type="dxa"/>
            <w:vAlign w:val="bottom"/>
            <w:gridSpan w:val="18"/>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gridSpan w:val="4"/>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4"/>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2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2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76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102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Warburg Pincus Private Equity XI,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1020" w:type="dxa"/>
            <w:vAlign w:val="bottom"/>
            <w:gridSpan w:val="2"/>
          </w:tcPr>
          <w:p>
            <w:pPr>
              <w:ind w:left="3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10017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AVENUE</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-5190490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24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WP XI Partners,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4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91"/>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226"/>
        </w:trPr>
        <w:tc>
          <w:tcPr>
            <w:tcW w:w="4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1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87"/>
        </w:trPr>
        <w:tc>
          <w:tcPr>
            <w:tcW w:w="4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r>
      <w:tr>
        <w:trPr>
          <w:trHeight w:val="309"/>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4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Warburg Pincus XI Partners,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Warburg Pincus Private Equity XI-B,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1"/>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4"/>
                <w:szCs w:val="24"/>
                <w:color w:val="auto"/>
              </w:rPr>
            </w:pPr>
          </w:p>
        </w:tc>
      </w:tr>
      <w:tr>
        <w:trPr>
          <w:trHeight w:val="226"/>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7"/>
        </w:trPr>
        <w:tc>
          <w:tcPr>
            <w:tcW w:w="10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Bull Co-Invest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Bull Holdco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5"/>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Warburg Pincus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WARBURG PINCUS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450 LEXINGTON AVENUE</w:t>
      </w:r>
    </w:p>
    <w:p>
      <w:pPr>
        <w:sectPr>
          <w:pgSz w:w="11900" w:h="16880" w:orient="portrait"/>
          <w:cols w:equalWidth="0" w:num="1">
            <w:col w:w="9979"/>
          </w:cols>
          <w:pgMar w:left="480" w:top="256" w:right="1440" w:bottom="0" w:gutter="0" w:footer="0" w:header="0"/>
        </w:sect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80" w:orient="portrait"/>
          <w:cols w:equalWidth="0" w:num="1">
            <w:col w:w="9979"/>
          </w:cols>
          <w:pgMar w:left="480" w:top="256"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450 LEXINGTON</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4"/>
                <w:szCs w:val="24"/>
                <w:color w:val="auto"/>
              </w:rPr>
            </w:pPr>
          </w:p>
        </w:tc>
      </w:tr>
      <w:tr>
        <w:trPr>
          <w:trHeight w:val="226"/>
        </w:trPr>
        <w:tc>
          <w:tcPr>
            <w:tcW w:w="10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AVENUE</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7"/>
        </w:trPr>
        <w:tc>
          <w:tcPr>
            <w:tcW w:w="100" w:type="dxa"/>
            <w:vAlign w:val="bottom"/>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WP Global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80" w:type="dxa"/>
            <w:vAlign w:val="bottom"/>
            <w:gridSpan w:val="4"/>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Warburg Pincus Partners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-4155440</wp:posOffset>
            </wp:positionV>
            <wp:extent cx="2809240" cy="4234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809240" cy="423481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6, 2024, certain of the Warburg Pincus Entities (as defined below) sold a total of 15,000,000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59,079,058 shares of Common Stock of the Issuer held by Bull Holdco L.P. ("Bull Holdco") and (iii) 14,743,894 shares of Common Stock of the Issuer held by Bull Co-Invest L.P., a Delaware limited partnership ("Bull Co-Invest").</w:t>
      </w:r>
    </w:p>
    <w:p>
      <w:pPr>
        <w:spacing w:after="0" w:line="7"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 L.P., a Delaware limited partnership ("WP XI GP"), is the general partner of each of (i) Warburg Pincus Private Equity XI, L.P. ("WP XI"), (ii) Warburg Pincus Private Equity XI-B, L.P. ("WP XI-B"), (iii) WP XI Partners, L.P. ("WP XI Partners") and (iv) Warburg Pincus XI Partners, L.P. ("Warburg Pincus XI Partners"). WP Global LLC ("WP Global"), is the general partner of WP XI GP. Warburg Pincus Partners II, L.P. ("WPP II"), is the managing member of WP Global. Warburg Pincus Partners GP LLC ("WPP GP LLC"), is the general partner of WPP II. Warburg Pincus &amp; Co. ("WP"), is the managing member of WPP GP LLC. Warburg Pincus (Cayman) XI, L.P. ("WP XI Cayman GP"), is the general partner of Warburg Pincus Private Equity XI-C, L.P. ("WP XI-C" and, together with WP XI, WP XI-B, WP XI Partners and Warburg Pincus XI Partners, the "WP XI Funds").</w:t>
      </w:r>
    </w:p>
    <w:p>
      <w:pPr>
        <w:spacing w:after="0" w:line="26" w:lineRule="exact"/>
        <w:rPr>
          <w:rFonts w:ascii="Times New Roman" w:cs="Times New Roman" w:eastAsia="Times New Roman" w:hAnsi="Times New Roman"/>
          <w:sz w:val="13"/>
          <w:szCs w:val="13"/>
          <w:color w:val="008000"/>
        </w:rPr>
      </w:pPr>
    </w:p>
    <w:p>
      <w:pPr>
        <w:ind w:left="20" w:right="1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WP XI Funds, Bull Co-Invest, Bull Holdco, WP Global, WPP II, WPP GP LLC, WP XI Cayman GP, WP XI-C LLC, WPP II Cayman, WP Bermuda GP, WP Bull Manager, WP LLC and WP are collectively referred to herein as the "Warburg Pincus Entities."</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Form 1 of 2. Two reports are filed that relate to the same transactions. See Form 2 of 2 for additional reporting entities.</w:t>
      </w:r>
    </w:p>
    <w:p>
      <w:pPr>
        <w:spacing w:after="0" w:line="6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See Exhibit 99.1</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09/09/2024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38"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69640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6964045" cy="171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122555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99.1</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List of Reporting Owners and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designated filer: WARBURG PINCUS &amp; CO.</w:t>
      </w:r>
    </w:p>
    <w:p>
      <w:pPr>
        <w:spacing w:after="0" w:line="21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Other joint filers: Warburg Pincus Private Equity XI, L.P., WP XI Partners, L.P., Warburg Pincus XI Partners, L.P., Warburg Pincus Private Equity XI-B, L.P., Bull Co-Invest L.P., Bull Holdco, L.P., Warburg Pincus XI, L.P., WP Global LLC, Warburg Pincus Partners II, 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each joint filer is: c/o Warburg Pincus &amp; Co., 450 Lexington Avenue, New York, New York 10017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 or Trading Symbol: Sotera Health Co [SHC]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WARBURG PINCUS &amp; CO.</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3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09/09/2024</w:t>
            </w:r>
          </w:p>
        </w:tc>
        <w:tc>
          <w:tcPr>
            <w:tcW w:w="270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8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Date</w:t>
            </w: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80"/>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 L.P.</w:t>
            </w: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3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09/09/2024</w:t>
            </w:r>
          </w:p>
        </w:tc>
        <w:tc>
          <w:tcPr>
            <w:tcW w:w="270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8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Date</w:t>
            </w: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80"/>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WP XI PARTNERS, L.P.</w:t>
            </w: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3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09/09/2024</w:t>
            </w:r>
          </w:p>
        </w:tc>
        <w:tc>
          <w:tcPr>
            <w:tcW w:w="270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48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Date</w:t>
            </w: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612"/>
        </w:trPr>
        <w:tc>
          <w:tcPr>
            <w:tcW w:w="8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239" w:right="4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XI PARTNERS, L.P.</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4"/>
        </w:trPr>
        <w:tc>
          <w:tcPr>
            <w:tcW w:w="88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5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XI-B, L.P.</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2"/>
        </w:trPr>
        <w:tc>
          <w:tcPr>
            <w:tcW w:w="88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4"/>
        </w:trPr>
        <w:tc>
          <w:tcPr>
            <w:tcW w:w="88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5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BULL CO-INVEST, L.P.</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Bull Manager, LLC, its general partner</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4"/>
        </w:trPr>
        <w:tc>
          <w:tcPr>
            <w:tcW w:w="88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5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BULL HOLDCO, L.P.</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Bull Holdco GP LLC, its general partner</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Private Equity XI, L.P., its sole and managing member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Warburg Pincus &amp; Co., its managing member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4"/>
        </w:trPr>
        <w:tc>
          <w:tcPr>
            <w:tcW w:w="88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586"/>
        </w:trPr>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812" w:right="45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XI, L.P.</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4"/>
        </w:trPr>
        <w:tc>
          <w:tcPr>
            <w:tcW w:w="88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5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WP GLOBAL LLC</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4"/>
        </w:trPr>
        <w:tc>
          <w:tcPr>
            <w:tcW w:w="88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5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PARTNERS II, L.P.</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Harsha G. Marti</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09/09/2024</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4"/>
        </w:trPr>
        <w:tc>
          <w:tcPr>
            <w:tcW w:w="88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2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8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825"/>
        </w:trPr>
        <w:tc>
          <w:tcPr>
            <w:tcW w:w="8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80"/>
      </w:cols>
      <w:pgMar w:left="460" w:top="57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13" Type="http://schemas.openxmlformats.org/officeDocument/2006/relationships/hyperlink" Target="http://www.sec.gov/cgi-bin/browse-edgar?action=getcompany&amp;CIK=0000929408" TargetMode="External"/><Relationship Id="rId14" Type="http://schemas.openxmlformats.org/officeDocument/2006/relationships/hyperlink" Target="http://www.sec.gov/cgi-bin/browse-edgar?action=getcompany&amp;CIK=0001822479" TargetMode="External"/><Relationship Id="rId15" Type="http://schemas.openxmlformats.org/officeDocument/2006/relationships/hyperlink" Target="http://www.sec.gov/cgi-bin/browse-edgar?action=getcompany&amp;CIK=0001540163" TargetMode="External"/><Relationship Id="rId18" Type="http://schemas.openxmlformats.org/officeDocument/2006/relationships/hyperlink" Target="http://www.sec.gov/cgi-bin/browse-edgar?action=getcompany&amp;CIK=0001540164" TargetMode="External"/><Relationship Id="rId19" Type="http://schemas.openxmlformats.org/officeDocument/2006/relationships/hyperlink" Target="http://www.sec.gov/cgi-bin/browse-edgar?action=getcompany&amp;CIK=0001540386" TargetMode="External"/><Relationship Id="rId20" Type="http://schemas.openxmlformats.org/officeDocument/2006/relationships/hyperlink" Target="http://www.sec.gov/cgi-bin/browse-edgar?action=getcompany&amp;CIK=0001540166" TargetMode="External"/><Relationship Id="rId21" Type="http://schemas.openxmlformats.org/officeDocument/2006/relationships/hyperlink" Target="http://www.sec.gov/cgi-bin/browse-edgar?action=getcompany&amp;CIK=0001832693" TargetMode="External"/><Relationship Id="rId22" Type="http://schemas.openxmlformats.org/officeDocument/2006/relationships/hyperlink" Target="http://www.sec.gov/cgi-bin/browse-edgar?action=getcompany&amp;CIK=0002014247" TargetMode="External"/><Relationship Id="rId23" Type="http://schemas.openxmlformats.org/officeDocument/2006/relationships/hyperlink" Target="http://www.sec.gov/cgi-bin/browse-edgar?action=getcompany&amp;CIK=0001540167" TargetMode="External"/><Relationship Id="rId24" Type="http://schemas.openxmlformats.org/officeDocument/2006/relationships/hyperlink" Target="http://www.sec.gov/cgi-bin/browse-edgar?action=getcompany&amp;CIK=0001540385" TargetMode="External"/><Relationship Id="rId25" Type="http://schemas.openxmlformats.org/officeDocument/2006/relationships/hyperlink" Target="http://www.sec.gov/cgi-bin/browse-edgar?action=getcompany&amp;CIK=00016587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2024-09-09T18:16:51Z</dcterms:created>
  <dcterms:modified xsi:type="dcterms:W3CDTF">2024-09-09T18:16:51Z</dcterms:modified>
</cp:coreProperties>
</file>