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-625475</wp:posOffset>
            </wp:positionV>
            <wp:extent cx="58420" cy="638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742950</wp:posOffset>
            </wp:positionV>
            <wp:extent cx="6993890" cy="555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554345"/>
                    </a:xfrm>
                    <a:prstGeom prst="rect">
                      <a:avLst/>
                    </a:prstGeom>
                    <a:noFill/>
                  </pic:spPr>
                </pic:pic>
              </a:graphicData>
            </a:graphic>
          </wp:anchor>
        </w:drawing>
      </w:r>
    </w:p>
    <w:p>
      <w:pPr>
        <w:spacing w:after="0" w:line="1241" w:lineRule="exact"/>
        <w:rPr>
          <w:sz w:val="24"/>
          <w:szCs w:val="24"/>
          <w:color w:val="auto"/>
        </w:rPr>
      </w:pPr>
    </w:p>
    <w:p>
      <w:pPr>
        <w:sectPr>
          <w:pgSz w:w="11900" w:h="16838" w:orient="portrait"/>
          <w:cols w:equalWidth="0" w:num="2">
            <w:col w:w="2320" w:space="260"/>
            <w:col w:w="8500"/>
          </w:cols>
          <w:pgMar w:left="460" w:top="217" w:right="359" w:bottom="42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Lyons Jonathan M.</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08/05/2025</w:t>
      </w:r>
    </w:p>
    <w:p>
      <w:pPr>
        <w:spacing w:after="0" w:line="20" w:lineRule="exact"/>
        <w:rPr>
          <w:sz w:val="24"/>
          <w:szCs w:val="24"/>
          <w:color w:val="auto"/>
        </w:rPr>
      </w:pPr>
      <w:r>
        <w:rPr>
          <w:sz w:val="24"/>
          <w:szCs w:val="24"/>
          <w:color w:val="auto"/>
        </w:rPr>
        <w:br w:type="column"/>
      </w:r>
    </w:p>
    <w:p>
      <w:pPr>
        <w:ind w:left="9" w:right="640" w:hanging="9"/>
        <w:spacing w:after="0" w:line="258"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9"/>
        <w:spacing w:after="0"/>
        <w:tabs>
          <w:tab w:leader="none" w:pos="208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89"/>
        <w:spacing w:after="0"/>
        <w:rPr>
          <w:sz w:val="20"/>
          <w:szCs w:val="20"/>
          <w:color w:val="auto"/>
        </w:rPr>
      </w:pPr>
      <w:r>
        <w:rPr>
          <w:rFonts w:ascii="Times New Roman" w:cs="Times New Roman" w:eastAsia="Times New Roman" w:hAnsi="Times New Roman"/>
          <w:sz w:val="17"/>
          <w:szCs w:val="17"/>
          <w:color w:val="0000FF"/>
        </w:rPr>
        <w:t>Sr. Vice President, CFO</w:t>
      </w:r>
    </w:p>
    <w:p>
      <w:pPr>
        <w:spacing w:after="0" w:line="328" w:lineRule="exact"/>
        <w:rPr>
          <w:sz w:val="24"/>
          <w:szCs w:val="24"/>
          <w:color w:val="auto"/>
        </w:rPr>
      </w:pPr>
    </w:p>
    <w:p>
      <w:pPr>
        <w:sectPr>
          <w:pgSz w:w="11900" w:h="16838" w:orient="portrait"/>
          <w:cols w:equalWidth="0" w:num="3">
            <w:col w:w="3180" w:space="720"/>
            <w:col w:w="3111" w:space="720"/>
            <w:col w:w="3349"/>
          </w:cols>
          <w:pgMar w:left="460" w:top="217" w:right="359" w:bottom="425" w:gutter="0" w:footer="0" w:header="0"/>
          <w:type w:val="continuous"/>
        </w:sectPr>
      </w:pP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80" w:type="dxa"/>
            <w:vAlign w:val="bottom"/>
            <w:gridSpan w:val="8"/>
          </w:tcPr>
          <w:p>
            <w:pPr>
              <w:jc w:val="center"/>
              <w:ind w:right="7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OH</w:t>
            </w:r>
          </w:p>
        </w:tc>
        <w:tc>
          <w:tcPr>
            <w:tcW w:w="860" w:type="dxa"/>
            <w:vAlign w:val="bottom"/>
          </w:tcPr>
          <w:p>
            <w:pPr>
              <w:spacing w:after="0"/>
              <w:rPr>
                <w:sz w:val="14"/>
                <w:szCs w:val="14"/>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44147</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HEIGHTS</w:t>
            </w:r>
          </w:p>
        </w:tc>
        <w:tc>
          <w:tcPr>
            <w:tcW w:w="48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760" w:type="dxa"/>
            <w:vAlign w:val="bottom"/>
            <w:tcBorders>
              <w:bottom w:val="single" w:sz="8" w:color="2C2C2C"/>
            </w:tcBorders>
            <w:gridSpan w:val="7"/>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5"/>
          </w:tcPr>
          <w:p>
            <w:pPr>
              <w:ind w:left="6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20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7"/>
                <w:szCs w:val="17"/>
                <w:color w:val="0000FF"/>
              </w:rPr>
              <w:t>08/05/2025</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11,508</w:t>
            </w:r>
            <w:r>
              <w:rPr>
                <w:rFonts w:ascii="Times New Roman" w:cs="Times New Roman" w:eastAsia="Times New Roman" w:hAnsi="Times New Roman"/>
                <w:sz w:val="21"/>
                <w:szCs w:val="21"/>
                <w:color w:val="008000"/>
                <w:w w:val="95"/>
                <w:vertAlign w:val="superscript"/>
              </w:rPr>
              <w:t>(1)</w:t>
            </w: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gridSpan w:val="2"/>
            <w:vMerge w:val="restart"/>
          </w:tcPr>
          <w:p>
            <w:pPr>
              <w:ind w:left="14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11.19</w:t>
            </w:r>
          </w:p>
        </w:tc>
        <w:tc>
          <w:tcPr>
            <w:tcW w:w="12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189,602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jc w:val="center"/>
              <w:ind w:right="6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gridSpan w:val="11"/>
          </w:tcPr>
          <w:p>
            <w:pPr>
              <w:jc w:val="center"/>
              <w:ind w:right="1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28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  if any</w:t>
            </w:r>
          </w:p>
        </w:tc>
        <w:tc>
          <w:tcPr>
            <w:tcW w:w="6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gridSpan w:val="2"/>
            <w:vMerge w:val="restart"/>
          </w:tcPr>
          <w:p>
            <w:pPr>
              <w:jc w:val="center"/>
              <w:ind w:right="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14.59</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03/04/2034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81,676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81,676</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(2)</w:t>
            </w:r>
          </w:p>
        </w:tc>
        <w:tc>
          <w:tcPr>
            <w:tcW w:w="76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gridSpan w:val="2"/>
            <w:vMerge w:val="restart"/>
          </w:tcPr>
          <w:p>
            <w:pPr>
              <w:jc w:val="center"/>
              <w:ind w:right="6"/>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16.89</w:t>
            </w: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08/07/2033</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33,640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33,640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7"/>
                <w:szCs w:val="7"/>
                <w:color w:val="008000"/>
                <w:vertAlign w:val="superscript"/>
              </w:rPr>
              <w:t>(2)</w:t>
            </w:r>
          </w:p>
        </w:tc>
        <w:tc>
          <w:tcPr>
            <w:tcW w:w="76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480" w:type="dxa"/>
            <w:vAlign w:val="bottom"/>
            <w:vMerge w:val="restart"/>
          </w:tcPr>
          <w:p>
            <w:pPr>
              <w:jc w:val="center"/>
              <w:ind w:left="143"/>
              <w:spacing w:after="0"/>
              <w:rPr>
                <w:sz w:val="20"/>
                <w:szCs w:val="20"/>
                <w:color w:val="auto"/>
              </w:rPr>
            </w:pPr>
            <w:r>
              <w:rPr>
                <w:rFonts w:ascii="Times New Roman" w:cs="Times New Roman" w:eastAsia="Times New Roman" w:hAnsi="Times New Roman"/>
                <w:sz w:val="11"/>
                <w:szCs w:val="11"/>
                <w:color w:val="008000"/>
                <w:w w:val="93"/>
              </w:rPr>
              <w:t>(5)</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29,895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29,895</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RSUs</w:t>
            </w:r>
            <w:r>
              <w:rPr>
                <w:rFonts w:ascii="Times New Roman" w:cs="Times New Roman" w:eastAsia="Times New Roman" w:hAnsi="Times New Roman"/>
                <w:sz w:val="7"/>
                <w:szCs w:val="7"/>
                <w:color w:val="008000"/>
                <w:vertAlign w:val="superscript"/>
              </w:rPr>
              <w:t>(2)</w:t>
            </w: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-2571750</wp:posOffset>
            </wp:positionV>
            <wp:extent cx="29210" cy="2577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774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3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25,655 Restricted Stock Units ("RSUs"), which represents 33% of the RSU award granted to the Reporting Person on August 7, 2023. These awards were granted pursuant to the terms of RSU agreements under the Sotera Health Company 2020 Omnibus Incentive Plan ("2020 Incentive Plan"). Each RSU represents the Reporting Person's right to receive one share of Common Stock, subject to vesting conditions.</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 is being reported on this line. Reported on a previously filed Form 4.</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March 4, 2024, pursuant to the terms of a stock option agreement under the 2020 Incentive Plan. The options vest annually in three equal installments commencing on March 2, 2025, subject to the Reporting Person's continued service through each such date.</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were granted on August 7, 2023, pursuant to the terms of a stock option agreement under the 2020 Incentive Plan. The options vest annually in three equal installments commencing August 5, 2024, subject to the Reporting Person's continued service through each such date.</w:t>
      </w:r>
    </w:p>
    <w:p>
      <w:pPr>
        <w:spacing w:after="0" w:line="17" w:lineRule="exact"/>
        <w:rPr>
          <w:rFonts w:ascii="Times New Roman" w:cs="Times New Roman" w:eastAsia="Times New Roman" w:hAnsi="Times New Roman"/>
          <w:sz w:val="13"/>
          <w:szCs w:val="13"/>
          <w:color w:val="008000"/>
        </w:rPr>
      </w:pPr>
    </w:p>
    <w:p>
      <w:pPr>
        <w:ind w:left="40" w:right="2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a maximum number of additional performance-based RSUs that were granted on March 3, 2025, pursuant to the terms of an RSU agreement under the 2020 Incentive Plan. Each additional RSU represents the Reporting Person's right to receive one share of Common Stock, subject to stock price-related performance conditions. The additional RSUs generally vest annually in 60%, 20%, and 20% installments, respectively, commencing March 3, 2026, subject to performance.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Lyons is filed as an exhibit to the Form 3 filed on July 6, 2023, which is hereby incorporated by reference.</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Gregory S. Harvey,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08/07/2025</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48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560" w:type="dxa"/>
            <w:vAlign w:val="bottom"/>
          </w:tcPr>
          <w:p>
            <w:pPr>
              <w:spacing w:after="0"/>
              <w:rPr>
                <w:sz w:val="7"/>
                <w:szCs w:val="7"/>
                <w:color w:val="auto"/>
              </w:rPr>
            </w:pPr>
          </w:p>
        </w:tc>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6560" w:type="dxa"/>
            <w:vAlign w:val="bottom"/>
          </w:tcPr>
          <w:p>
            <w:pPr>
              <w:spacing w:after="0"/>
              <w:rPr>
                <w:sz w:val="19"/>
                <w:szCs w:val="19"/>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3511"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2025-08-07T17:11:28Z</dcterms:created>
  <dcterms:modified xsi:type="dcterms:W3CDTF">2025-08-07T17:11:28Z</dcterms:modified>
</cp:coreProperties>
</file>