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Sotera Health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&amp; CO.</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WP XI Partners,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Private Equity XI,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XI Partners,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Private Equity XI-B,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Private Equity XI-C,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Bull Co-Invest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XI,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WP Global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Partners II,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Partners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(Cayman) XI,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XI-C,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Partners II (Cayman),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(Bermuda) Private Equity GP Ltd.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Warburg Pincus LLC</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item1to9"/>
      <w:bookmarkStart w:id="71" w:name="item1to9"/>
      <w:bookmarkEnd w:id="71"/>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Sotera Health Co</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9100 South Hills Blvd, Suite 300, Broadview Heights, OH, 44147</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6 to Schedule 13G is being filed jointly by (i) Warburg Pincus Private Equity XI, L.P. ("WP XI"), (ii) Warburg Pincus Private Equity XI-B, L.P. ("WP XI-B"), (iii) WP XI Partners, L.P. ("WP XI Partners"), (iv) Warburg Pincus XI Partners, L.P. ("Warburg Pincus XI Partners"), (v) Warburg Pincus Private Equity XI-C, L.P. ("WP XI-C" and, together with WP XI, WP XI-B, WP XI Partners and Warburg Pincus XI Partners, the "WP XI Funds"), (vi) Bull Co-Invest L.P. ("Bull Co-Invest"), (vii) Warburg Pincus XI, L.P. ("WP XI GP"), (viii) WP Global LLC ("WP Global"), (ix) Warburg Pincus Partners II, L.P. ("WPP II"), (x) Warburg Pincus Partners GP LLC ("WPP GP LLC"), (xi) Warburg Pincus &amp; Co. ("WP"), (xii) Warburg Pincus (Cayman) XI, L.P. ("WP XI Cayman GP"), (xiii) Warburg Pincus XI-C, LLC ("WP XI-C LLC"), (xiv) Warburg Pincus Partners II (Cayman), L.P. ("WPP II Cayman"), (xv) Warburg Pincus (Bermuda) Private Equity GP Ltd. ("WP Bermuda GP"), and (xvi) Warburg Pincus LLC ("WP LLC"). The WP XI Funds, Bull Co-Invest L.P. ("Bull Co-Invest"), Bull Holdco L.P. ("Bull Holdco), WP Global, WPP II, WPP GP LLC, WP XI Cayman GP, WP XI-C LLC, WPP II Cayman, WP Bermuda GP, WP Bull Manager, WP LLC and WP are collectively referred to herein as the "Warburg Pincus Entities." WP XI GP is the general partner of each of WP XI, WP XI-B, WP XI Partners and Warburg Pincus XI Partners. WP Global is the general partner of WP XI GP. WPP II is the managing member of WP Global. WPP GP LLC is the general partner of WPP II. WP is the managing member of WPP GP LLC. WP XI Cayman GP is the general partner of WP XI-C. WP XI-C LLC is the general partner of WP XI Cayman GP. WPP II Cayman is the managing member of WP XI-C LLC. WP Bermuda GP is the general partner of WPP II Cayman. WP Bull Manager LLC ("WP Bull Manager") is the general partner of Bull Co-Invest. WP is the managing member of WP Bull Manager. WP LLC is the manager of the WP XI Funds. The WP XI Funds share limited partnership ownership in Bull Holdco on a pro rata basis in accordance with their respective numbers of Contributed Shares. The WP XI Funds, Bull Co-Invest, WP XI GP, WP Global, WPP II, WPP GP LLC, WP XI Cayman GP, WP XI-C LLC, WPP II Cayman, WP Bermuda GP, WP Bull Manager, WP LLC and WP are collectively referred to herein as the "Warburg Pincus Reporting Persons" or "WP Investors."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Warburg Pincus Reporting Persons is 450 Lexington Avenue, New York, New York 10017</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Citizenship: </w:t>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(f)</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(g)</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(h)</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(j)</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(k)</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9039" w:type="dxa"/>
            <w:gridSpan w:val="2"/>
            <w:tcBorders/>
            <w:vAlign w:val="center"/>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May 13, 2026, the Warburg Pincus Reporting Persons no longer own any shares of Common Stock. This filing represents an exit filing for the Warburg Pincus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283"/>
              <w:jc w:val="left"/>
              <w:rPr/>
            </w:pPr>
            <w:r>
              <w:rPr/>
              <w:t xml:space="preserve">Percent of class: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6.</w:t>
            </w:r>
          </w:p>
        </w:tc>
        <w:tc>
          <w:tcPr>
            <w:tcW w:w="888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7.</w:t>
            </w:r>
          </w:p>
        </w:tc>
        <w:tc>
          <w:tcPr>
            <w:tcW w:w="88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8.</w:t>
            </w:r>
          </w:p>
        </w:tc>
        <w:tc>
          <w:tcPr>
            <w:tcW w:w="888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(1) The Warburg Pincus Reporting Persons are making this single, joint filing because they may be deemed to constitute a "group" within the meaning of the Securities Exchange Act of 1934, as amended (the "Exchange Act"). The joint filing agreement among the Warburg Pincus Reporting Persons to file this Amendment No. 6 to Schedule 13G jointly in accordance with Rule 13d-1(k) of the Exchange Act is incorporated by reference as Exhibit 99.1. (2) Each Warburg Pincus Reporting Person expressly disclaims beneficial ownership (within the meaning of Rule 13d-3 of the Exchange Act) with respect to any shares of Common Stock of the Issuer other than the shares of Common Stock of the issuer owned of record by such Warburg Pincus Reporting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9.</w:t>
            </w:r>
          </w:p>
        </w:tc>
        <w:tc>
          <w:tcPr>
            <w:tcW w:w="888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 w:name="certifications"/>
      <w:bookmarkStart w:id="73" w:name="certifications"/>
      <w:bookmarkEnd w:id="7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4" w:name="signatureInfo"/>
      <w:bookmarkStart w:id="75" w:name="signatureInfo"/>
      <w:bookmarkEnd w:id="7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WARBURG PINCUS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Harsha Marti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Harsha Marti / Partner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4614" w:type="dxa"/>
        <w:jc w:val="left"/>
        <w:tblInd w:w="0" w:type="dxa"/>
        <w:tblLayout w:type="fixed"/>
        <w:tblCellMar>
          <w:top w:w="28" w:type="dxa"/>
          <w:left w:w="28" w:type="dxa"/>
          <w:bottom w:w="28" w:type="dxa"/>
          <w:right w:w="28" w:type="dxa"/>
        </w:tblCellMar>
      </w:tblPr>
      <w:tblGrid>
        <w:gridCol w:w="2307"/>
        <w:gridCol w:w="2307"/>
      </w:tblGrid>
      <w:tr>
        <w:trPr/>
        <w:tc>
          <w:tcPr>
            <w:tcW w:w="2307" w:type="dxa"/>
            <w:tcBorders/>
            <w:vAlign w:val="center"/>
          </w:tcPr>
          <w:p>
            <w:pPr>
              <w:pStyle w:val="TableContents"/>
              <w:bidi w:val="0"/>
              <w:spacing w:before="0" w:after="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0"/>
                    <w:jc w:val="left"/>
                    <w:rPr/>
                  </w:pPr>
                  <w:r>
                    <w:rPr/>
                    <w:t>WP XI Partners, L.P.</w:t>
                  </w:r>
                </w:p>
              </w:tc>
            </w:tr>
          </w:tbl>
          <w:p>
            <w:pPr>
              <w:pStyle w:val="TableContents"/>
              <w:bidi w:val="0"/>
              <w:spacing w:before="0" w:after="283"/>
              <w:jc w:val="left"/>
              <w:rPr/>
            </w:pPr>
            <w:r>
              <w:rPr/>
            </w:r>
          </w:p>
        </w:tc>
        <w:tc>
          <w:tcPr>
            <w:tcW w:w="2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Warburg Pincus XI, L.P.</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Warburg Pincus XI, L.P / General Partner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WP Global LLC</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WP Global LLC / General Partner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Warburg Pincus Partners II, L.P</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Warburg Pincus Partners II, L.P. /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Warburg Pincus Partners GP LLC</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Warburg Pincus Partners GP LLC /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Warburg Pincus &amp; Co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Warburg Pincus &amp; Co. /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Harsha Marti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Harsha Marti / Partner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8236" w:type="dxa"/>
        <w:jc w:val="left"/>
        <w:tblInd w:w="0" w:type="dxa"/>
        <w:tblLayout w:type="fixed"/>
        <w:tblCellMar>
          <w:top w:w="28" w:type="dxa"/>
          <w:left w:w="28" w:type="dxa"/>
          <w:bottom w:w="28" w:type="dxa"/>
          <w:right w:w="28" w:type="dxa"/>
        </w:tblCellMar>
      </w:tblPr>
      <w:tblGrid>
        <w:gridCol w:w="4118"/>
        <w:gridCol w:w="4118"/>
      </w:tblGrid>
      <w:tr>
        <w:trPr/>
        <w:tc>
          <w:tcPr>
            <w:tcW w:w="4118" w:type="dxa"/>
            <w:tcBorders/>
            <w:vAlign w:val="center"/>
          </w:tcPr>
          <w:p>
            <w:pPr>
              <w:pStyle w:val="TableContents"/>
              <w:bidi w:val="0"/>
              <w:spacing w:before="0" w:after="0"/>
              <w:jc w:val="left"/>
              <w:rPr/>
            </w:pPr>
            <w:r>
              <w:rPr/>
              <w:t> </w:t>
            </w:r>
          </w:p>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Contents"/>
                    <w:bidi w:val="0"/>
                    <w:spacing w:before="0" w:after="0"/>
                    <w:jc w:val="left"/>
                    <w:rPr/>
                  </w:pPr>
                  <w:r>
                    <w:rPr/>
                    <w:t>Warburg Pincus Private Equity XI, L.P.</w:t>
                  </w:r>
                </w:p>
              </w:tc>
            </w:tr>
          </w:tbl>
          <w:p>
            <w:pPr>
              <w:pStyle w:val="TableContents"/>
              <w:bidi w:val="0"/>
              <w:spacing w:before="0" w:after="283"/>
              <w:jc w:val="left"/>
              <w:rPr/>
            </w:pPr>
            <w:r>
              <w:rPr/>
            </w:r>
          </w:p>
        </w:tc>
        <w:tc>
          <w:tcPr>
            <w:tcW w:w="41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4"/>
        <w:gridCol w:w="4451"/>
      </w:tblGrid>
      <w:tr>
        <w:trPr/>
        <w:tc>
          <w:tcPr>
            <w:tcW w:w="57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Harsha Marti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Harsha Marti,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WP Global LLC</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WP Global LLC / General Partner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Warburg Pincus Partners II, L.P.</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Warburg Pincus Partners II, L.P. /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Warburg Pincus Partners GP LLC</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Warburg Pincus Partners GP LLC /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Warburg Pincus &amp; Co.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Warburg Pincus &amp; Co. /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Harsha Marti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Harsha Marti / Partner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Warburg Pincus XI Partners, L.P.</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Warburg Pincus XI, L.P.</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Warburg Pincus XI, L.P. /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WP Global LLC</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WP Global LLC / General Partner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Warburg Pincus Partners II, L.P.</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Warburg Pincus Partners II, L.P. /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Warburg Pincus Partners GP LLC</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Warburg Pincus Partners GP LLC /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Warburg Pincus &amp; Co.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Warburg Pincus &amp; Co. /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Harsha Marti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Harsha Marti / Partner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8706" w:type="dxa"/>
        <w:jc w:val="left"/>
        <w:tblInd w:w="0" w:type="dxa"/>
        <w:tblLayout w:type="fixed"/>
        <w:tblCellMar>
          <w:top w:w="28" w:type="dxa"/>
          <w:left w:w="28" w:type="dxa"/>
          <w:bottom w:w="28" w:type="dxa"/>
          <w:right w:w="28" w:type="dxa"/>
        </w:tblCellMar>
      </w:tblPr>
      <w:tblGrid>
        <w:gridCol w:w="4353"/>
        <w:gridCol w:w="4353"/>
      </w:tblGrid>
      <w:tr>
        <w:trPr/>
        <w:tc>
          <w:tcPr>
            <w:tcW w:w="4353" w:type="dxa"/>
            <w:tcBorders/>
            <w:vAlign w:val="center"/>
          </w:tcPr>
          <w:p>
            <w:pPr>
              <w:pStyle w:val="TableContents"/>
              <w:bidi w:val="0"/>
              <w:spacing w:before="0" w:after="0"/>
              <w:jc w:val="left"/>
              <w:rPr/>
            </w:pPr>
            <w:r>
              <w:rPr/>
              <w:t> </w:t>
            </w:r>
          </w:p>
          <w:tbl>
            <w:tblPr>
              <w:tblW w:w="4186" w:type="dxa"/>
              <w:jc w:val="left"/>
              <w:tblInd w:w="0" w:type="dxa"/>
              <w:tblLayout w:type="fixed"/>
              <w:tblCellMar>
                <w:top w:w="28" w:type="dxa"/>
                <w:left w:w="28" w:type="dxa"/>
                <w:bottom w:w="28" w:type="dxa"/>
                <w:right w:w="28" w:type="dxa"/>
              </w:tblCellMar>
            </w:tblPr>
            <w:tblGrid>
              <w:gridCol w:w="4186"/>
            </w:tblGrid>
            <w:tr>
              <w:trPr/>
              <w:tc>
                <w:tcPr>
                  <w:tcW w:w="4186" w:type="dxa"/>
                  <w:tcBorders/>
                  <w:vAlign w:val="center"/>
                </w:tcPr>
                <w:p>
                  <w:pPr>
                    <w:pStyle w:val="TableContents"/>
                    <w:bidi w:val="0"/>
                    <w:spacing w:before="0" w:after="0"/>
                    <w:jc w:val="left"/>
                    <w:rPr/>
                  </w:pPr>
                  <w:r>
                    <w:rPr/>
                    <w:t>Warburg Pincus Private Equity XI-B, L.P.</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Warburg Pincus XI, L.P.</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Warburg Pincus XI, L.P. /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WP Global LLC</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WP Global LLC / General Partner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Warburg Pincus Partners II, L.P.</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Warburg Pincus Partners II, L.P. /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Warburg Pincus Partners GP LLC</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Warburg Pincus Partners GP LLC /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Warburg Pincus &amp; Co.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Warburg Pincus &amp; Co. /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Harsha Marti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Harsha Marti / Partner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8706" w:type="dxa"/>
        <w:jc w:val="left"/>
        <w:tblInd w:w="0" w:type="dxa"/>
        <w:tblLayout w:type="fixed"/>
        <w:tblCellMar>
          <w:top w:w="28" w:type="dxa"/>
          <w:left w:w="28" w:type="dxa"/>
          <w:bottom w:w="28" w:type="dxa"/>
          <w:right w:w="28" w:type="dxa"/>
        </w:tblCellMar>
      </w:tblPr>
      <w:tblGrid>
        <w:gridCol w:w="4353"/>
        <w:gridCol w:w="4353"/>
      </w:tblGrid>
      <w:tr>
        <w:trPr/>
        <w:tc>
          <w:tcPr>
            <w:tcW w:w="4353" w:type="dxa"/>
            <w:tcBorders/>
            <w:vAlign w:val="center"/>
          </w:tcPr>
          <w:p>
            <w:pPr>
              <w:pStyle w:val="TableContents"/>
              <w:bidi w:val="0"/>
              <w:spacing w:before="0" w:after="0"/>
              <w:jc w:val="left"/>
              <w:rPr/>
            </w:pPr>
            <w:r>
              <w:rPr/>
              <w:t> </w:t>
            </w:r>
          </w:p>
          <w:tbl>
            <w:tblPr>
              <w:tblW w:w="4186" w:type="dxa"/>
              <w:jc w:val="left"/>
              <w:tblInd w:w="0" w:type="dxa"/>
              <w:tblLayout w:type="fixed"/>
              <w:tblCellMar>
                <w:top w:w="28" w:type="dxa"/>
                <w:left w:w="28" w:type="dxa"/>
                <w:bottom w:w="28" w:type="dxa"/>
                <w:right w:w="28" w:type="dxa"/>
              </w:tblCellMar>
            </w:tblPr>
            <w:tblGrid>
              <w:gridCol w:w="4186"/>
            </w:tblGrid>
            <w:tr>
              <w:trPr/>
              <w:tc>
                <w:tcPr>
                  <w:tcW w:w="4186" w:type="dxa"/>
                  <w:tcBorders/>
                  <w:vAlign w:val="center"/>
                </w:tcPr>
                <w:p>
                  <w:pPr>
                    <w:pStyle w:val="TableContents"/>
                    <w:bidi w:val="0"/>
                    <w:spacing w:before="0" w:after="0"/>
                    <w:jc w:val="left"/>
                    <w:rPr/>
                  </w:pPr>
                  <w:r>
                    <w:rPr/>
                    <w:t>Warburg Pincus Private Equity XI-C, L.P.</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Warburg Pincus (Cayman) XI, L.P.</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Warburg Pincus (Cayman) XI, L.P. /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Warburg Pincus XI-C, LLC</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Warburg Pincus XI-C, LLC / General Partner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Warburg Pincus Partners II (Cayman), L.P.</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Warburg Pincus Partners II (Cayman), L.P. /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2"/>
        <w:gridCol w:w="4313"/>
      </w:tblGrid>
      <w:tr>
        <w:trPr/>
        <w:tc>
          <w:tcPr>
            <w:tcW w:w="58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Warburg Pincus (Bermuda) Private Equity GP Ltd.</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Warburg Pincus (Bermuda) Private Equity GP Ltd. /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8"/>
        <w:gridCol w:w="4257"/>
      </w:tblGrid>
      <w:tr>
        <w:trPr/>
        <w:tc>
          <w:tcPr>
            <w:tcW w:w="59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Harsha Marti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Harsha Marti / Authorised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57"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Bull Co-Invest L.P.</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WP Bull Manager LLC</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WP Bull Manager LLC /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Warburg Pincus &amp; Co.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Warburg Pincus &amp; Co. /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Warburg Pincus XI, L.P.</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WP Global LLC</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WP Global LLC / General Partner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Warburg Pincus Partners II, L.P.</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Warburg Pincus Partners II, L.P. /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Warburg Pincus Partners GP LLC</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Warburg Pincus Partners GP LLC /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Warburg Pincus &amp; Co.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Warburg Pincus &amp; Co. /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Harsha Marti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Harsha Marti / Partner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WP Global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Warburg Pincus Partners II, L.P.</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Warburg Pincus Partners II, L.P. /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Warburg Pincus Partners GP LLC</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Warburg Pincus Partners GP LLC /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Warburg Pincus &amp; Co.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Warburg Pincus &amp; Co. /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Harsha Marti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Harsha Marti / Partner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6750" w:type="dxa"/>
        <w:jc w:val="left"/>
        <w:tblInd w:w="0" w:type="dxa"/>
        <w:tblLayout w:type="fixed"/>
        <w:tblCellMar>
          <w:top w:w="28" w:type="dxa"/>
          <w:left w:w="28" w:type="dxa"/>
          <w:bottom w:w="28" w:type="dxa"/>
          <w:right w:w="28" w:type="dxa"/>
        </w:tblCellMar>
      </w:tblPr>
      <w:tblGrid>
        <w:gridCol w:w="3375"/>
        <w:gridCol w:w="3375"/>
      </w:tblGrid>
      <w:tr>
        <w:trPr/>
        <w:tc>
          <w:tcPr>
            <w:tcW w:w="3375" w:type="dxa"/>
            <w:tcBorders/>
            <w:vAlign w:val="center"/>
          </w:tcPr>
          <w:p>
            <w:pPr>
              <w:pStyle w:val="TableContents"/>
              <w:bidi w:val="0"/>
              <w:spacing w:before="0" w:after="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0"/>
                    <w:jc w:val="left"/>
                    <w:rPr/>
                  </w:pPr>
                  <w:r>
                    <w:rPr/>
                    <w:t>Warburg Pincus Partners II, L.P.</w:t>
                  </w:r>
                </w:p>
              </w:tc>
            </w:tr>
          </w:tbl>
          <w:p>
            <w:pPr>
              <w:pStyle w:val="TableContents"/>
              <w:bidi w:val="0"/>
              <w:spacing w:before="0" w:after="283"/>
              <w:jc w:val="left"/>
              <w:rPr/>
            </w:pPr>
            <w:r>
              <w:rPr/>
            </w:r>
          </w:p>
        </w:tc>
        <w:tc>
          <w:tcPr>
            <w:tcW w:w="3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Warburg Pincus Partners GP LLC</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Warburg Pincus Partners GP LLC /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Warburg Pincus &amp; Co.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Warburg Pincus &amp; Co. /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Harsha Marti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Harsha Marti / Partner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7068" w:type="dxa"/>
        <w:jc w:val="left"/>
        <w:tblInd w:w="0" w:type="dxa"/>
        <w:tblLayout w:type="fixed"/>
        <w:tblCellMar>
          <w:top w:w="28" w:type="dxa"/>
          <w:left w:w="28" w:type="dxa"/>
          <w:bottom w:w="28" w:type="dxa"/>
          <w:right w:w="28" w:type="dxa"/>
        </w:tblCellMar>
      </w:tblPr>
      <w:tblGrid>
        <w:gridCol w:w="3534"/>
        <w:gridCol w:w="3534"/>
      </w:tblGrid>
      <w:tr>
        <w:trPr/>
        <w:tc>
          <w:tcPr>
            <w:tcW w:w="3534" w:type="dxa"/>
            <w:tcBorders/>
            <w:vAlign w:val="center"/>
          </w:tcPr>
          <w:p>
            <w:pPr>
              <w:pStyle w:val="TableContents"/>
              <w:bidi w:val="0"/>
              <w:spacing w:before="0" w:after="0"/>
              <w:jc w:val="left"/>
              <w:rPr/>
            </w:pPr>
            <w:r>
              <w:rPr/>
              <w:t> </w:t>
            </w:r>
          </w:p>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Contents"/>
                    <w:bidi w:val="0"/>
                    <w:spacing w:before="0" w:after="0"/>
                    <w:jc w:val="left"/>
                    <w:rPr/>
                  </w:pPr>
                  <w:r>
                    <w:rPr/>
                    <w:t>Warburg Pincus Partners GP LLC</w:t>
                  </w:r>
                </w:p>
              </w:tc>
            </w:tr>
          </w:tbl>
          <w:p>
            <w:pPr>
              <w:pStyle w:val="TableContents"/>
              <w:bidi w:val="0"/>
              <w:spacing w:before="0" w:after="283"/>
              <w:jc w:val="left"/>
              <w:rPr/>
            </w:pPr>
            <w:r>
              <w:rPr/>
            </w:r>
          </w:p>
        </w:tc>
        <w:tc>
          <w:tcPr>
            <w:tcW w:w="35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Warburg Pincus &amp; Co.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Warburg Pincus &amp; Co. /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Harsha Marti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Harsha Marti / Partner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Warburg Pincus (Cayman) XI, L.P.</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Warburg Pincus XI-C, LLC</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Warburg Pincus XI-C, LLC / General Partner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Warburg Pincus Partners II (Cayman), L.P.</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Warburg Pincus Partners II (Cayman), L.P. /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2"/>
        <w:gridCol w:w="4313"/>
      </w:tblGrid>
      <w:tr>
        <w:trPr/>
        <w:tc>
          <w:tcPr>
            <w:tcW w:w="58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Warburg Pincus (Bermuda) Private Equity GP Ltd.</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Warburg Pincus (Bermuda) Private Equity GP Ltd. /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8"/>
        <w:gridCol w:w="4257"/>
      </w:tblGrid>
      <w:tr>
        <w:trPr/>
        <w:tc>
          <w:tcPr>
            <w:tcW w:w="59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Harsha Marti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Harsha Marti / Authorised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57"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Warburg Pincus XI-C, LLC</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Warburg Pincus Partners II (Cayman), L.P.</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Warburg Pincus Partners II (Cayman), L.P. /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2"/>
        <w:gridCol w:w="4313"/>
      </w:tblGrid>
      <w:tr>
        <w:trPr/>
        <w:tc>
          <w:tcPr>
            <w:tcW w:w="58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Warburg Pincus (Bermuda) Private Equity GP Ltd.</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Warburg Pincus (Bermuda) Private Equity GP Ltd. /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8"/>
        <w:gridCol w:w="4257"/>
      </w:tblGrid>
      <w:tr>
        <w:trPr/>
        <w:tc>
          <w:tcPr>
            <w:tcW w:w="59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Harsha Marti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Harsha Marti / Authorised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57" w:type="dxa"/>
            <w:tcBorders/>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4427"/>
        <w:gridCol w:w="4427"/>
      </w:tblGrid>
      <w:tr>
        <w:trPr/>
        <w:tc>
          <w:tcPr>
            <w:tcW w:w="4427" w:type="dxa"/>
            <w:tcBorders/>
            <w:vAlign w:val="center"/>
          </w:tcPr>
          <w:p>
            <w:pPr>
              <w:pStyle w:val="TableContents"/>
              <w:bidi w:val="0"/>
              <w:spacing w:before="0" w:after="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0"/>
                    <w:jc w:val="left"/>
                    <w:rPr/>
                  </w:pPr>
                  <w:r>
                    <w:rPr/>
                    <w:t>Warburg Pincus Partners II (Cayman), L.P.</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2"/>
        <w:gridCol w:w="4313"/>
      </w:tblGrid>
      <w:tr>
        <w:trPr/>
        <w:tc>
          <w:tcPr>
            <w:tcW w:w="58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Warburg Pincus (Bermuda) Private Equity GP Ltd.</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Warburg Pincus (Bermuda) Private Equity GP Ltd. /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8"/>
        <w:gridCol w:w="4257"/>
      </w:tblGrid>
      <w:tr>
        <w:trPr/>
        <w:tc>
          <w:tcPr>
            <w:tcW w:w="59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Harsha Marti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Harsha Marti / Authorised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10"/>
        <w:gridCol w:w="5095"/>
      </w:tblGrid>
      <w:tr>
        <w:trPr/>
        <w:tc>
          <w:tcPr>
            <w:tcW w:w="5110" w:type="dxa"/>
            <w:tcBorders/>
            <w:vAlign w:val="center"/>
          </w:tcPr>
          <w:p>
            <w:pPr>
              <w:pStyle w:val="TableContents"/>
              <w:bidi w:val="0"/>
              <w:spacing w:before="0" w:after="0"/>
              <w:jc w:val="left"/>
              <w:rPr/>
            </w:pPr>
            <w:r>
              <w:rPr/>
              <w:t> </w:t>
            </w:r>
          </w:p>
          <w:tbl>
            <w:tblPr>
              <w:tblW w:w="5011" w:type="dxa"/>
              <w:jc w:val="left"/>
              <w:tblInd w:w="0" w:type="dxa"/>
              <w:tblLayout w:type="fixed"/>
              <w:tblCellMar>
                <w:top w:w="28" w:type="dxa"/>
                <w:left w:w="28" w:type="dxa"/>
                <w:bottom w:w="28" w:type="dxa"/>
                <w:right w:w="28" w:type="dxa"/>
              </w:tblCellMar>
            </w:tblPr>
            <w:tblGrid>
              <w:gridCol w:w="5011"/>
            </w:tblGrid>
            <w:tr>
              <w:trPr/>
              <w:tc>
                <w:tcPr>
                  <w:tcW w:w="5011" w:type="dxa"/>
                  <w:tcBorders/>
                  <w:vAlign w:val="center"/>
                </w:tcPr>
                <w:p>
                  <w:pPr>
                    <w:pStyle w:val="TableContents"/>
                    <w:bidi w:val="0"/>
                    <w:spacing w:before="0" w:after="0"/>
                    <w:jc w:val="left"/>
                    <w:rPr/>
                  </w:pPr>
                  <w:r>
                    <w:rPr/>
                    <w:t>Warburg Pincus (Bermuda) Private Equity GP Ltd.</w:t>
                  </w:r>
                </w:p>
              </w:tc>
            </w:tr>
          </w:tbl>
          <w:p>
            <w:pPr>
              <w:pStyle w:val="TableContents"/>
              <w:bidi w:val="0"/>
              <w:spacing w:before="0" w:after="283"/>
              <w:jc w:val="left"/>
              <w:rPr/>
            </w:pPr>
            <w:r>
              <w:rPr/>
            </w:r>
          </w:p>
        </w:tc>
        <w:tc>
          <w:tcPr>
            <w:tcW w:w="5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8"/>
        <w:gridCol w:w="4257"/>
      </w:tblGrid>
      <w:tr>
        <w:trPr/>
        <w:tc>
          <w:tcPr>
            <w:tcW w:w="59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Harsha Marti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Harsha Marti / Authorised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57" w:type="dxa"/>
            <w:tcBorders/>
            <w:vAlign w:val="center"/>
          </w:tcPr>
          <w:p>
            <w:pPr>
              <w:pStyle w:val="TableContents"/>
              <w:bidi w:val="0"/>
              <w:spacing w:before="0" w:after="283"/>
              <w:jc w:val="left"/>
              <w:rPr>
                <w:sz w:val="4"/>
                <w:szCs w:val="4"/>
              </w:rPr>
            </w:pPr>
            <w:r>
              <w:rPr>
                <w:sz w:val="4"/>
                <w:szCs w:val="4"/>
              </w:rPr>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Warburg Pincus LLC</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5"/>
        <w:gridCol w:w="4290"/>
      </w:tblGrid>
      <w:tr>
        <w:trPr/>
        <w:tc>
          <w:tcPr>
            <w:tcW w:w="59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Harsha Marti</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Harsha Marti / Managing Director, Chief Legal Officer and Head of New Solutions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Agreement of Joint Filing as required by Rule 13d-1(k)(1) under the Act.* * Incorporated herein by reference to the Agreement of Joint Filing by Warburg Pincus Private Equity XI, L.P., Warburg Pincus XI Partners, L.P., Warburg Pincus Private Equity XI-B, L.P., WP XI Partners, L.P., Warburg Pincus Private Equity XI-C, L.P., Bull Co-Invest L.P., Warburg Pincus XI, L.P., WP Global LLC, Warburg Pincus Partners II, L.P., Warburg Pincus Partners GP LLC, Warburg Pincus &amp; Co., Warburg Pincus (Cayman) XI, L.P., Warburg Pincus XI-C, LLC, Warburg Pincus Partners II (Cayman), L.P., Warburg Pincus (Bermuda) Private Equity GP LTD., and Warburg Pincus LLC ("Warburg Pincus Funds") dated as of February 14, 2022, which was previously filed with the Commission as Exhibit 99.1 to Amendment No. 1 to Schedule 13G filed by the Warburg Pincus Funds on February 14, 2022 with respect to the shares of common stock of Sotera Health Co.</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checked.jpg" TargetMode="External"/><Relationship Id="rId65" Type="http://schemas.openxmlformats.org/officeDocument/2006/relationships/fontTable" Target="fontTable.xml"/><Relationship Id="rId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4127</Words>
  <Characters>21201</Characters>
  <CharactersWithSpaces>24816</CharactersWithSpaces>
  <Paragraphs>1141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