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16,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4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4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4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Sotera Health Holdings, LLC (“SHH”), a direct subsidiary of Sotera Health Company (the “Company”), plans to initiate discussions with lenders to refinance its existing term loans through a combination of a new term loan and other secured debt (the “Refinancing”). The existing term loans are outstanding under both the First Lien Credit Agreement dated as of December 13, 2019 by and among the Company, SHH, certain subsidiaries of the Company, JPMorgan Chase Bank, N.A., as First Lien Administrative Agent and the lenders and issuing banks party thereto and the First Lien Credit Agreement dated as of February 23, 2023, by and among the Company, SHH, JPMorgan Chase Bank, N.A., as First Lien Administrative Agent and the lenders party thereto.</w:t>
      </w:r>
    </w:p>
    <w:p>
      <w:pPr>
        <w:spacing w:after="0" w:line="14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Refinancing and the terms thereof are subject to market and other conditions, and there can be no assurance as to whether or when such Refinancing may be completed, or as to the actual size or terms thereof.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is neither an offer to sell nor a solicitation of an offer to purchase any securities.</w:t>
      </w:r>
    </w:p>
    <w:p>
      <w:pPr>
        <w:spacing w:after="0" w:line="18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that reflect management’s expectations about future events and speak only as of the date hereof. You can identify these forward-looking statements by the use of forward-looking words such as “intends” or other comparable words. Any forward-looking statements contained in this report are based upon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including, without limitation, the risk that the Company will not be able to complete the Refinancing in a timely manner or at all, the risk that any new indebtedness in connection with the Refinancing will not be available on favorable terms or at all and the risk that the Company will be unable to pay down the balance of the existing credit facilitates as intended. For additional discussion of these risks and uncertainties, please refer to the Company’s other filings with the SEC, such as its annual and quarterly reports. We do not undertake any obligation to publicly update or revise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May 16,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2024-05-16T15:27:16Z</dcterms:created>
  <dcterms:modified xsi:type="dcterms:W3CDTF">2024-05-16T15:27:16Z</dcterms:modified>
</cp:coreProperties>
</file>