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Donnini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05/24/2024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9"/>
        <w:gridCol w:w="902"/>
        <w:gridCol w:w="771"/>
        <w:gridCol w:w="599"/>
        <w:gridCol w:w="347"/>
        <w:gridCol w:w="970"/>
        <w:gridCol w:w="452"/>
        <w:gridCol w:w="614"/>
        <w:gridCol w:w="1158"/>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20,089</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61,649</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consist of 20,089 Restricted Stock Units ("RSUs") that were granted on May 24, 2024,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consist of 20,089 RSUs and 41,560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for Mr. Donnini is filed as an exhibit to the Form 3 filed with the Securities and Exhange Commission on November 20, 2020, which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Matthew J. Klaben,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09092" TargetMode="External"/><Relationship Id="rId4" Type="http://schemas.openxmlformats.org/officeDocument/2006/relationships/hyperlink" Target="http://www.sec.gov/cgi-bin/browse-edgar?action=getcompany&amp;CIK=00018224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3812</Characters>
  <CharactersWithSpaces>4460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