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 of</w:t>
      </w:r>
    </w:p>
    <w:p>
      <w:pPr>
        <w:jc w:val="center"/>
        <w:ind w:right="736"/>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SHC</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0"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Sotera Health Company (the “Company”) plans to seek an amendment to its existing credit agreement with the objective of obtaining more favorable pricing and extending the maturity on its revolving credit facility, which is currently undrawn. There can be no assurance that the Company will be successful in obtaining such an amendment, which will depend on market conditions and other factors which are subject to change.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report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report are based upon our historical performance and on our current plans, estimates and expectations in light of information currently available to us. Examples of such statements in this report include, but are not limited to, statements about the expected terms of the amendment.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For additional discussion of these risks and uncertainties, please refer to our filings with the SEC. We do not undertake any obligation to publicly update or revise these forward-looking statements, except as required by law.</w:t>
      </w:r>
    </w:p>
    <w:p>
      <w:pPr>
        <w:sectPr>
          <w:pgSz w:w="11900" w:h="16838" w:orient="portrait"/>
          <w:cols w:equalWidth="0" w:num="1">
            <w:col w:w="10940"/>
          </w:cols>
          <w:pgMar w:left="440"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196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Scott J. Leffler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2021-03-15T15:10:59Z</dcterms:created>
  <dcterms:modified xsi:type="dcterms:W3CDTF">2021-03-15T15:10:59Z</dcterms:modified>
</cp:coreProperties>
</file>