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9, 2022 (November 7, 2022)</w:t>
      </w:r>
    </w:p>
    <w:p>
      <w:pPr>
        <w:spacing w:after="0" w:line="4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7"/>
          <w:szCs w:val="17"/>
          <w:color w:val="auto"/>
        </w:rPr>
        <w:t>On November 4, 2022, the Board of Directors (the “Board”) of Sotera Health Company (the “Company”) approved an incentive award grant to Mr. Michael B. Petras, Jr. the Chief Executive Officer of the Company in the form of stock options (“Options”). The Options were granted on November 7, 2022, with a grant date fair market value of $5,250,000, pursuant to the terms and conditions of the Company’s 2020 Omnibus Incentive Plan (the “Plan”) and an option award agreement between the Company and Mr. Petras (the “Option Award Agreement”). The Options have an exercise price equal to the closing share price on the date of grant and will have no intrinsic value unless and until the stock price rises after the date of grant. Per the terms of the Option Award Agreement, the Options will vest in three installments as follows: i) 30% will vest on the date that is 12 months from the grant date; (ii) 30% will vest on the date that is 18 months from the grant date; and (iii) 40% will vest on the date that is 24 months from the grant date, subject in each case to Mr. Petras’s continued employment in good standing with the Company through each applicable vesting date. The award will be subject to accelerated vesting upon a termination by the Company without cause, due to death or disability, by Mr. Petras for good reason, or upon a qualifying retirement.</w:t>
      </w:r>
    </w:p>
    <w:p>
      <w:pPr>
        <w:spacing w:after="0" w:line="21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addition, on November 4, 2022, the Leadership Development and Compensation Committee of the Board approved a cash retention incentive award of $1,000,000 (the “Retention Bonus”) to Mr. Michael P. Rutz, the President of Sterigenics U.S., LLC, effective November 7, 2022, subject to the terms and conditions of a cash retention bonus agreement (the “Cash Retention Bonus Agreement”). Per the terms of the Cash Retention Bonus Agreement, the Retention Bonus will vest in four installments as follows: i) 10% will vest on the date that is 6 months from the grant date; (ii) 20% will vest on the date that is 12 months from the grant date; (iii) 30% will vest on the date that is 18 months from the grant date; and (iv) 40% will vest on the date that is 24 months from the grant date, subject in each case to Mr. Rutz’s continued employment in good standing with the Company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333"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2022-11-09T17:58:40Z</dcterms:created>
  <dcterms:modified xsi:type="dcterms:W3CDTF">2022-11-09T17:58:40Z</dcterms:modified>
</cp:coreProperties>
</file>