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color w:val="000000"/>
              </w:rPr>
            </w:pPr>
            <w:r>
              <w:rPr>
                <w:color w:val="000000"/>
              </w:rPr>
              <w:t> </w:t>
            </w:r>
          </w:p>
        </w:tc>
      </w:tr>
    </w:tbl>
    <w:p>
      <w:pPr>
        <w:pStyle w:val="TextBody"/>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Securities Exchange Act of 1934 </w:t>
      </w:r>
    </w:p>
    <w:p>
      <w:pPr>
        <w:pStyle w:val="TextBody"/>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March 31, 2021 (March 26, 2021)</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 xml:space="preserve">SOTERA HEALTH COMPANY </w:t>
      </w:r>
    </w:p>
    <w:p>
      <w:pPr>
        <w:pStyle w:val="TextBody"/>
        <w:spacing w:lineRule="auto" w:line="288" w:before="0" w:after="0"/>
        <w:jc w:val="center"/>
        <w:rPr/>
      </w:pPr>
      <w:r>
        <w:rPr>
          <w:rFonts w:ascii="Times New Roman;sans-serif" w:hAnsi="Times New Roman;sans-serif"/>
          <w:b w:val="false"/>
          <w:color w:val="000000"/>
          <w:sz w:val="20"/>
        </w:rPr>
        <w:t>(Exact Name of Registrant as Specified in Charter)</w:t>
      </w:r>
      <w:r>
        <w:rPr>
          <w:color w:val="000000"/>
        </w:rPr>
        <w:t xml:space="preserve">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tbl>
      <w:tblPr>
        <w:tblW w:w="8422" w:type="dxa"/>
        <w:jc w:val="left"/>
        <w:tblInd w:w="0" w:type="dxa"/>
        <w:tblCellMar>
          <w:top w:w="28" w:type="dxa"/>
          <w:left w:w="28" w:type="dxa"/>
          <w:bottom w:w="28" w:type="dxa"/>
          <w:right w:w="28" w:type="dxa"/>
        </w:tblCellMar>
      </w:tblPr>
      <w:tblGrid>
        <w:gridCol w:w="1172"/>
        <w:gridCol w:w="1028"/>
        <w:gridCol w:w="1040"/>
        <w:gridCol w:w="109"/>
        <w:gridCol w:w="109"/>
        <w:gridCol w:w="109"/>
        <w:gridCol w:w="662"/>
        <w:gridCol w:w="662"/>
        <w:gridCol w:w="670"/>
        <w:gridCol w:w="109"/>
        <w:gridCol w:w="109"/>
        <w:gridCol w:w="109"/>
        <w:gridCol w:w="740"/>
        <w:gridCol w:w="740"/>
        <w:gridCol w:w="1054"/>
      </w:tblGrid>
      <w:tr>
        <w:trPr/>
        <w:tc>
          <w:tcPr>
            <w:tcW w:w="1172"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9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001-39729</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47-3531161</w:t>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994" w:type="dxa"/>
            <w:gridSpan w:val="3"/>
            <w:tcBorders/>
            <w:shd w:fill="auto" w:val="clear"/>
            <w:tcMar>
              <w:top w:w="0" w:type="dxa"/>
              <w:left w:w="0" w:type="dxa"/>
              <w:bottom w:w="0" w:type="dxa"/>
              <w:right w:w="0" w:type="dxa"/>
            </w:tcMar>
            <w:vAlign w:val="center"/>
          </w:tcPr>
          <w:p>
            <w:pPr>
              <w:pStyle w:val="TableContents"/>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534" w:type="dxa"/>
            <w:gridSpan w:val="3"/>
            <w:tcBorders/>
            <w:shd w:fill="auto" w:val="clear"/>
            <w:tcMar>
              <w:top w:w="0" w:type="dxa"/>
              <w:left w:w="0" w:type="dxa"/>
              <w:bottom w:w="0" w:type="dxa"/>
              <w:right w:w="0" w:type="dxa"/>
            </w:tcMar>
            <w:vAlign w:val="center"/>
          </w:tcPr>
          <w:p>
            <w:pPr>
              <w:pStyle w:val="TableContents"/>
              <w:spacing w:lineRule="auto" w:line="288" w:before="1" w:after="1"/>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9100 South Hills Blvd, Suite 300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Broadview Heights, Ohio 44147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(Address of Principal Executive Offices) (Zip Code) </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(440) 262-1410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spacing w:lineRule="auto" w:line="288" w:before="0" w:after="0"/>
        <w:jc w:val="center"/>
        <w:rPr/>
      </w:pPr>
      <w:r>
        <w:rPr>
          <w:rFonts w:ascii="Times New Roman;sans-serif" w:hAnsi="Times New Roman;sans-serif"/>
          <w:b w:val="false"/>
          <w:color w:val="000000"/>
          <w:sz w:val="16"/>
        </w:rPr>
        <w:t>(Former name or former address, if changed since last report)</w:t>
      </w:r>
      <w:r>
        <w:rPr>
          <w:color w:val="000000"/>
        </w:rPr>
        <w:t xml:space="preserve"> </w:t>
      </w:r>
    </w:p>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_______________________</w:t>
      </w:r>
    </w:p>
    <w:p>
      <w:pPr>
        <w:pStyle w:val="TextBody"/>
        <w:spacing w:lineRule="auto" w:line="288" w:before="20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lineRule="auto" w:line="288" w:before="0" w:after="0"/>
        <w:rPr>
          <w:color w:val="000000"/>
        </w:rPr>
      </w:pPr>
      <w:r>
        <w:rPr>
          <w:color w:val="000000"/>
        </w:rPr>
        <w:t> </w:t>
      </w:r>
    </w:p>
    <w:tbl>
      <w:tblPr>
        <w:tblW w:w="7751" w:type="dxa"/>
        <w:jc w:val="left"/>
        <w:tblInd w:w="0" w:type="dxa"/>
        <w:tblCellMar>
          <w:top w:w="28" w:type="dxa"/>
          <w:left w:w="28" w:type="dxa"/>
          <w:bottom w:w="28" w:type="dxa"/>
          <w:right w:w="28" w:type="dxa"/>
        </w:tblCellMar>
      </w:tblPr>
      <w:tblGrid>
        <w:gridCol w:w="124"/>
        <w:gridCol w:w="109"/>
        <w:gridCol w:w="109"/>
        <w:gridCol w:w="2167"/>
        <w:gridCol w:w="2167"/>
        <w:gridCol w:w="30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30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74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CellMar>
          <w:top w:w="28" w:type="dxa"/>
          <w:left w:w="28" w:type="dxa"/>
          <w:bottom w:w="28" w:type="dxa"/>
          <w:right w:w="28" w:type="dxa"/>
        </w:tblCellMar>
      </w:tblPr>
      <w:tblGrid>
        <w:gridCol w:w="124"/>
        <w:gridCol w:w="109"/>
        <w:gridCol w:w="109"/>
        <w:gridCol w:w="2175"/>
        <w:gridCol w:w="2175"/>
        <w:gridCol w:w="3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3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74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CellMar>
          <w:top w:w="28" w:type="dxa"/>
          <w:left w:w="28" w:type="dxa"/>
          <w:bottom w:w="28" w:type="dxa"/>
          <w:right w:w="28" w:type="dxa"/>
        </w:tblCellMar>
      </w:tblPr>
      <w:tblGrid>
        <w:gridCol w:w="124"/>
        <w:gridCol w:w="109"/>
        <w:gridCol w:w="109"/>
        <w:gridCol w:w="2689"/>
        <w:gridCol w:w="2689"/>
        <w:gridCol w:w="38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38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CellMar>
          <w:top w:w="28" w:type="dxa"/>
          <w:left w:w="28" w:type="dxa"/>
          <w:bottom w:w="28" w:type="dxa"/>
          <w:right w:w="28" w:type="dxa"/>
        </w:tblCellMar>
      </w:tblPr>
      <w:tblGrid>
        <w:gridCol w:w="124"/>
        <w:gridCol w:w="109"/>
        <w:gridCol w:w="109"/>
        <w:gridCol w:w="2671"/>
        <w:gridCol w:w="2671"/>
        <w:gridCol w:w="37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p>
      <w:pPr>
        <w:pStyle w:val="TextBody"/>
        <w:spacing w:lineRule="auto" w:line="288" w:before="0" w:after="0"/>
        <w:rPr>
          <w:color w:val="000000"/>
        </w:rPr>
      </w:pPr>
      <w:r>
        <w:rPr>
          <w:color w:val="000000"/>
        </w:rPr>
        <w:t> </w:t>
      </w:r>
    </w:p>
    <w:tbl>
      <w:tblPr>
        <w:tblW w:w="7765" w:type="dxa"/>
        <w:jc w:val="left"/>
        <w:tblInd w:w="0" w:type="dxa"/>
        <w:tblCellMar>
          <w:top w:w="28" w:type="dxa"/>
          <w:left w:w="28" w:type="dxa"/>
          <w:bottom w:w="28" w:type="dxa"/>
          <w:right w:w="28" w:type="dxa"/>
        </w:tblCellMar>
      </w:tblPr>
      <w:tblGrid>
        <w:gridCol w:w="1310"/>
        <w:gridCol w:w="1156"/>
        <w:gridCol w:w="1164"/>
        <w:gridCol w:w="109"/>
        <w:gridCol w:w="109"/>
        <w:gridCol w:w="109"/>
        <w:gridCol w:w="230"/>
        <w:gridCol w:w="230"/>
        <w:gridCol w:w="231"/>
        <w:gridCol w:w="109"/>
        <w:gridCol w:w="109"/>
        <w:gridCol w:w="109"/>
        <w:gridCol w:w="817"/>
        <w:gridCol w:w="817"/>
        <w:gridCol w:w="1156"/>
      </w:tblGrid>
      <w:tr>
        <w:trPr/>
        <w:tc>
          <w:tcPr>
            <w:tcW w:w="1310"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Symbol</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79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 of Exchange</w:t>
            </w:r>
          </w:p>
          <w:p>
            <w:pPr>
              <w:pStyle w:val="TableContents"/>
              <w:spacing w:lineRule="auto" w:line="288"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 per share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SHC</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spacing w:lineRule="auto" w:line="288" w:before="20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 </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1" w:after="1"/>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 xml:space="preserve">Item 1.01. Entry into a Material Definitive Agreement. </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26, 2021, Sotera Health Company (the “Company”), Sotera Health Holdings, LLC (“SHH”), the Extending Revolving Lenders party thereto, the Consenting Issuing Banks party thereto and JPMorgan Chase Bank, N.A., as First Lien Administrative Agent (in such capacity, the “Administrative Agent”), and the other Loan Parties party thereto entered into the Revolving Facilities Amendment (the “Revolving Facilities Amendment”) to the First Lien Credit Agreement dated as of December 13, 2019, as amended, by and among the Company, SHH, the Lenders party thereto, and the Administrative Agent (the “Credit Agreement”). </w:t>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The Revolving Facilities Amendment amended the Credit Agreement, as of March 26, 2021, to (i) decrease the Applicable Rate (as defined in the Credit Agreement) applicable to any Revolving Loans (as defined in the Credit Agreement) (x) in the case of ABR Loans (as defined in the Credit Agreement), from a rate per annum that ranged from ABR (as defined in the Credit Agreement) plus 2.50% to ABR plus 3.00% depending on SHH’s Senior Secured First Lien Net Leverage Ratio (as defined in the Credit Agreement) as of the end of the most recently ended fiscal quarter, to ABR plus 1.75% and (y) in the case of Eurodollar Loans (as defined in the Credit Agreement), from a rate per annum which ranged from the Adjusted LIBO Rate (as defined in the Credit Agreement) plus 3.50% to the Adjusted LIBO Rate plus 4.00% depending on SHH’s Senior Secured First Lien Net Leverage Ratio as of the end of the most recently ended fiscal quarter, to the Adjusted LIBO Rate plus 2.75% and (ii) extend the maturity date of the Revolving Facility (as defined in the Credit Agreement) from December 13, 2024 to June 13, 2026. The other material terms of the Credit Agreement are unchanged.</w:t>
      </w:r>
      <w:r>
        <w:rPr>
          <w:color w:val="000000"/>
        </w:rPr>
        <w:t xml:space="preserve"> </w:t>
      </w:r>
      <w:r>
        <w:rPr>
          <w:rFonts w:ascii="Times New Roman;sans-serif" w:hAnsi="Times New Roman;sans-serif"/>
          <w:b w:val="false"/>
          <w:color w:val="000000"/>
          <w:sz w:val="20"/>
        </w:rPr>
        <w:t>The Revolving Facilities Amendment does not change the aggregate amount of the Revolving Commitments (as defined in the Credit Agreement), which is $347,500,000.</w:t>
      </w:r>
      <w:r>
        <w:rPr>
          <w:color w:val="000000"/>
        </w:rPr>
        <w:t xml:space="preserve"> </w:t>
      </w:r>
      <w:r>
        <w:rPr>
          <w:rFonts w:ascii="Times New Roman;sans-serif" w:hAnsi="Times New Roman;sans-serif"/>
          <w:b w:val="false"/>
          <w:color w:val="000000"/>
          <w:sz w:val="20"/>
        </w:rPr>
        <w:t>There were no Revolving Loans outstanding under the Credit Agreement at December 31, 2020 and there are no Revolving Loans outstanding under the Credit Agreement at March 31, 2021.</w:t>
      </w:r>
      <w:r>
        <w:rPr>
          <w:color w:val="000000"/>
        </w:rPr>
        <w:t xml:space="preserve"> </w:t>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The foregoing description of certain provisions of the Revolving Facilities Amendment and the underlying Credit Agreement do not purport to be complete and is qualified in its entirety by the full text of the Credit Agreement and the Revolving Facilities Amendment.</w:t>
      </w:r>
      <w:r>
        <w:rPr>
          <w:color w:val="000000"/>
        </w:rPr>
        <w:t xml:space="preserve"> </w:t>
      </w:r>
      <w:r>
        <w:rPr>
          <w:rFonts w:ascii="Times New Roman;sans-serif" w:hAnsi="Times New Roman;sans-serif"/>
          <w:b w:val="false"/>
          <w:color w:val="000000"/>
          <w:sz w:val="20"/>
        </w:rPr>
        <w:t>The Revolving Facilities Amendment will be filed as an exhibit to the Company’s next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76" w:before="0" w:after="0"/>
        <w:ind w:left="0" w:right="0" w:hanging="1080"/>
        <w:rPr>
          <w:rFonts w:ascii="Times New Roman;sans-serif" w:hAnsi="Times New Roman;sans-serif"/>
          <w:b/>
          <w:color w:val="000000"/>
          <w:sz w:val="20"/>
        </w:rPr>
      </w:pPr>
      <w:r>
        <w:rPr>
          <w:rFonts w:ascii="Times New Roman;sans-serif" w:hAnsi="Times New Roman;sans-serif"/>
          <w:b/>
          <w:color w:val="000000"/>
          <w:sz w:val="20"/>
        </w:rPr>
        <w:t>Item 2.03. Creation of a Direct Financial Obligation or an Obligation under an Off-Balance Sheet Arrangement of a Registrant.</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contained in Item 1.01 of this Current Report on Form 8-K above is incorporated in this Item 2.03 by reference.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1"/>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spacing w:lineRule="auto" w:line="288"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lineRule="auto" w:line="288" w:before="0" w:after="0"/>
        <w:rPr>
          <w:color w:val="000000"/>
        </w:rPr>
      </w:pPr>
      <w:r>
        <w:rPr>
          <w:color w:val="000000"/>
        </w:rPr>
        <w:t> </w:t>
      </w:r>
    </w:p>
    <w:tbl>
      <w:tblPr>
        <w:tblW w:w="6359" w:type="dxa"/>
        <w:jc w:val="left"/>
        <w:tblInd w:w="0" w:type="dxa"/>
        <w:tblCellMar>
          <w:top w:w="28" w:type="dxa"/>
          <w:left w:w="28" w:type="dxa"/>
          <w:bottom w:w="28" w:type="dxa"/>
          <w:right w:w="28" w:type="dxa"/>
        </w:tblCellMar>
      </w:tblPr>
      <w:tblGrid>
        <w:gridCol w:w="685"/>
        <w:gridCol w:w="601"/>
        <w:gridCol w:w="604"/>
        <w:gridCol w:w="220"/>
        <w:gridCol w:w="220"/>
        <w:gridCol w:w="220"/>
        <w:gridCol w:w="220"/>
        <w:gridCol w:w="220"/>
        <w:gridCol w:w="220"/>
        <w:gridCol w:w="911"/>
        <w:gridCol w:w="911"/>
        <w:gridCol w:w="1327"/>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9"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Sotera Health Company</w:t>
            </w:r>
          </w:p>
          <w:p>
            <w:pPr>
              <w:pStyle w:val="TableContents"/>
              <w:spacing w:lineRule="auto" w:line="288" w:before="0" w:after="20"/>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31, 2021</w:t>
            </w:r>
          </w:p>
        </w:tc>
        <w:tc>
          <w:tcPr>
            <w:tcW w:w="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1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J. Leffler</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J. Leffler</w:t>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1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spacing w:before="0" w:after="283"/>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822</Words>
  <CharactersWithSpaces>5269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