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4, 2026</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ind w:right="18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4, 2026, the Board of Directors (the “Board”) of Sotera Health Company (the “Company”) increased the size of the Board from eleven directors to twelve directors and appointed Richard G. Kyle as a Class III director of the Board, effective immediately. Mr. Kyle will serve as a member of the Leadership Development and Compensation Committee and the Nominating and Corporate Governance Committee of the Board.</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Most recently, Mr. Kyle served as President and Chief Executive Officer of The Timken Company (“Timken”), a global manufacturer of bearings, transmissions, and industrial motion products, from May 2014 to September 2024. During his tenure as Chief Executive Officer, Mr. Kyle led Timken’s financial transformation and strategic diversification, including expanding its industrial motion portfolio, entering new product lines, and diversifying end markets. Prior to serving as Chief Executive Officer, Mr. Kyle held various senior leadership roles at Timken, including Chief Operating Officer and President of multiple business segments. Earlier in his career, Mr. Kyle held leadership positions at Hubbell Incorporated and Cooper Industries. Mr. Kyle continues to serve on Timken’s Board of Directors. He has also served on the Board of Directors of Sonoco Products Company since 2015, where he is a member of the Audit Committee and the Corporate Governance and Nominating Committee and serves as Chair of the Executive Compensation Committee. He holds a B.S. in Mechanical Engineering from Purdue University and an M.B.A. from Northwestern University.</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Kyle is entering into a customary indemnification agreement with the Company in connection with his appointment as a director, consistent with those entered into with the Company’s other directors, pursuant to which the Company agrees to provide indemnification and advancement of expenses to the fullest extent permitted by law and the Company’s amended and restated certificate of incorporation and amended and restated bylaws. Mr. Kyle has been deemed to be “independent” in accordance with Rule 5605(a)(2) of the Nasdaq Listing Rules. There is no arrangement or understanding between Mr. Kyle and any other persons, pursuant to which Mr. Kyle was appointed to serve on the Board. Additionally, there are no reportable transactions between Mr. Kyle and the Company that require disclosure pursuant to Item 404(a) of Regulation S-K. As a director of the Company, Mr. Kyle will receive compensation as a non-employee director in accordance with the Company’s non-employee director compensation policy as described in the Company’s Definitive Proxy Statement on Schedule 14A, filed with the U.S. Securities and Exchange Commission on April 10, 2025, as amended and supplemented, which generally consists of an annual cash retainer for Board service and an annual grant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February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0720"/>
      </w:cols>
      <w:pgMar w:left="320" w:top="100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2026-02-05T06:37:51Z</dcterms:created>
  <dcterms:modified xsi:type="dcterms:W3CDTF">2026-02-05T06:37:51Z</dcterms:modified>
</cp:coreProperties>
</file>