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849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84975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Klaben Matthew J</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320"/>
        <w:spacing w:after="0" w:line="451" w:lineRule="auto"/>
        <w:rPr>
          <w:sz w:val="20"/>
          <w:szCs w:val="20"/>
          <w:color w:val="auto"/>
        </w:rPr>
      </w:pPr>
      <w:r>
        <w:rPr>
          <w:rFonts w:ascii="Arial" w:cs="Arial" w:eastAsia="Arial" w:hAnsi="Arial"/>
          <w:sz w:val="14"/>
          <w:szCs w:val="14"/>
          <w:color w:val="0000FF"/>
        </w:rPr>
        <w:t>C/O SOTERA HEALTH COMPANY 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Sotera Health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SHC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05"/>
        <w:spacing w:after="0"/>
        <w:rPr>
          <w:sz w:val="20"/>
          <w:szCs w:val="20"/>
          <w:color w:val="auto"/>
        </w:rPr>
      </w:pPr>
      <w:r>
        <w:rPr>
          <w:rFonts w:ascii="Arial" w:cs="Arial" w:eastAsia="Arial" w:hAnsi="Arial"/>
          <w:sz w:val="17"/>
          <w:szCs w:val="17"/>
          <w:color w:val="0000FF"/>
        </w:rPr>
        <w:t>SVP, GC and Secretary</w:t>
      </w:r>
    </w:p>
    <w:p>
      <w:pPr>
        <w:spacing w:after="0" w:line="537"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p>
      <w:pPr>
        <w:spacing w:after="0" w:line="127"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BROADVIEW</w:t>
            </w:r>
          </w:p>
        </w:tc>
        <w:tc>
          <w:tcPr>
            <w:tcW w:w="900" w:type="dxa"/>
            <w:vAlign w:val="bottom"/>
            <w:vMerge w:val="restart"/>
          </w:tcPr>
          <w:p>
            <w:pPr>
              <w:ind w:left="100"/>
              <w:spacing w:after="0"/>
              <w:rPr>
                <w:sz w:val="20"/>
                <w:szCs w:val="20"/>
                <w:color w:val="auto"/>
              </w:rPr>
            </w:pPr>
            <w:r>
              <w:rPr>
                <w:rFonts w:ascii="Arial" w:cs="Arial" w:eastAsia="Arial" w:hAnsi="Arial"/>
                <w:sz w:val="17"/>
                <w:szCs w:val="17"/>
                <w:color w:val="0000FF"/>
              </w:rPr>
              <w:t>OH</w:t>
            </w:r>
          </w:p>
        </w:tc>
        <w:tc>
          <w:tcPr>
            <w:tcW w:w="1620" w:type="dxa"/>
            <w:vAlign w:val="bottom"/>
            <w:vMerge w:val="restart"/>
          </w:tcPr>
          <w:p>
            <w:pPr>
              <w:ind w:left="420"/>
              <w:spacing w:after="0"/>
              <w:rPr>
                <w:sz w:val="20"/>
                <w:szCs w:val="20"/>
                <w:color w:val="auto"/>
              </w:rPr>
            </w:pPr>
            <w:r>
              <w:rPr>
                <w:rFonts w:ascii="Arial" w:cs="Arial" w:eastAsia="Arial" w:hAnsi="Arial"/>
                <w:sz w:val="17"/>
                <w:szCs w:val="17"/>
                <w:color w:val="0000FF"/>
              </w:rPr>
              <w:t>44147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HEIGHTS</w:t>
            </w:r>
          </w:p>
        </w:tc>
        <w:tc>
          <w:tcPr>
            <w:tcW w:w="90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260985</wp:posOffset>
            </wp:positionV>
            <wp:extent cx="6969760" cy="1671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671955"/>
                    </a:xfrm>
                    <a:prstGeom prst="rect">
                      <a:avLst/>
                    </a:prstGeom>
                    <a:noFill/>
                  </pic:spPr>
                </pic:pic>
              </a:graphicData>
            </a:graphic>
          </wp:anchor>
        </w:drawing>
      </w:r>
    </w:p>
    <w:p>
      <w:pPr>
        <w:spacing w:after="0" w:line="469" w:lineRule="exact"/>
        <w:rPr>
          <w:sz w:val="24"/>
          <w:szCs w:val="24"/>
          <w:color w:val="auto"/>
        </w:rPr>
      </w:pPr>
    </w:p>
    <w:p>
      <w:pPr>
        <w:sectPr>
          <w:pgSz w:w="11900" w:h="16838" w:orient="portrait"/>
          <w:cols w:equalWidth="0" w:num="2">
            <w:col w:w="3760" w:space="14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3"/>
                <w:szCs w:val="13"/>
                <w:color w:val="auto"/>
              </w:rPr>
            </w:pPr>
          </w:p>
        </w:tc>
        <w:tc>
          <w:tcPr>
            <w:tcW w:w="1240" w:type="dxa"/>
            <w:vAlign w:val="bottom"/>
            <w:gridSpan w:val="2"/>
          </w:tcPr>
          <w:p>
            <w:pPr>
              <w:ind w:left="16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ind w:left="1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8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2"/>
          </w:tcPr>
          <w:p>
            <w:pPr>
              <w:ind w:left="16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6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6"/>
              </w:rPr>
              <w:t>11/20/2020</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60"/>
              <w:spacing w:after="0"/>
              <w:rPr>
                <w:sz w:val="20"/>
                <w:szCs w:val="20"/>
                <w:color w:val="auto"/>
              </w:rPr>
            </w:pPr>
            <w:r>
              <w:rPr>
                <w:rFonts w:ascii="Arial" w:cs="Arial" w:eastAsia="Arial" w:hAnsi="Arial"/>
                <w:sz w:val="13"/>
                <w:szCs w:val="13"/>
                <w:color w:val="0000FF"/>
              </w:rPr>
              <w:t>A</w:t>
            </w:r>
          </w:p>
        </w:tc>
        <w:tc>
          <w:tcPr>
            <w:tcW w:w="740" w:type="dxa"/>
            <w:vAlign w:val="bottom"/>
            <w:vMerge w:val="restart"/>
          </w:tcPr>
          <w:p>
            <w:pPr>
              <w:jc w:val="right"/>
              <w:spacing w:after="0"/>
              <w:rPr>
                <w:sz w:val="20"/>
                <w:szCs w:val="20"/>
                <w:color w:val="auto"/>
              </w:rPr>
            </w:pPr>
            <w:r>
              <w:rPr>
                <w:rFonts w:ascii="Arial" w:cs="Arial" w:eastAsia="Arial" w:hAnsi="Arial"/>
                <w:sz w:val="17"/>
                <w:szCs w:val="17"/>
                <w:color w:val="0000FF"/>
              </w:rPr>
              <w:t>31,304</w:t>
            </w:r>
            <w:r>
              <w:rPr>
                <w:rFonts w:ascii="Arial" w:cs="Arial" w:eastAsia="Arial" w:hAnsi="Arial"/>
                <w:sz w:val="21"/>
                <w:szCs w:val="21"/>
                <w:color w:val="008000"/>
                <w:vertAlign w:val="superscript"/>
              </w:rPr>
              <w:t>(1)</w:t>
            </w:r>
          </w:p>
        </w:tc>
        <w:tc>
          <w:tcPr>
            <w:tcW w:w="60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620" w:type="dxa"/>
            <w:vAlign w:val="bottom"/>
            <w:vMerge w:val="restart"/>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60" w:type="dxa"/>
            <w:vAlign w:val="bottom"/>
          </w:tcPr>
          <w:p>
            <w:pPr>
              <w:spacing w:after="0"/>
              <w:rPr>
                <w:sz w:val="21"/>
                <w:szCs w:val="21"/>
                <w:color w:val="auto"/>
              </w:rPr>
            </w:pPr>
          </w:p>
        </w:tc>
        <w:tc>
          <w:tcPr>
            <w:tcW w:w="1240" w:type="dxa"/>
            <w:vAlign w:val="bottom"/>
            <w:gridSpan w:val="3"/>
            <w:vMerge w:val="restart"/>
          </w:tcPr>
          <w:p>
            <w:pPr>
              <w:jc w:val="right"/>
              <w:ind w:right="322"/>
              <w:spacing w:after="0"/>
              <w:rPr>
                <w:sz w:val="20"/>
                <w:szCs w:val="20"/>
                <w:color w:val="auto"/>
              </w:rPr>
            </w:pPr>
            <w:r>
              <w:rPr>
                <w:rFonts w:ascii="Arial" w:cs="Arial" w:eastAsia="Arial" w:hAnsi="Arial"/>
                <w:sz w:val="17"/>
                <w:szCs w:val="17"/>
                <w:color w:val="0000FF"/>
              </w:rPr>
              <w:t>31,304</w:t>
            </w:r>
          </w:p>
        </w:tc>
        <w:tc>
          <w:tcPr>
            <w:tcW w:w="300" w:type="dxa"/>
            <w:vAlign w:val="bottom"/>
          </w:tcPr>
          <w:p>
            <w:pPr>
              <w:spacing w:after="0"/>
              <w:rPr>
                <w:sz w:val="21"/>
                <w:szCs w:val="21"/>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7"/>
              </w:rPr>
              <w:t>("Common Stock")</w:t>
            </w: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86"/>
              </w:rPr>
              <w:t>11/24/2020</w:t>
            </w: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jc w:val="center"/>
              <w:ind w:right="260"/>
              <w:spacing w:after="0"/>
              <w:rPr>
                <w:sz w:val="20"/>
                <w:szCs w:val="20"/>
                <w:color w:val="auto"/>
              </w:rPr>
            </w:pPr>
            <w:r>
              <w:rPr>
                <w:rFonts w:ascii="Arial" w:cs="Arial" w:eastAsia="Arial" w:hAnsi="Arial"/>
                <w:sz w:val="13"/>
                <w:szCs w:val="13"/>
                <w:color w:val="0000FF"/>
              </w:rPr>
              <w:t>D</w:t>
            </w:r>
          </w:p>
        </w:tc>
        <w:tc>
          <w:tcPr>
            <w:tcW w:w="740" w:type="dxa"/>
            <w:vAlign w:val="bottom"/>
          </w:tcPr>
          <w:p>
            <w:pPr>
              <w:jc w:val="right"/>
              <w:ind w:right="16"/>
              <w:spacing w:after="0"/>
              <w:rPr>
                <w:sz w:val="20"/>
                <w:szCs w:val="20"/>
                <w:color w:val="auto"/>
              </w:rPr>
            </w:pPr>
            <w:r>
              <w:rPr>
                <w:rFonts w:ascii="Arial" w:cs="Arial" w:eastAsia="Arial" w:hAnsi="Arial"/>
                <w:sz w:val="17"/>
                <w:szCs w:val="17"/>
                <w:color w:val="0000FF"/>
              </w:rPr>
              <w:t>69,196</w:t>
            </w:r>
          </w:p>
        </w:tc>
        <w:tc>
          <w:tcPr>
            <w:tcW w:w="600" w:type="dxa"/>
            <w:vAlign w:val="bottom"/>
          </w:tcPr>
          <w:p>
            <w:pPr>
              <w:ind w:left="300"/>
              <w:spacing w:after="0"/>
              <w:rPr>
                <w:sz w:val="20"/>
                <w:szCs w:val="20"/>
                <w:color w:val="auto"/>
              </w:rPr>
            </w:pPr>
            <w:r>
              <w:rPr>
                <w:rFonts w:ascii="Arial" w:cs="Arial" w:eastAsia="Arial" w:hAnsi="Arial"/>
                <w:sz w:val="17"/>
                <w:szCs w:val="17"/>
                <w:color w:val="0000FF"/>
              </w:rPr>
              <w:t>D</w:t>
            </w:r>
          </w:p>
        </w:tc>
        <w:tc>
          <w:tcPr>
            <w:tcW w:w="680" w:type="dxa"/>
            <w:vAlign w:val="bottom"/>
            <w:gridSpan w:val="2"/>
          </w:tcPr>
          <w:p>
            <w:pPr>
              <w:jc w:val="right"/>
              <w:spacing w:after="0" w:line="204"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21.68</w:t>
            </w:r>
            <w:r>
              <w:rPr>
                <w:rFonts w:ascii="Arial" w:cs="Arial" w:eastAsia="Arial" w:hAnsi="Arial"/>
                <w:sz w:val="21"/>
                <w:szCs w:val="21"/>
                <w:color w:val="008000"/>
                <w:w w:val="95"/>
                <w:vertAlign w:val="superscript"/>
              </w:rPr>
              <w:t>(2)</w:t>
            </w:r>
          </w:p>
        </w:tc>
        <w:tc>
          <w:tcPr>
            <w:tcW w:w="1240" w:type="dxa"/>
            <w:vAlign w:val="bottom"/>
            <w:gridSpan w:val="3"/>
          </w:tcPr>
          <w:p>
            <w:pPr>
              <w:jc w:val="center"/>
              <w:ind w:right="202"/>
              <w:spacing w:after="0" w:line="204" w:lineRule="exact"/>
              <w:rPr>
                <w:sz w:val="20"/>
                <w:szCs w:val="20"/>
                <w:color w:val="auto"/>
              </w:rPr>
            </w:pPr>
            <w:r>
              <w:rPr>
                <w:rFonts w:ascii="Arial" w:cs="Arial" w:eastAsia="Arial" w:hAnsi="Arial"/>
                <w:sz w:val="17"/>
                <w:szCs w:val="17"/>
                <w:color w:val="0000FF"/>
              </w:rPr>
              <w:t>369,238</w:t>
            </w:r>
            <w:r>
              <w:rPr>
                <w:rFonts w:ascii="Arial" w:cs="Arial" w:eastAsia="Arial" w:hAnsi="Arial"/>
                <w:sz w:val="21"/>
                <w:szCs w:val="21"/>
                <w:color w:val="008000"/>
                <w:vertAlign w:val="superscript"/>
              </w:rPr>
              <w:t>(3)</w:t>
            </w:r>
          </w:p>
        </w:tc>
        <w:tc>
          <w:tcPr>
            <w:tcW w:w="30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grantor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0" w:type="dxa"/>
            <w:vAlign w:val="bottom"/>
            <w:gridSpan w:val="10"/>
          </w:tcPr>
          <w:p>
            <w:pPr>
              <w:ind w:lef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5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5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23</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11/20/2020</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A</w:t>
            </w:r>
          </w:p>
        </w:tc>
        <w:tc>
          <w:tcPr>
            <w:tcW w:w="700" w:type="dxa"/>
            <w:vAlign w:val="bottom"/>
          </w:tcPr>
          <w:p>
            <w:pPr>
              <w:ind w:left="140"/>
              <w:spacing w:after="0"/>
              <w:rPr>
                <w:sz w:val="20"/>
                <w:szCs w:val="20"/>
                <w:color w:val="auto"/>
              </w:rPr>
            </w:pPr>
            <w:r>
              <w:rPr>
                <w:rFonts w:ascii="Arial" w:cs="Arial" w:eastAsia="Arial" w:hAnsi="Arial"/>
                <w:sz w:val="13"/>
                <w:szCs w:val="13"/>
                <w:color w:val="0000FF"/>
              </w:rPr>
              <w:t>134,161</w:t>
            </w:r>
          </w:p>
        </w:tc>
        <w:tc>
          <w:tcPr>
            <w:tcW w:w="260" w:type="dxa"/>
            <w:vAlign w:val="bottom"/>
          </w:tcPr>
          <w:p>
            <w:pPr>
              <w:spacing w:after="0"/>
              <w:rPr>
                <w:sz w:val="21"/>
                <w:szCs w:val="21"/>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tcPr>
          <w:p>
            <w:pPr>
              <w:jc w:val="right"/>
              <w:ind w:right="76"/>
              <w:spacing w:after="0"/>
              <w:rPr>
                <w:sz w:val="20"/>
                <w:szCs w:val="20"/>
                <w:color w:val="auto"/>
              </w:rPr>
            </w:pPr>
            <w:r>
              <w:rPr>
                <w:rFonts w:ascii="Arial" w:cs="Arial" w:eastAsia="Arial" w:hAnsi="Arial"/>
                <w:sz w:val="13"/>
                <w:szCs w:val="13"/>
                <w:color w:val="0000FF"/>
                <w:w w:val="89"/>
              </w:rPr>
              <w:t>11/20/2030</w:t>
            </w:r>
          </w:p>
        </w:tc>
        <w:tc>
          <w:tcPr>
            <w:tcW w:w="600" w:type="dxa"/>
            <w:vAlign w:val="bottom"/>
          </w:tcPr>
          <w:p>
            <w:pPr>
              <w:spacing w:after="0"/>
              <w:rPr>
                <w:sz w:val="20"/>
                <w:szCs w:val="20"/>
                <w:color w:val="auto"/>
              </w:rPr>
            </w:pPr>
            <w:r>
              <w:rPr>
                <w:rFonts w:ascii="Arial" w:cs="Arial" w:eastAsia="Arial" w:hAnsi="Arial"/>
                <w:sz w:val="13"/>
                <w:szCs w:val="13"/>
                <w:color w:val="0000FF"/>
              </w:rPr>
              <w:t>Common</w:t>
            </w:r>
          </w:p>
        </w:tc>
        <w:tc>
          <w:tcPr>
            <w:tcW w:w="620" w:type="dxa"/>
            <w:vAlign w:val="bottom"/>
          </w:tcPr>
          <w:p>
            <w:pPr>
              <w:jc w:val="right"/>
              <w:ind w:right="13"/>
              <w:spacing w:after="0"/>
              <w:rPr>
                <w:sz w:val="20"/>
                <w:szCs w:val="20"/>
                <w:color w:val="auto"/>
              </w:rPr>
            </w:pPr>
            <w:r>
              <w:rPr>
                <w:rFonts w:ascii="Arial" w:cs="Arial" w:eastAsia="Arial" w:hAnsi="Arial"/>
                <w:sz w:val="17"/>
                <w:szCs w:val="17"/>
                <w:color w:val="0000FF"/>
                <w:w w:val="84"/>
              </w:rPr>
              <w:t>134,161</w:t>
            </w:r>
          </w:p>
        </w:tc>
        <w:tc>
          <w:tcPr>
            <w:tcW w:w="60" w:type="dxa"/>
            <w:vAlign w:val="bottom"/>
          </w:tcPr>
          <w:p>
            <w:pPr>
              <w:spacing w:after="0"/>
              <w:rPr>
                <w:sz w:val="21"/>
                <w:szCs w:val="21"/>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60" w:type="dxa"/>
            <w:vAlign w:val="bottom"/>
            <w:gridSpan w:val="2"/>
          </w:tcPr>
          <w:p>
            <w:pPr>
              <w:ind w:left="200"/>
              <w:spacing w:after="0"/>
              <w:rPr>
                <w:sz w:val="20"/>
                <w:szCs w:val="20"/>
                <w:color w:val="auto"/>
              </w:rPr>
            </w:pPr>
            <w:r>
              <w:rPr>
                <w:rFonts w:ascii="Arial" w:cs="Arial" w:eastAsia="Arial" w:hAnsi="Arial"/>
                <w:sz w:val="13"/>
                <w:szCs w:val="13"/>
                <w:color w:val="0000FF"/>
              </w:rPr>
              <w:t>134,161</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-1644650</wp:posOffset>
            </wp:positionV>
            <wp:extent cx="7034530" cy="16478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6478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8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consist of Restricted Stock Units ("RSUs") that were granted on November 20, 2020, pursuant to the terms of an RSU agreement under the Sotera Health Company 2020 Omnibus Incentive Plan ("2020 Incentive Plan"). Each RSU represents the Reporting Person's right to receive one share of common stock, subject to vesting conditions. The RSUs vest in four equal installments on each of the first four anniversaries of the date of grant, subject to the Reporting Person's continued service through each such date.</w:t>
      </w:r>
    </w:p>
    <w:p>
      <w:pPr>
        <w:spacing w:after="0" w:line="29" w:lineRule="exact"/>
        <w:rPr>
          <w:rFonts w:ascii="Arial" w:cs="Arial" w:eastAsia="Arial" w:hAnsi="Arial"/>
          <w:sz w:val="13"/>
          <w:szCs w:val="13"/>
          <w:color w:val="008000"/>
        </w:rPr>
      </w:pPr>
    </w:p>
    <w:p>
      <w:pPr>
        <w:ind w:left="40" w:right="42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 company repurchase price equal to the initial public offering price per share less underwriting discounts and commissions payable thereon, as disclosed in the company's Registration Statement on Form S-1.</w:t>
      </w:r>
    </w:p>
    <w:p>
      <w:pPr>
        <w:spacing w:after="0" w:line="27" w:lineRule="exact"/>
        <w:rPr>
          <w:rFonts w:ascii="Arial" w:cs="Arial" w:eastAsia="Arial" w:hAnsi="Arial"/>
          <w:sz w:val="13"/>
          <w:szCs w:val="13"/>
          <w:color w:val="008000"/>
        </w:rPr>
      </w:pPr>
    </w:p>
    <w:p>
      <w:pPr>
        <w:ind w:left="40" w:right="300"/>
        <w:spacing w:after="0" w:line="263"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220,762 shares of vested Common Stock and 148,476 shares of unvested Common Stock. 54,716 of the unvested shares of Common Stock will vest on a daily basis, pro rata through November 15, 2021. 93,760 of the unvested shares of Common Stock will vest as of the first date on which (i) certain investment funds and entities affiliated with Warburg Pincus LLC and GTCR, LLC (the "Sponsors") have received two and one-half times their invested capital in the company and (ii) the Sponsors' internal rate of return exceeds twenty percent.</w:t>
      </w:r>
    </w:p>
    <w:p>
      <w:pPr>
        <w:spacing w:after="0" w:line="16" w:lineRule="exact"/>
        <w:rPr>
          <w:rFonts w:ascii="Arial" w:cs="Arial" w:eastAsia="Arial" w:hAnsi="Arial"/>
          <w:sz w:val="12"/>
          <w:szCs w:val="12"/>
          <w:color w:val="008000"/>
        </w:rPr>
      </w:pPr>
    </w:p>
    <w:p>
      <w:pPr>
        <w:ind w:left="40" w:right="70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were granted on November 20, 2020, pursuant to the terms of a stock option agreement under the 2020 Incentive Plan. The options vest in four equal installments on each of the first four anniversaries of the date of grant, subject to the Reporting Person's continued service through each such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The Power of Attorney for Mr. Matthew J. Klaben is filed as an exhibit to the Form 3 filed on November 20, 2020, which is hereby incorporated by reference.</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7"/>
              </w:rPr>
              <w:t>/s/ Jessica L. M. H. Epp,</w:t>
            </w:r>
          </w:p>
        </w:tc>
        <w:tc>
          <w:tcPr>
            <w:tcW w:w="5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11/24/2020</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Attorney-in-Fact</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69000"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2020-11-24T19:34:16Z</dcterms:created>
  <dcterms:modified xsi:type="dcterms:W3CDTF">2020-11-24T19:34:16Z</dcterms:modified>
</cp:coreProperties>
</file>