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 2022</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2, 2022, Sotera Health Company (the “Company”) issued a press release (the “Press Release”) announcing its financial results for the third-quarter ended September 30, 2022. The Company will hold its previously announced conference call on November 2, 2022, at 9:00 a.m. Eastern Time to discuss its financial results for the quarter. A copy of the Press Release is attached hereto as Exhibit 99.1 and is incorporated herein by reference.</w:t>
      </w:r>
    </w:p>
    <w:p>
      <w:pPr>
        <w:spacing w:after="0" w:line="1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November 2, 2022</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top w:val="single" w:sz="8" w:color="0000FF"/>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November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Michael F. Biehl</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auto"/>
        </w:rPr>
        <w:t>Sotera Health Reports Third-Quarter and Year-to-Date 2022 Results</w:t>
      </w:r>
    </w:p>
    <w:p>
      <w:pPr>
        <w:spacing w:after="0" w:line="309"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Q3 2022 net revenues of $249 million increased 10%, compared to Q3 2021</w:t>
      </w:r>
    </w:p>
    <w:p>
      <w:pPr>
        <w:ind w:left="660" w:right="520" w:hanging="328"/>
        <w:spacing w:after="0" w:line="235" w:lineRule="auto"/>
        <w:tabs>
          <w:tab w:leader="none" w:pos="653" w:val="left"/>
        </w:tabs>
        <w:numPr>
          <w:ilvl w:val="0"/>
          <w:numId w:val="2"/>
        </w:numPr>
        <w:rPr>
          <w:rFonts w:ascii="Calibri" w:cs="Calibri" w:eastAsia="Calibri" w:hAnsi="Calibri"/>
          <w:sz w:val="20"/>
          <w:szCs w:val="20"/>
          <w:b w:val="1"/>
          <w:bCs w:val="1"/>
          <w:i w:val="1"/>
          <w:iCs w:val="1"/>
          <w:color w:val="auto"/>
        </w:rPr>
      </w:pPr>
      <w:r>
        <w:rPr>
          <w:rFonts w:ascii="Calibri" w:cs="Calibri" w:eastAsia="Calibri" w:hAnsi="Calibri"/>
          <w:sz w:val="22"/>
          <w:szCs w:val="22"/>
          <w:b w:val="1"/>
          <w:bCs w:val="1"/>
          <w:i w:val="1"/>
          <w:iCs w:val="1"/>
          <w:color w:val="auto"/>
        </w:rPr>
        <w:t>Q3 2022 net income of $25 million or $0.09 per diluted share, compared to net income of $27 million or $0.10 per diluted share in Q3 2021</w:t>
      </w:r>
    </w:p>
    <w:p>
      <w:pPr>
        <w:ind w:left="66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Q3 2022 Adjusted EBITDA of $125 million increased 7%, compared to Q3 2021</w:t>
      </w:r>
    </w:p>
    <w:p>
      <w:pPr>
        <w:ind w:left="640" w:hanging="308"/>
        <w:spacing w:after="0" w:line="229" w:lineRule="auto"/>
        <w:tabs>
          <w:tab w:leader="none" w:pos="640" w:val="left"/>
        </w:tabs>
        <w:numPr>
          <w:ilvl w:val="0"/>
          <w:numId w:val="2"/>
        </w:numPr>
        <w:rPr>
          <w:rFonts w:ascii="Calibri" w:cs="Calibri" w:eastAsia="Calibri" w:hAnsi="Calibri"/>
          <w:sz w:val="20"/>
          <w:szCs w:val="20"/>
          <w:b w:val="1"/>
          <w:bCs w:val="1"/>
          <w:i w:val="1"/>
          <w:iCs w:val="1"/>
          <w:color w:val="auto"/>
        </w:rPr>
      </w:pPr>
      <w:r>
        <w:rPr>
          <w:rFonts w:ascii="Calibri" w:cs="Calibri" w:eastAsia="Calibri" w:hAnsi="Calibri"/>
          <w:sz w:val="22"/>
          <w:szCs w:val="22"/>
          <w:b w:val="1"/>
          <w:bCs w:val="1"/>
          <w:i w:val="1"/>
          <w:iCs w:val="1"/>
          <w:color w:val="auto"/>
        </w:rPr>
        <w:t>Q3 2022 Adjusted EPS of $0.23 improved $0.02 compared to Q3 2021</w:t>
      </w:r>
    </w:p>
    <w:p>
      <w:pPr>
        <w:ind w:left="66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Adjustng full-year 2022 net revenue growth outlook to 7% - 8% and Adjusted EBITDA growth to 4% - 6%</w:t>
      </w:r>
    </w:p>
    <w:p>
      <w:pPr>
        <w:ind w:left="660" w:hanging="328"/>
        <w:spacing w:after="0" w:line="227"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The Company announced today that Alex Dimitrief joined as General Counsel efectve November 1st</w:t>
      </w:r>
    </w:p>
    <w:p>
      <w:pPr>
        <w:spacing w:after="0" w:line="200" w:lineRule="exact"/>
        <w:rPr>
          <w:sz w:val="20"/>
          <w:szCs w:val="20"/>
          <w:color w:val="auto"/>
        </w:rPr>
      </w:pPr>
    </w:p>
    <w:p>
      <w:pPr>
        <w:spacing w:after="0" w:line="251" w:lineRule="exact"/>
        <w:rPr>
          <w:sz w:val="20"/>
          <w:szCs w:val="20"/>
          <w:color w:val="auto"/>
        </w:rPr>
      </w:pPr>
    </w:p>
    <w:p>
      <w:pPr>
        <w:ind w:right="540"/>
        <w:spacing w:after="0" w:line="231" w:lineRule="auto"/>
        <w:rPr>
          <w:sz w:val="20"/>
          <w:szCs w:val="20"/>
          <w:color w:val="auto"/>
        </w:rPr>
      </w:pPr>
      <w:r>
        <w:rPr>
          <w:rFonts w:ascii="Calibri" w:cs="Calibri" w:eastAsia="Calibri" w:hAnsi="Calibri"/>
          <w:sz w:val="20"/>
          <w:szCs w:val="20"/>
          <w:b w:val="1"/>
          <w:bCs w:val="1"/>
          <w:color w:val="auto"/>
        </w:rPr>
        <w:t xml:space="preserve">CLEVELAND, OH, November 2, 2022 </w:t>
      </w:r>
      <w:r>
        <w:rPr>
          <w:rFonts w:ascii="Calibri" w:cs="Calibri" w:eastAsia="Calibri" w:hAnsi="Calibri"/>
          <w:sz w:val="20"/>
          <w:szCs w:val="20"/>
          <w:color w:val="auto"/>
        </w:rPr>
        <w:t>– Sotera Health Company (“Sotera Health” or the “Company”) (Nasdaq: SHC), a leading global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provider of mission-critcal end-to-end sterilizaton solutons, lab testng and advisory services for the healthcare industry, today announced fnancial results for the third quarter and frst nine months of 2022.</w:t>
      </w:r>
    </w:p>
    <w:p>
      <w:pPr>
        <w:spacing w:after="0" w:line="213"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auto"/>
        </w:rPr>
        <w:t>Third-quarter 2022 net revenues increased 10.0% to $249 million, compared with $226 million in the same period a year ago. Net revenues increased 13.2% on a constant currency basis. Third-quarter 2022 net income atributable to Sotera Health (“net income”) was $25 million, or $0.09 per diluted share, compared with net income of $27 million, or $0.10 per diluted share in the third quarter of 2021. Adjusted EBITDA for the third-quarter 2022 increased 7.3% over the third quarter of 2021 to $125 million. Third-quarter 2022 adjusted earnings per diluted share (“Adjusted EPS”) was $0.23, compared to $0.21 in the third quarter of 2021, an increase of $0.02 per diluted share. Please refer to the secton “Non-GAAP Financial Measures” provided later in this release.</w:t>
      </w:r>
    </w:p>
    <w:p>
      <w:pPr>
        <w:spacing w:after="0" w:line="252"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For the frst nine months of 2022, net revenues increased 9.0% to $752 million, compared to $690 million for the same period in 2021. Net revenues increased 11.3% on a constant currency basis. Net income was $86 million, or $0.31 per diluted share for the nine months ended September 30, 2022, compared with net income of $81 million, or $0.29 per diluted share, for the same period last year. First nine months of 2022 Adjusted EBITDA increased 5.6% to $377 million and Adjusted EPS grew by $0.07 to $0.72 compared to the frst nine months of 2021. Please refer to the secton “Non-GAAP Financial Measures” provided later in this release.</w:t>
      </w:r>
    </w:p>
    <w:p>
      <w:pPr>
        <w:spacing w:after="0" w:line="243" w:lineRule="exact"/>
        <w:rPr>
          <w:sz w:val="20"/>
          <w:szCs w:val="20"/>
          <w:color w:val="auto"/>
        </w:rPr>
      </w:pPr>
    </w:p>
    <w:p>
      <w:pPr>
        <w:ind w:right="100"/>
        <w:spacing w:after="0" w:line="221" w:lineRule="auto"/>
        <w:rPr>
          <w:sz w:val="20"/>
          <w:szCs w:val="20"/>
          <w:color w:val="auto"/>
        </w:rPr>
      </w:pPr>
      <w:r>
        <w:rPr>
          <w:rFonts w:ascii="Calibri" w:cs="Calibri" w:eastAsia="Calibri" w:hAnsi="Calibri"/>
          <w:sz w:val="20"/>
          <w:szCs w:val="20"/>
          <w:color w:val="auto"/>
        </w:rPr>
        <w:t>“We are pleased to report solid top and botom-line growth for the third quarter of 2022 as compared to the same period in 2021,” said Chairman and Chief Executve Ofcer, Michael B. Petras, Jr. “This is the eighth consecutve quarter that Sotera Health has delivered top-line and Adjusted EBITDA growth, which is quite an accomplishment in light of the adverse macroeconomic environment that we are all experiencing. The Sotera Health team is focused on making meaningful progress on capacity expansion investments, operatonal excellence initatves and managing complex supply chains in order to serve our customer base around the globe.”</w:t>
      </w:r>
    </w:p>
    <w:p>
      <w:pPr>
        <w:spacing w:after="0" w:line="226" w:lineRule="exact"/>
        <w:rPr>
          <w:sz w:val="20"/>
          <w:szCs w:val="20"/>
          <w:color w:val="auto"/>
        </w:rPr>
      </w:pPr>
    </w:p>
    <w:p>
      <w:pPr>
        <w:ind w:right="60"/>
        <w:spacing w:after="0" w:line="222" w:lineRule="auto"/>
        <w:rPr>
          <w:sz w:val="20"/>
          <w:szCs w:val="20"/>
          <w:color w:val="auto"/>
        </w:rPr>
      </w:pPr>
      <w:r>
        <w:rPr>
          <w:rFonts w:ascii="Calibri" w:cs="Calibri" w:eastAsia="Calibri" w:hAnsi="Calibri"/>
          <w:sz w:val="20"/>
          <w:szCs w:val="20"/>
          <w:color w:val="auto"/>
        </w:rPr>
        <w:t>Petras contnued, “With nine months of reported fnancials behind us, and taking into consideraton additonal foreign exchange and other macroeconomic pressures, we are adjustng our 2022 outlook. Our current outlook for net revenues is in the range of $995 million to $1.005 billion, with Adjusted EBITDA in the range of $500 million to $510 million. As always, our focus contnues to be providing high-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58"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color w:val="auto"/>
        </w:rPr>
        <w:t>quality service to our customers, while remaining commited to our values and mission, Safeguarding Global Health®.”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Third-Quarter and Year-to-Date Highlights by Business Segment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90" w:lineRule="exact"/>
        <w:rPr>
          <w:sz w:val="20"/>
          <w:szCs w:val="20"/>
          <w:color w:val="auto"/>
        </w:rPr>
      </w:pPr>
    </w:p>
    <w:p>
      <w:pPr>
        <w:ind w:right="100"/>
        <w:spacing w:after="0" w:line="233" w:lineRule="auto"/>
        <w:rPr>
          <w:sz w:val="20"/>
          <w:szCs w:val="20"/>
          <w:color w:val="auto"/>
        </w:rPr>
      </w:pPr>
      <w:r>
        <w:rPr>
          <w:rFonts w:ascii="Calibri" w:cs="Calibri" w:eastAsia="Calibri" w:hAnsi="Calibri"/>
          <w:sz w:val="20"/>
          <w:szCs w:val="20"/>
          <w:color w:val="auto"/>
        </w:rPr>
        <w:t>For the third quarter of 2022, Sterigenics net revenues were $158 million, an increase of 8.5% compared to the third quarter a year ago. In this same period, segment income increased 7.9% to $86 million. For the frst nine months of 2022, Sterigenics net revenues were $465 million, an increase of 10.3% compared to the same period in 2021. In this same period, segment income increased 10.0% to $250 million.</w:t>
      </w:r>
    </w:p>
    <w:p>
      <w:pPr>
        <w:spacing w:after="0" w:line="213"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Revenue and segment income growth for the third quarter of 2022 were driven by favorable pricing and organic volume growth, partally ofset by an unfavorable impact from foreign currency exchange rates.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90" w:lineRule="exact"/>
        <w:rPr>
          <w:sz w:val="20"/>
          <w:szCs w:val="20"/>
          <w:color w:val="auto"/>
        </w:rPr>
      </w:pPr>
    </w:p>
    <w:p>
      <w:pPr>
        <w:ind w:right="120"/>
        <w:spacing w:after="0"/>
        <w:rPr>
          <w:sz w:val="20"/>
          <w:szCs w:val="20"/>
          <w:color w:val="auto"/>
        </w:rPr>
      </w:pPr>
      <w:r>
        <w:rPr>
          <w:rFonts w:ascii="Calibri" w:cs="Calibri" w:eastAsia="Calibri" w:hAnsi="Calibri"/>
          <w:sz w:val="20"/>
          <w:szCs w:val="20"/>
          <w:color w:val="auto"/>
        </w:rPr>
        <w:t>For the third quarter of 2022, Nordion net revenues were $35 million, an increase of 21.9% compared to the third quarter a year ago. In this same period, segment income increased 24.3% to $20 million. For the frst nine months of 2022, Nordion net revenues were $120 million, an increase of 15.2% compared to the same period in 2021. In this same period, segment income increased 12.9% to $69 million.</w:t>
      </w:r>
    </w:p>
    <w:p>
      <w:pPr>
        <w:spacing w:after="0" w:line="200" w:lineRule="exact"/>
        <w:rPr>
          <w:sz w:val="20"/>
          <w:szCs w:val="20"/>
          <w:color w:val="auto"/>
        </w:rPr>
      </w:pPr>
    </w:p>
    <w:p>
      <w:pPr>
        <w:spacing w:after="0" w:line="229"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Revenue and segment income growth for the third quarter of 2022 were driven by volume growth and a favorable impact from pricing, partally ofset by an unfavorable impact from foreign currency exchange rates.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103" w:lineRule="exact"/>
        <w:rPr>
          <w:sz w:val="20"/>
          <w:szCs w:val="20"/>
          <w:color w:val="auto"/>
        </w:rPr>
      </w:pPr>
    </w:p>
    <w:p>
      <w:pPr>
        <w:ind w:right="100"/>
        <w:spacing w:after="0" w:line="230" w:lineRule="auto"/>
        <w:rPr>
          <w:sz w:val="20"/>
          <w:szCs w:val="20"/>
          <w:color w:val="auto"/>
        </w:rPr>
      </w:pPr>
      <w:r>
        <w:rPr>
          <w:rFonts w:ascii="Calibri" w:cs="Calibri" w:eastAsia="Calibri" w:hAnsi="Calibri"/>
          <w:sz w:val="20"/>
          <w:szCs w:val="20"/>
          <w:color w:val="auto"/>
        </w:rPr>
        <w:t>For the third quarter of 2022, Nelson Labs net revenues were $56 million, an increase of 7.3% compared to the third quarter a year ago. In this same period, segment income decreased 8.2% to $19 million. For the frst nine months of 2022, Nelson Labs net revenues were $168 million, an increase of 1.7% compared to the same period in 2021. In this same period, segment income decreased 15.5% to $57 million.</w:t>
      </w:r>
    </w:p>
    <w:p>
      <w:pPr>
        <w:spacing w:after="0" w:line="225" w:lineRule="exact"/>
        <w:rPr>
          <w:sz w:val="20"/>
          <w:szCs w:val="20"/>
          <w:color w:val="auto"/>
        </w:rPr>
      </w:pPr>
    </w:p>
    <w:p>
      <w:pPr>
        <w:ind w:right="200"/>
        <w:spacing w:after="0" w:line="231" w:lineRule="auto"/>
        <w:rPr>
          <w:sz w:val="20"/>
          <w:szCs w:val="20"/>
          <w:color w:val="auto"/>
        </w:rPr>
      </w:pPr>
      <w:r>
        <w:rPr>
          <w:rFonts w:ascii="Calibri" w:cs="Calibri" w:eastAsia="Calibri" w:hAnsi="Calibri"/>
          <w:sz w:val="20"/>
          <w:szCs w:val="20"/>
          <w:color w:val="auto"/>
        </w:rPr>
        <w:t>Revenue growth for the third quarter of 2022 was driven by favorable pricing and revenues from our recent acquisiton, partally ofset by an unfavorable impact from foreign currency exchange rates. The decrease in segment income was primarily driven by increased stafng in antcipaton of incremental volume, unfavorable revenue mix and an unfavorable impact from foreign currency exchange rates, partally ofset by favorable pricing. Segment income margin decline for the third quarter of 2022 was a result of the aforementoned factors coupled with diluton resultng from the margin profle of the 2021 Nelson Labs acquisitons.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Balance Sheet and Liquidity</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As of September 30, 2022, Sotera Health had $1.80 billion of total debt and $165 million of cash and cash equivalents, compared to</w:t>
      </w:r>
    </w:p>
    <w:p>
      <w:pPr>
        <w:spacing w:after="0" w:line="9" w:lineRule="exact"/>
        <w:rPr>
          <w:sz w:val="20"/>
          <w:szCs w:val="20"/>
          <w:color w:val="auto"/>
        </w:rPr>
      </w:pPr>
    </w:p>
    <w:p>
      <w:pPr>
        <w:ind w:right="140"/>
        <w:spacing w:after="0" w:line="233" w:lineRule="auto"/>
        <w:rPr>
          <w:sz w:val="20"/>
          <w:szCs w:val="20"/>
          <w:color w:val="auto"/>
        </w:rPr>
      </w:pPr>
      <w:r>
        <w:rPr>
          <w:rFonts w:ascii="Calibri" w:cs="Calibri" w:eastAsia="Calibri" w:hAnsi="Calibri"/>
          <w:sz w:val="20"/>
          <w:szCs w:val="20"/>
          <w:color w:val="auto"/>
        </w:rPr>
        <w:t>$1.79 billion of total debt and $107 million of cash and cash equivalents as of December 31, 2021. During the third quarter of 2022, the Company’s cash balance increased by $24 million. Material debt balances currently outstanding do not mature untl 2026. Sotera Health’s net leverage rato as of September 30, 2022 improved to 3.3x, well within the 2.0x to 4.0x target range provided by the Company. Please refer to the secton “Non-GAAP Financial Measures” provided later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834" w:right="33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u w:val="single" w:color="auto"/>
          <w:color w:val="auto"/>
        </w:rPr>
        <w:t>2022 Outlook</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updatng its 2022 outlook to the following:</w:t>
      </w:r>
    </w:p>
    <w:p>
      <w:pPr>
        <w:spacing w:after="0" w:line="90" w:lineRule="exact"/>
        <w:rPr>
          <w:sz w:val="20"/>
          <w:szCs w:val="20"/>
          <w:color w:val="auto"/>
        </w:rPr>
      </w:pPr>
    </w:p>
    <w:p>
      <w:pPr>
        <w:ind w:left="660" w:right="120" w:hanging="328"/>
        <w:spacing w:after="0" w:line="231"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revenues in the range of $995 million to $1.005 billion, from previous guidance of $1.000 billion to $1.022 billion, representng growth of 7% to 8%, compared to the prior year, due to an incremental 1% foreign exchange headwind and slower recovery in certain testng categories at Nelson Labs,</w:t>
      </w:r>
    </w:p>
    <w:p>
      <w:pPr>
        <w:spacing w:after="0" w:line="105" w:lineRule="exact"/>
        <w:rPr>
          <w:rFonts w:ascii="Calibri" w:cs="Calibri" w:eastAsia="Calibri" w:hAnsi="Calibri"/>
          <w:sz w:val="20"/>
          <w:szCs w:val="20"/>
          <w:color w:val="auto"/>
        </w:rPr>
      </w:pPr>
    </w:p>
    <w:p>
      <w:pPr>
        <w:ind w:left="660" w:right="96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Adjusted EBITDA in the range of $500 million to $510 million, from previous guidance of $515 million to $525 million, representng growth of 4% to 6%, compared to the prior year,</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Tax rate applicable to Adjusted Net Income of approximately 28%, from previous guidance of 29% to 30%,</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Adjusted EPS of $0.91 to $0.95, from previous guidance of $0.93 to $0.97,</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Fully diluted share count range of 280 million to 282 million shares on a weighted-average basis,</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Capital expenditures in the range of $150 million to $170 million, from previous guidance of $140 million to $170 million, and</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leverage reducton in the range of 3.2x to 3.3x, from previous guidance of approximately 1/2 of a turn reducton for 2022.</w:t>
      </w:r>
    </w:p>
    <w:p>
      <w:pPr>
        <w:spacing w:after="0" w:line="225" w:lineRule="exact"/>
        <w:rPr>
          <w:sz w:val="20"/>
          <w:szCs w:val="20"/>
          <w:color w:val="auto"/>
        </w:rPr>
      </w:pPr>
    </w:p>
    <w:p>
      <w:pPr>
        <w:ind w:right="60"/>
        <w:spacing w:after="0" w:line="233"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ethylene oxide (“EO”) and cobalt-60 (“Co-60”), the impact of infatonary trends including their impact on energy prices and the supply of labor, the impact of the COVID-19 pandemic including the rate of recoveries of electve procedures and new product development testng, and the expectaton that exchange rates as of third-quarter 2022 remain constant for the remainder of 2022. Our outlook is based on current plans and expectatons and is subject to several known and unknown risks and uncertaintes, including those set forth below under “Forward-Looking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90"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color w:val="auto"/>
        </w:rPr>
        <w:t>Sotera Health management will host a conference call and webcast to discuss the Company’s operatng highlights and fnancial results at 9:00 a.m. Eastern Time today. Partcipants may access the conference call live via webcast on the ‘Presentatons &amp; Events' page of Sotera Health’s website at htps://investors.soterahealth.com/events-and-presentatons. To partcipate via telephone, registraton is required.</w:t>
      </w:r>
    </w:p>
    <w:p>
      <w:pPr>
        <w:spacing w:after="0" w:line="11" w:lineRule="exact"/>
        <w:rPr>
          <w:sz w:val="20"/>
          <w:szCs w:val="20"/>
          <w:color w:val="auto"/>
        </w:rPr>
      </w:pPr>
    </w:p>
    <w:p>
      <w:pPr>
        <w:ind w:right="100"/>
        <w:spacing w:after="0" w:line="230" w:lineRule="auto"/>
        <w:rPr>
          <w:sz w:val="20"/>
          <w:szCs w:val="20"/>
          <w:color w:val="auto"/>
        </w:rPr>
      </w:pPr>
      <w:r>
        <w:rPr>
          <w:rFonts w:ascii="Calibri" w:cs="Calibri" w:eastAsia="Calibri" w:hAnsi="Calibri"/>
          <w:sz w:val="20"/>
          <w:szCs w:val="20"/>
          <w:color w:val="auto"/>
        </w:rPr>
        <w:t>The Company advises atendees to register in advance at this link to avoid delays in joining the call. Upon registraton, all telephone partcipants will receive a confrmaton email detailing how to join the conference call, including the dial-in number along with a unique passcode and registrant ID that can be used to access the call. A replay of the conference call and webcast will be archived on the Company's website.</w:t>
      </w:r>
    </w:p>
    <w:p>
      <w:pPr>
        <w:spacing w:after="0" w:line="22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Updates can be found from tme to tme on recent developments in maters relevant to investors on the Investor Relatons secton of the Company’s website at htps://investors.soterahealth.com. For developments related to EO, updates can be found at htps://investors.soterahealth.com/ethylene-oxide-eo-overview.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20"/>
          </w:cols>
          <w:pgMar w:left="320" w:top="1280" w:right="35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u w:val="single" w:color="auto"/>
          <w:color w:val="auto"/>
        </w:rPr>
        <w:t>Forward-Looking Statements</w:t>
      </w:r>
    </w:p>
    <w:p>
      <w:pPr>
        <w:spacing w:after="0" w:line="227"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or increases in the price of EO or Co-60, including geopolitcal risks related to the supply of Co-60 from Russia; foreign currency exchange rates and changes in those rates; changes in industry trends, environmental, health and safety regulatons or preferences; the impact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adverse judgments against two of our subsidiaries in the EO tort litgaton that may require an appellate bond or alternatve form of security to appeal, and plaintf eforts to enforce judgments against us, any one of which may have an adverse impact on our liquidity; our ability to increase capacity at existng facilites, renew leases for our leased facilites and build new facilites in a tmely and cost-efectve manner; competton for qualifed employees in the industries in which we operate; the risks of doing business internatonally; and any inability to pursue strategic transactons or fnd suitable acquisiton targets. For additonal discussion of these risks and uncertaintes, please refer to Company’s flings with the SEC, such as its annual and quarterly reports. We do not undertake any obligaton to publicly update or revise these forward-looking statements, except as otherwise required by law.</w:t>
      </w:r>
    </w:p>
    <w:p>
      <w:pPr>
        <w:spacing w:after="0" w:line="20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103" w:lineRule="exact"/>
        <w:rPr>
          <w:sz w:val="20"/>
          <w:szCs w:val="20"/>
          <w:color w:val="auto"/>
        </w:rPr>
      </w:pPr>
    </w:p>
    <w:p>
      <w:pPr>
        <w:ind w:right="160"/>
        <w:spacing w:after="0" w:line="233" w:lineRule="auto"/>
        <w:rPr>
          <w:sz w:val="20"/>
          <w:szCs w:val="20"/>
          <w:color w:val="auto"/>
        </w:rPr>
      </w:pPr>
      <w:r>
        <w:rPr>
          <w:rFonts w:ascii="Calibri" w:cs="Calibri" w:eastAsia="Calibri" w:hAnsi="Calibri"/>
          <w:sz w:val="20"/>
          <w:szCs w:val="20"/>
          <w:color w:val="auto"/>
        </w:rPr>
        <w:t>The Company does not provide a reconciliaton of the forward-looking Adjusted EBITDA, Adjusted Net Income, Adjusted EPS, and Net Leverage Rato outlook to the most directly comparable GAAP measure, as this cannot be done without unreasonable efort due to the variability and low visibility with respect to certain items, including, among others, uncertaintes caused by the global COVID-19 pandemic, changes to the regulatory landscape, restructuring items and certain fair value measurements, all of which are potental adjustments for future earnings. The variability of these items could have a potentally unpredictable, and a potentally signifcant, impact on our future GAAP results.</w:t>
      </w:r>
    </w:p>
    <w:p>
      <w:pPr>
        <w:spacing w:after="0" w:line="211" w:lineRule="exact"/>
        <w:rPr>
          <w:sz w:val="20"/>
          <w:szCs w:val="20"/>
          <w:color w:val="auto"/>
        </w:rPr>
      </w:pPr>
    </w:p>
    <w:p>
      <w:pPr>
        <w:jc w:val="both"/>
        <w:ind w:right="24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Net Income, Adjusted EPS, Net Debt, Net Leverage Rato and constant currency fnancial measures that are not based on any standardized methodology prescribed by GAAP.</w:t>
      </w:r>
    </w:p>
    <w:p>
      <w:pPr>
        <w:spacing w:after="0" w:line="227"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212" w:lineRule="exact"/>
        <w:rPr>
          <w:sz w:val="20"/>
          <w:szCs w:val="20"/>
          <w:color w:val="auto"/>
        </w:rPr>
      </w:pPr>
    </w:p>
    <w:p>
      <w:pPr>
        <w:ind w:right="260"/>
        <w:spacing w:after="0" w:line="231" w:lineRule="auto"/>
        <w:rPr>
          <w:sz w:val="20"/>
          <w:szCs w:val="20"/>
          <w:color w:val="auto"/>
        </w:rPr>
      </w:pPr>
      <w:r>
        <w:rPr>
          <w:rFonts w:ascii="Calibri" w:cs="Calibri" w:eastAsia="Calibri" w:hAnsi="Calibri"/>
          <w:sz w:val="20"/>
          <w:szCs w:val="20"/>
          <w:color w:val="auto"/>
        </w:rPr>
        <w:t>We defne Adjusted EBITDA as Adjusted Net Income before interest expense and the mark-to-market impact of derivatves not accounted for as hedges, depreciaton (including depreciaton of Co-60 used in our operatons) and income tax provision applicable to Adjusted Net Income. Adjusted EBITDA Margin is equal to Adjusted EBITDA divided by net revenues.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1280" w:right="35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211"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Our Net Debt is equal to our total debt, including fnancing leases, plus unamortzed debt issuance costs and debt discounts, less cash and cash equivalents.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the trailing twelve-months of Adjusted EBITDA.</w:t>
      </w:r>
    </w:p>
    <w:p>
      <w:pPr>
        <w:spacing w:after="0" w:line="211" w:lineRule="exact"/>
        <w:rPr>
          <w:sz w:val="20"/>
          <w:szCs w:val="20"/>
          <w:color w:val="auto"/>
        </w:rPr>
      </w:pPr>
    </w:p>
    <w:p>
      <w:pPr>
        <w:spacing w:after="0" w:line="220"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U.S. GAAP.</w:t>
      </w:r>
    </w:p>
    <w:p>
      <w:pPr>
        <w:spacing w:after="0" w:line="215" w:lineRule="exact"/>
        <w:rPr>
          <w:sz w:val="20"/>
          <w:szCs w:val="20"/>
          <w:color w:val="auto"/>
        </w:rPr>
      </w:pPr>
    </w:p>
    <w:p>
      <w:pPr>
        <w:ind w:right="200"/>
        <w:spacing w:after="0" w:line="232"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are useful because they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absent this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basis for the atainment of our primary annual incentve program. These measures may be calculated diferently from, and therefore may not be comparable to, a similarly ttled measure used by other companies.</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90"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60" w:type="dxa"/>
            <w:vAlign w:val="bottom"/>
            <w:tcBorders>
              <w:bottom w:val="single" w:sz="8" w:color="auto"/>
            </w:tcBorders>
            <w:gridSpan w:val="3"/>
          </w:tcPr>
          <w:p>
            <w:pPr>
              <w:spacing w:after="0"/>
              <w:rPr>
                <w:sz w:val="20"/>
                <w:szCs w:val="20"/>
                <w:color w:val="auto"/>
              </w:rPr>
            </w:pPr>
            <w:r>
              <w:rPr>
                <w:rFonts w:ascii="Calibri" w:cs="Calibri" w:eastAsia="Calibri" w:hAnsi="Calibri"/>
                <w:sz w:val="20"/>
                <w:szCs w:val="20"/>
                <w:b w:val="1"/>
                <w:bCs w:val="1"/>
                <w:color w:val="auto"/>
                <w:w w:val="99"/>
              </w:rPr>
              <w:t>INVESTOR RELATIONS CONTACTS</w:t>
            </w: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38"/>
        </w:trPr>
        <w:tc>
          <w:tcPr>
            <w:tcW w:w="1560" w:type="dxa"/>
            <w:vAlign w:val="bottom"/>
          </w:tcPr>
          <w:p>
            <w:pPr>
              <w:spacing w:after="0"/>
              <w:rPr>
                <w:sz w:val="20"/>
                <w:szCs w:val="20"/>
                <w:color w:val="auto"/>
              </w:rPr>
            </w:pPr>
            <w:r>
              <w:rPr>
                <w:rFonts w:ascii="Calibri" w:cs="Calibri" w:eastAsia="Calibri" w:hAnsi="Calibri"/>
                <w:sz w:val="20"/>
                <w:szCs w:val="20"/>
                <w:color w:val="auto"/>
              </w:rPr>
              <w:t>Jason Peterson</w:t>
            </w:r>
          </w:p>
        </w:tc>
        <w:tc>
          <w:tcPr>
            <w:tcW w:w="940" w:type="dxa"/>
            <w:vAlign w:val="bottom"/>
          </w:tcPr>
          <w:p>
            <w:pPr>
              <w:spacing w:after="0"/>
              <w:rPr>
                <w:sz w:val="24"/>
                <w:szCs w:val="24"/>
                <w:color w:val="auto"/>
              </w:rPr>
            </w:pPr>
          </w:p>
        </w:tc>
        <w:tc>
          <w:tcPr>
            <w:tcW w:w="3120" w:type="dxa"/>
            <w:vAlign w:val="bottom"/>
            <w:gridSpan w:val="4"/>
          </w:tcPr>
          <w:p>
            <w:pPr>
              <w:ind w:left="20"/>
              <w:spacing w:after="0"/>
              <w:rPr>
                <w:sz w:val="20"/>
                <w:szCs w:val="20"/>
                <w:color w:val="auto"/>
              </w:rPr>
            </w:pPr>
            <w:r>
              <w:rPr>
                <w:rFonts w:ascii="Calibri" w:cs="Calibri" w:eastAsia="Calibri" w:hAnsi="Calibri"/>
                <w:sz w:val="20"/>
                <w:szCs w:val="20"/>
                <w:color w:val="auto"/>
              </w:rPr>
              <w:t>Sally J. Curley, IRC</w:t>
            </w:r>
          </w:p>
        </w:tc>
      </w:tr>
      <w:tr>
        <w:trPr>
          <w:trHeight w:val="240"/>
        </w:trPr>
        <w:tc>
          <w:tcPr>
            <w:tcW w:w="3660" w:type="dxa"/>
            <w:vAlign w:val="bottom"/>
            <w:gridSpan w:val="4"/>
          </w:tcPr>
          <w:p>
            <w:pPr>
              <w:spacing w:after="0" w:line="240" w:lineRule="exact"/>
              <w:rPr>
                <w:sz w:val="20"/>
                <w:szCs w:val="20"/>
                <w:color w:val="auto"/>
              </w:rPr>
            </w:pPr>
            <w:r>
              <w:rPr>
                <w:rFonts w:ascii="Calibri" w:cs="Calibri" w:eastAsia="Calibri" w:hAnsi="Calibri"/>
                <w:sz w:val="20"/>
                <w:szCs w:val="20"/>
                <w:color w:val="auto"/>
              </w:rPr>
              <w:t>Vice President &amp; Treasurer, Sotera Health</w:t>
            </w:r>
          </w:p>
        </w:tc>
        <w:tc>
          <w:tcPr>
            <w:tcW w:w="1960" w:type="dxa"/>
            <w:vAlign w:val="bottom"/>
            <w:gridSpan w:val="2"/>
          </w:tcPr>
          <w:p>
            <w:pPr>
              <w:ind w:left="280"/>
              <w:spacing w:after="0" w:line="240" w:lineRule="exact"/>
              <w:rPr>
                <w:sz w:val="20"/>
                <w:szCs w:val="20"/>
                <w:color w:val="auto"/>
              </w:rPr>
            </w:pPr>
            <w:r>
              <w:rPr>
                <w:rFonts w:ascii="Calibri" w:cs="Calibri" w:eastAsia="Calibri" w:hAnsi="Calibri"/>
                <w:sz w:val="20"/>
                <w:szCs w:val="20"/>
                <w:color w:val="auto"/>
                <w:w w:val="99"/>
              </w:rPr>
              <w:t>Curley Global IR, LLC</w:t>
            </w:r>
          </w:p>
        </w:tc>
      </w:tr>
      <w:tr>
        <w:trPr>
          <w:trHeight w:val="184"/>
        </w:trPr>
        <w:tc>
          <w:tcPr>
            <w:tcW w:w="1560" w:type="dxa"/>
            <w:vAlign w:val="bottom"/>
            <w:tcBorders>
              <w:bottom w:val="single" w:sz="8" w:color="0563C1"/>
            </w:tcBorders>
          </w:tcPr>
          <w:p>
            <w:pPr>
              <w:spacing w:after="0" w:line="185" w:lineRule="exact"/>
              <w:rPr>
                <w:sz w:val="20"/>
                <w:szCs w:val="20"/>
                <w:color w:val="auto"/>
              </w:rPr>
            </w:pPr>
            <w:r>
              <w:rPr>
                <w:rFonts w:ascii="Calibri" w:cs="Calibri" w:eastAsia="Calibri" w:hAnsi="Calibri"/>
                <w:sz w:val="18"/>
                <w:szCs w:val="18"/>
                <w:color w:val="0563C1"/>
                <w:w w:val="96"/>
              </w:rPr>
              <w:t>IR@soterahealth.com</w:t>
            </w:r>
          </w:p>
        </w:tc>
        <w:tc>
          <w:tcPr>
            <w:tcW w:w="940" w:type="dxa"/>
            <w:vAlign w:val="bottom"/>
          </w:tcPr>
          <w:p>
            <w:pPr>
              <w:spacing w:after="0"/>
              <w:rPr>
                <w:sz w:val="16"/>
                <w:szCs w:val="16"/>
                <w:color w:val="auto"/>
              </w:rPr>
            </w:pPr>
          </w:p>
        </w:tc>
        <w:tc>
          <w:tcPr>
            <w:tcW w:w="1560" w:type="dxa"/>
            <w:vAlign w:val="bottom"/>
            <w:tcBorders>
              <w:bottom w:val="single" w:sz="8" w:color="0563C1"/>
            </w:tcBorders>
            <w:gridSpan w:val="3"/>
          </w:tcPr>
          <w:p>
            <w:pPr>
              <w:spacing w:after="0" w:line="185" w:lineRule="exact"/>
              <w:rPr>
                <w:sz w:val="20"/>
                <w:szCs w:val="20"/>
                <w:color w:val="auto"/>
              </w:rPr>
            </w:pPr>
            <w:r>
              <w:rPr>
                <w:rFonts w:ascii="Calibri" w:cs="Calibri" w:eastAsia="Calibri" w:hAnsi="Calibri"/>
                <w:sz w:val="18"/>
                <w:szCs w:val="18"/>
                <w:color w:val="0563C1"/>
                <w:w w:val="96"/>
              </w:rPr>
              <w:t>IR@soterahealth.com</w:t>
            </w:r>
          </w:p>
        </w:tc>
        <w:tc>
          <w:tcPr>
            <w:tcW w:w="1560" w:type="dxa"/>
            <w:vAlign w:val="bottom"/>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MEDIA CONTACT</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25" w:lineRule="auto"/>
        <w:rPr>
          <w:sz w:val="20"/>
          <w:szCs w:val="20"/>
          <w:color w:val="auto"/>
        </w:rPr>
      </w:pPr>
      <w:r>
        <w:rPr>
          <w:rFonts w:ascii="Calibri" w:cs="Calibri" w:eastAsia="Calibri" w:hAnsi="Calibri"/>
          <w:sz w:val="20"/>
          <w:szCs w:val="20"/>
          <w:color w:val="auto"/>
        </w:rPr>
        <w:t>Chief Marketng Ofcer, Sotera Health</w:t>
      </w:r>
    </w:p>
    <w:p>
      <w:pPr>
        <w:spacing w:after="0" w:line="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0563C1"/>
        </w:rPr>
        <w:t>kgibbs@soterahealth.com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80"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140"/>
          </w:cols>
          <w:pgMar w:left="320" w:top="1064"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40" w:type="dxa"/>
            <w:vAlign w:val="bottom"/>
            <w:gridSpan w:val="4"/>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7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216,704</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200,499</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644,451</w:t>
            </w:r>
          </w:p>
        </w:tc>
        <w:tc>
          <w:tcPr>
            <w:tcW w:w="1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597,907</w:t>
            </w:r>
          </w:p>
        </w:tc>
      </w:tr>
      <w:tr>
        <w:trPr>
          <w:trHeight w:val="229"/>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107,646</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92,322</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248,704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752,097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690,229</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292,755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264,776</w:t>
            </w:r>
          </w:p>
        </w:tc>
      </w:tr>
      <w:tr>
        <w:trPr>
          <w:trHeight w:val="230"/>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44,058</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40,734</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112,691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336,813</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305,510</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415,284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384,719</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179,765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146,331</w:t>
            </w:r>
          </w:p>
        </w:tc>
      </w:tr>
      <w:tr>
        <w:trPr>
          <w:trHeight w:val="229"/>
        </w:trPr>
        <w:tc>
          <w:tcPr>
            <w:tcW w:w="5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15,727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47,337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48,081</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72,818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227,102</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194,412</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63,195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188,182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190,307</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47,875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58,585</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investment in unconsolidated affiliate</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(4,195)</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135,391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49,242</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86,149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81,124</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Sotera Health Company</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25,090</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86,149</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80,885</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29"/>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280,142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279,988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279,097</w:t>
            </w:r>
          </w:p>
        </w:tc>
      </w:tr>
      <w:tr>
        <w:trPr>
          <w:trHeight w:val="230"/>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280,172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280,093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2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157,723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464,977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421,647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103,811</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167,569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164,771</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690,229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227,374</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61,285</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67,895</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376,636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356,554</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58,585</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109,092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112,756</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0" w:type="dxa"/>
            <w:vAlign w:val="bottom"/>
          </w:tcPr>
          <w:p>
            <w:pPr>
              <w:spacing w:after="0"/>
              <w:rPr>
                <w:sz w:val="1"/>
                <w:szCs w:val="1"/>
                <w:color w:val="auto"/>
              </w:rPr>
            </w:pPr>
          </w:p>
        </w:tc>
      </w:tr>
      <w:tr>
        <w:trPr>
          <w:trHeight w:val="22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23"/>
                <w:szCs w:val="23"/>
                <w:color w:val="auto"/>
                <w:vertAlign w:val="superscript"/>
              </w:rPr>
              <w:t>(f)</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closure expenses</w:t>
            </w:r>
            <w:r>
              <w:rPr>
                <w:rFonts w:ascii="Times New Roman" w:cs="Times New Roman" w:eastAsia="Times New Roman" w:hAnsi="Times New Roman"/>
                <w:sz w:val="23"/>
                <w:szCs w:val="23"/>
                <w:color w:val="auto"/>
                <w:vertAlign w:val="superscript"/>
              </w:rPr>
              <w:t>(g)</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r>
              <w:rPr>
                <w:rFonts w:ascii="Times New Roman" w:cs="Times New Roman" w:eastAsia="Times New Roman" w:hAnsi="Times New Roman"/>
                <w:sz w:val="23"/>
                <w:szCs w:val="23"/>
                <w:color w:val="auto"/>
                <w:vertAlign w:val="superscript"/>
              </w:rPr>
              <w:t>(h)</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(i)</w:t>
            </w:r>
          </w:p>
        </w:tc>
        <w:tc>
          <w:tcPr>
            <w:tcW w:w="28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(j)</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50,238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(k)</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23"/>
                <w:szCs w:val="23"/>
                <w:color w:val="auto"/>
                <w:vertAlign w:val="superscript"/>
              </w:rPr>
              <w:t>(l)</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116,982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00" w:right="60" w:hanging="492"/>
        <w:spacing w:after="0" w:line="272" w:lineRule="auto"/>
        <w:tabs>
          <w:tab w:leader="none" w:pos="494"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three and nine months ended September 30, 2022 excludes $3.3 million of unrealized loss and $6.1 million of unrealized gain, respectively, on interest rate derivatives not designated as hedging instruments.</w:t>
      </w:r>
    </w:p>
    <w:p>
      <w:pPr>
        <w:ind w:left="480" w:hanging="472"/>
        <w:spacing w:after="0"/>
        <w:tabs>
          <w:tab w:leader="none" w:pos="4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depreciation of Co-60 held at gamma irradiation sites.</w:t>
      </w:r>
    </w:p>
    <w:p>
      <w:pPr>
        <w:spacing w:after="0" w:line="30"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share-based compensation expense.</w:t>
      </w:r>
    </w:p>
    <w:p>
      <w:pPr>
        <w:spacing w:after="0" w:line="30" w:lineRule="exact"/>
        <w:rPr>
          <w:rFonts w:ascii="Times New Roman" w:cs="Times New Roman" w:eastAsia="Times New Roman" w:hAnsi="Times New Roman"/>
          <w:sz w:val="15"/>
          <w:szCs w:val="15"/>
          <w:color w:val="auto"/>
        </w:rPr>
      </w:pPr>
    </w:p>
    <w:p>
      <w:pPr>
        <w:ind w:left="500" w:right="180" w:hanging="492"/>
        <w:spacing w:after="0" w:line="262" w:lineRule="auto"/>
        <w:tabs>
          <w:tab w:leader="none" w:pos="48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spacing w:after="0" w:line="1" w:lineRule="exact"/>
        <w:rPr>
          <w:rFonts w:ascii="Times New Roman" w:cs="Times New Roman" w:eastAsia="Times New Roman" w:hAnsi="Times New Roman"/>
          <w:sz w:val="15"/>
          <w:szCs w:val="15"/>
          <w:color w:val="auto"/>
        </w:rPr>
      </w:pPr>
    </w:p>
    <w:p>
      <w:pPr>
        <w:ind w:left="500" w:hanging="492"/>
        <w:spacing w:after="0" w:line="261" w:lineRule="auto"/>
        <w:tabs>
          <w:tab w:leader="none" w:pos="494"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spacing w:after="0" w:line="2" w:lineRule="exact"/>
        <w:rPr>
          <w:rFonts w:ascii="Times New Roman" w:cs="Times New Roman" w:eastAsia="Times New Roman" w:hAnsi="Times New Roman"/>
          <w:sz w:val="15"/>
          <w:szCs w:val="15"/>
          <w:color w:val="auto"/>
        </w:rPr>
      </w:pPr>
    </w:p>
    <w:p>
      <w:pPr>
        <w:ind w:left="500" w:right="340" w:hanging="492"/>
        <w:spacing w:after="0" w:line="265" w:lineRule="auto"/>
        <w:tabs>
          <w:tab w:leader="none" w:pos="491"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1" w:lineRule="exact"/>
        <w:rPr>
          <w:rFonts w:ascii="Times New Roman" w:cs="Times New Roman" w:eastAsia="Times New Roman" w:hAnsi="Times New Roman"/>
          <w:sz w:val="15"/>
          <w:szCs w:val="15"/>
          <w:color w:val="auto"/>
        </w:rPr>
      </w:pPr>
    </w:p>
    <w:p>
      <w:pPr>
        <w:ind w:left="500" w:right="460" w:hanging="492"/>
        <w:spacing w:after="0" w:line="269" w:lineRule="auto"/>
        <w:tabs>
          <w:tab w:leader="none" w:pos="48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decommissioning costs, professional fees, severance and other payroll costs, and other costs including ongoing lease and utility expenses associated with the closure of the Willowbrook, Illinois facility.</w:t>
      </w:r>
    </w:p>
    <w:p>
      <w:pPr>
        <w:ind w:left="480" w:hanging="472"/>
        <w:spacing w:after="0"/>
        <w:tabs>
          <w:tab w:leader="none" w:pos="4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impairment charge on our equity method investment in a joint venture.</w:t>
      </w:r>
    </w:p>
    <w:p>
      <w:pPr>
        <w:spacing w:after="0" w:line="20" w:lineRule="exact"/>
        <w:rPr>
          <w:rFonts w:ascii="Times New Roman" w:cs="Times New Roman" w:eastAsia="Times New Roman" w:hAnsi="Times New Roman"/>
          <w:sz w:val="15"/>
          <w:szCs w:val="15"/>
          <w:color w:val="auto"/>
        </w:rPr>
      </w:pPr>
    </w:p>
    <w:p>
      <w:pPr>
        <w:ind w:left="500" w:right="400" w:hanging="492"/>
        <w:spacing w:after="0" w:line="272" w:lineRule="auto"/>
        <w:tabs>
          <w:tab w:leader="none" w:pos="49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ind w:left="480" w:hanging="472"/>
        <w:spacing w:after="0"/>
        <w:tabs>
          <w:tab w:leader="none" w:pos="4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30" w:lineRule="exact"/>
        <w:rPr>
          <w:rFonts w:ascii="Times New Roman" w:cs="Times New Roman" w:eastAsia="Times New Roman" w:hAnsi="Times New Roman"/>
          <w:sz w:val="15"/>
          <w:szCs w:val="15"/>
          <w:color w:val="auto"/>
        </w:rPr>
      </w:pPr>
    </w:p>
    <w:p>
      <w:pPr>
        <w:ind w:left="500" w:right="40" w:hanging="492"/>
        <w:spacing w:after="0" w:line="262" w:lineRule="auto"/>
        <w:tabs>
          <w:tab w:leader="none" w:pos="48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non-recurring costs associated with the COVID-19 pandemic, including incremental costs to implement workplace health and safety measures.</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338"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164,961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111,613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107,007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76,566</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420,734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345,961</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704,406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650,797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503,755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598,844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1,092,469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1,120,320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62,074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2,810,632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2,789,502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6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140,031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161,161</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1,746,555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1,743,534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164,210</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151,720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134,501</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2,203,903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2,203,406</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606,729</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586,096</w:t>
            </w:r>
          </w:p>
        </w:tc>
        <w:tc>
          <w:tcPr>
            <w:tcW w:w="0" w:type="dxa"/>
            <w:vAlign w:val="bottom"/>
          </w:tcPr>
          <w:p>
            <w:pPr>
              <w:spacing w:after="0"/>
              <w:rPr>
                <w:sz w:val="1"/>
                <w:szCs w:val="1"/>
                <w:color w:val="auto"/>
              </w:rPr>
            </w:pPr>
          </w:p>
        </w:tc>
      </w:tr>
      <w:tr>
        <w:trPr>
          <w:trHeight w:val="28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2,810,632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2,789,502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0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369"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86,149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81,124</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140,675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152,710</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(50,789)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(18,640)</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215,194</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(60,898)</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mandatorily redeemable noncontrolling interest in Nelson Laboratories Fairfield</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BioScience Laboratories, LLC, net of cash acquired</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purchase of Regulatory Compliance Associates Inc.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noncontrolling interests in China subsidiaries</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 and prepayment premium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(115,504)</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including restricted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106,924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102,454</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164,961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114,919</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p>
      <w:pPr>
        <w:spacing w:after="0" w:line="27" w:lineRule="exact"/>
        <w:rPr>
          <w:sz w:val="20"/>
          <w:szCs w:val="20"/>
          <w:color w:val="auto"/>
        </w:rPr>
      </w:pPr>
    </w:p>
    <w:p>
      <w:pPr>
        <w:ind w:left="360" w:right="2160"/>
        <w:spacing w:after="0" w:line="323" w:lineRule="auto"/>
        <w:rPr>
          <w:sz w:val="20"/>
          <w:szCs w:val="20"/>
          <w:color w:val="auto"/>
        </w:rPr>
      </w:pPr>
      <w:r>
        <w:rPr>
          <w:rFonts w:ascii="Times New Roman" w:cs="Times New Roman" w:eastAsia="Times New Roman" w:hAnsi="Times New Roman"/>
          <w:sz w:val="17"/>
          <w:szCs w:val="17"/>
          <w:color w:val="auto"/>
        </w:rPr>
        <w:t>Cash paid during the period for income taxes, net of tax refunds received Purchases of property, plant and equipment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65,045</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53,726</w:t>
            </w:r>
          </w:p>
        </w:tc>
      </w:tr>
      <w:tr>
        <w:trPr>
          <w:trHeight w:val="230"/>
        </w:trPr>
        <w:tc>
          <w:tcPr>
            <w:tcW w:w="4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56,474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31,922</w:t>
            </w:r>
          </w:p>
        </w:tc>
      </w:tr>
      <w:tr>
        <w:trPr>
          <w:trHeight w:val="238"/>
        </w:trPr>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18,583</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14,527</w:t>
            </w:r>
          </w:p>
        </w:tc>
      </w:tr>
    </w:tbl>
    <w:p>
      <w:pPr>
        <w:spacing w:after="0" w:line="267" w:lineRule="exact"/>
        <w:rPr>
          <w:sz w:val="20"/>
          <w:szCs w:val="20"/>
          <w:color w:val="auto"/>
        </w:rPr>
      </w:pPr>
    </w:p>
    <w:p>
      <w:pPr>
        <w:sectPr>
          <w:pgSz w:w="11900" w:h="16838" w:orient="portrait"/>
          <w:cols w:equalWidth="0" w:num="2">
            <w:col w:w="7760" w:space="720"/>
            <w:col w:w="2760"/>
          </w:cols>
          <w:pgMar w:left="320" w:top="122" w:right="339" w:bottom="1440" w:gutter="0" w:footer="0" w:header="0"/>
          <w:type w:val="continuous"/>
        </w:sectPr>
      </w:pP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22" w:right="339" w:bottom="1440" w:gutter="0" w:footer="0" w:header="0"/>
          <w:type w:val="continuous"/>
        </w:sectPr>
      </w:pPr>
    </w:p>
    <w:bookmarkStart w:id="12" w:name="page13"/>
    <w:bookmarkEnd w:id="12"/>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9" w:lineRule="exact"/>
        <w:rPr>
          <w:sz w:val="20"/>
          <w:szCs w:val="20"/>
          <w:color w:val="auto"/>
        </w:rPr>
      </w:pPr>
    </w:p>
    <w:tbl>
      <w:tblPr>
        <w:tblLayout w:type="fixed"/>
        <w:tblInd w:w="12"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00" w:type="dxa"/>
            <w:vAlign w:val="bottom"/>
          </w:tcPr>
          <w:p>
            <w:pPr>
              <w:spacing w:after="0"/>
              <w:rPr>
                <w:sz w:val="17"/>
                <w:szCs w:val="17"/>
                <w:color w:val="auto"/>
              </w:rPr>
            </w:pPr>
          </w:p>
        </w:tc>
        <w:tc>
          <w:tcPr>
            <w:tcW w:w="2680" w:type="dxa"/>
            <w:vAlign w:val="bottom"/>
            <w:gridSpan w:val="4"/>
          </w:tcPr>
          <w:p>
            <w:pPr>
              <w:jc w:val="right"/>
              <w:ind w:right="219"/>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5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25,090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27,444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86,149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81,124</w:t>
            </w: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61,596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65,299</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14,955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10,489</w:t>
            </w:r>
          </w:p>
        </w:tc>
        <w:tc>
          <w:tcPr>
            <w:tcW w:w="0" w:type="dxa"/>
            <w:vAlign w:val="bottom"/>
          </w:tcPr>
          <w:p>
            <w:pPr>
              <w:spacing w:after="0"/>
              <w:rPr>
                <w:sz w:val="1"/>
                <w:szCs w:val="1"/>
                <w:color w:val="auto"/>
              </w:rPr>
            </w:pPr>
          </w:p>
        </w:tc>
      </w:tr>
      <w:tr>
        <w:trPr>
          <w:trHeight w:val="162"/>
        </w:trPr>
        <w:tc>
          <w:tcPr>
            <w:tcW w:w="52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Gain (loss) on foreign currency and derivatives not designated as hedging</w:t>
            </w:r>
          </w:p>
        </w:tc>
        <w:tc>
          <w:tcPr>
            <w:tcW w:w="18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3,194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1,881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(4,788)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(b)</w:t>
            </w: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(2,003)</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Impairment of investment in unconsolidated affiliate</w:t>
            </w:r>
            <w:r>
              <w:rPr>
                <w:rFonts w:ascii="Times New Roman" w:cs="Times New Roman" w:eastAsia="Times New Roman" w:hAnsi="Times New Roman"/>
                <w:sz w:val="21"/>
                <w:szCs w:val="21"/>
                <w:color w:val="auto"/>
                <w:vertAlign w:val="superscript"/>
              </w:rPr>
              <w:t>(f)</w:t>
            </w:r>
          </w:p>
        </w:tc>
        <w:tc>
          <w:tcPr>
            <w:tcW w:w="1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(g)</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20,677</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(h)</w:t>
            </w:r>
          </w:p>
        </w:tc>
        <w:tc>
          <w:tcPr>
            <w:tcW w:w="1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14,501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50,238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33,492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(i)</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1,644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1,751</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(j)</w:t>
            </w:r>
          </w:p>
        </w:tc>
        <w:tc>
          <w:tcPr>
            <w:tcW w:w="1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(k)</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(7,753)</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(9,776)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(25,337)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(32,772)</w:t>
            </w:r>
          </w:p>
        </w:tc>
        <w:tc>
          <w:tcPr>
            <w:tcW w:w="0" w:type="dxa"/>
            <w:vAlign w:val="bottom"/>
          </w:tcPr>
          <w:p>
            <w:pPr>
              <w:spacing w:after="0"/>
              <w:rPr>
                <w:sz w:val="1"/>
                <w:szCs w:val="1"/>
                <w:color w:val="auto"/>
              </w:rPr>
            </w:pPr>
          </w:p>
        </w:tc>
      </w:tr>
      <w:tr>
        <w:trPr>
          <w:trHeight w:val="20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64,508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58,704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200,587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181,882</w:t>
            </w:r>
          </w:p>
        </w:tc>
        <w:tc>
          <w:tcPr>
            <w:tcW w:w="0" w:type="dxa"/>
            <w:vAlign w:val="bottom"/>
          </w:tcPr>
          <w:p>
            <w:pPr>
              <w:spacing w:after="0"/>
              <w:rPr>
                <w:sz w:val="1"/>
                <w:szCs w:val="1"/>
                <w:color w:val="auto"/>
              </w:rPr>
            </w:pPr>
          </w:p>
        </w:tc>
      </w:tr>
      <w:tr>
        <w:trPr>
          <w:trHeight w:val="211"/>
        </w:trPr>
        <w:tc>
          <w:tcPr>
            <w:tcW w:w="526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(l)</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20,080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18,140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53,974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58,585</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(m)</w:t>
            </w:r>
          </w:p>
        </w:tc>
        <w:tc>
          <w:tcPr>
            <w:tcW w:w="1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15,885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16,395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47,496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47,457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(n)</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24,679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23,435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74,579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68,630</w:t>
            </w:r>
          </w:p>
        </w:tc>
        <w:tc>
          <w:tcPr>
            <w:tcW w:w="0" w:type="dxa"/>
            <w:vAlign w:val="bottom"/>
          </w:tcPr>
          <w:p>
            <w:pPr>
              <w:spacing w:after="0"/>
              <w:rPr>
                <w:sz w:val="1"/>
                <w:szCs w:val="1"/>
                <w:color w:val="auto"/>
              </w:rPr>
            </w:pPr>
          </w:p>
        </w:tc>
      </w:tr>
      <w:tr>
        <w:trPr>
          <w:trHeight w:val="210"/>
        </w:trPr>
        <w:tc>
          <w:tcPr>
            <w:tcW w:w="52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(o)</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125,152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116,674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376,636</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356,554</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248,704</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226,164</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752,097</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690,229</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50.3 %</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50.1 %</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51.7 %</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280,142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279,381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279,988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279,097</w:t>
            </w: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280,172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279,560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280,093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279,253</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0.09</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0.10</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0.31</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0.31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12"/>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32" w:hanging="332"/>
        <w:spacing w:after="0"/>
        <w:tabs>
          <w:tab w:leader="none" w:pos="33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share-based compensation expense.</w:t>
      </w:r>
    </w:p>
    <w:p>
      <w:pPr>
        <w:spacing w:after="0" w:line="43" w:lineRule="exact"/>
        <w:rPr>
          <w:rFonts w:ascii="Times New Roman" w:cs="Times New Roman" w:eastAsia="Times New Roman" w:hAnsi="Times New Roman"/>
          <w:sz w:val="15"/>
          <w:szCs w:val="15"/>
          <w:color w:val="auto"/>
        </w:rPr>
      </w:pPr>
    </w:p>
    <w:p>
      <w:pPr>
        <w:ind w:left="652" w:right="300" w:hanging="652"/>
        <w:spacing w:after="0" w:line="281" w:lineRule="auto"/>
        <w:tabs>
          <w:tab w:leader="none" w:pos="335"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spacing w:after="0" w:line="1" w:lineRule="exact"/>
        <w:rPr>
          <w:rFonts w:ascii="Times New Roman" w:cs="Times New Roman" w:eastAsia="Times New Roman" w:hAnsi="Times New Roman"/>
          <w:sz w:val="15"/>
          <w:szCs w:val="15"/>
          <w:color w:val="auto"/>
        </w:rPr>
      </w:pPr>
    </w:p>
    <w:p>
      <w:pPr>
        <w:ind w:left="652" w:right="40" w:hanging="652"/>
        <w:spacing w:after="0" w:line="262" w:lineRule="auto"/>
        <w:tabs>
          <w:tab w:leader="none" w:pos="32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spacing w:after="0" w:line="3" w:lineRule="exact"/>
        <w:rPr>
          <w:rFonts w:ascii="Times New Roman" w:cs="Times New Roman" w:eastAsia="Times New Roman" w:hAnsi="Times New Roman"/>
          <w:sz w:val="15"/>
          <w:szCs w:val="15"/>
          <w:color w:val="auto"/>
        </w:rPr>
      </w:pPr>
    </w:p>
    <w:p>
      <w:pPr>
        <w:ind w:left="652" w:right="480" w:hanging="652"/>
        <w:spacing w:after="0" w:line="281" w:lineRule="auto"/>
        <w:tabs>
          <w:tab w:leader="none" w:pos="335"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1" w:lineRule="exact"/>
        <w:rPr>
          <w:rFonts w:ascii="Times New Roman" w:cs="Times New Roman" w:eastAsia="Times New Roman" w:hAnsi="Times New Roman"/>
          <w:sz w:val="15"/>
          <w:szCs w:val="15"/>
          <w:color w:val="auto"/>
        </w:rPr>
      </w:pPr>
    </w:p>
    <w:p>
      <w:pPr>
        <w:ind w:left="652" w:right="120" w:hanging="652"/>
        <w:spacing w:after="0" w:line="281" w:lineRule="auto"/>
        <w:tabs>
          <w:tab w:leader="none" w:pos="32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decommissioning costs, professional fees, severance and other payroll costs, and other costs including ongoing lease and utility expenses associated with the closure of the Willowbrook, Illinois facility.</w:t>
      </w:r>
    </w:p>
    <w:p>
      <w:pPr>
        <w:spacing w:after="0" w:line="1" w:lineRule="exact"/>
        <w:rPr>
          <w:rFonts w:ascii="Times New Roman" w:cs="Times New Roman" w:eastAsia="Times New Roman" w:hAnsi="Times New Roman"/>
          <w:sz w:val="15"/>
          <w:szCs w:val="15"/>
          <w:color w:val="auto"/>
        </w:rPr>
      </w:pPr>
    </w:p>
    <w:p>
      <w:pPr>
        <w:ind w:left="312" w:hanging="312"/>
        <w:spacing w:after="0"/>
        <w:tabs>
          <w:tab w:leader="none" w:pos="31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impairment charge on our equity method investment in a joint venture.</w:t>
      </w:r>
    </w:p>
    <w:p>
      <w:pPr>
        <w:spacing w:after="0" w:line="43" w:lineRule="exact"/>
        <w:rPr>
          <w:rFonts w:ascii="Times New Roman" w:cs="Times New Roman" w:eastAsia="Times New Roman" w:hAnsi="Times New Roman"/>
          <w:sz w:val="15"/>
          <w:szCs w:val="15"/>
          <w:color w:val="auto"/>
        </w:rPr>
      </w:pPr>
    </w:p>
    <w:p>
      <w:pPr>
        <w:ind w:left="652" w:right="540" w:hanging="652"/>
        <w:spacing w:after="0" w:line="281" w:lineRule="auto"/>
        <w:tabs>
          <w:tab w:leader="none" w:pos="335"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spacing w:after="0" w:line="1"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43" w:lineRule="exact"/>
        <w:rPr>
          <w:rFonts w:ascii="Times New Roman" w:cs="Times New Roman" w:eastAsia="Times New Roman" w:hAnsi="Times New Roman"/>
          <w:sz w:val="15"/>
          <w:szCs w:val="15"/>
          <w:color w:val="auto"/>
        </w:rPr>
      </w:pPr>
    </w:p>
    <w:p>
      <w:pPr>
        <w:ind w:left="652" w:right="200" w:hanging="652"/>
        <w:spacing w:after="0" w:line="280" w:lineRule="auto"/>
        <w:tabs>
          <w:tab w:leader="none" w:pos="301"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372"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12"/>
          </w:cols>
          <w:pgMar w:left="328" w:top="122" w:right="359" w:bottom="1440" w:gutter="0" w:footer="0" w:header="0"/>
        </w:sectPr>
      </w:pPr>
    </w:p>
    <w:bookmarkStart w:id="13" w:name="page14"/>
    <w:bookmarkEnd w:id="13"/>
    <w:p>
      <w:pPr>
        <w:spacing w:after="0" w:line="19" w:lineRule="exact"/>
        <w:rPr>
          <w:sz w:val="20"/>
          <w:szCs w:val="20"/>
          <w:color w:val="auto"/>
        </w:rPr>
      </w:pPr>
    </w:p>
    <w:p>
      <w:pPr>
        <w:ind w:left="292" w:hanging="292"/>
        <w:spacing w:after="0"/>
        <w:tabs>
          <w:tab w:leader="none" w:pos="292" w:val="left"/>
        </w:tabs>
        <w:numPr>
          <w:ilvl w:val="0"/>
          <w:numId w:val="6"/>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non-recurring costs associated with the COVID-19 pandemic, including incremental costs to implement workplace health and safety measures.</w:t>
      </w:r>
    </w:p>
    <w:p>
      <w:pPr>
        <w:spacing w:after="0" w:line="19" w:lineRule="exact"/>
        <w:rPr>
          <w:rFonts w:ascii="Times New Roman" w:cs="Times New Roman" w:eastAsia="Times New Roman" w:hAnsi="Times New Roman"/>
          <w:sz w:val="15"/>
          <w:szCs w:val="15"/>
          <w:color w:val="231F20"/>
        </w:rPr>
      </w:pPr>
    </w:p>
    <w:p>
      <w:pPr>
        <w:ind w:left="332" w:hanging="332"/>
        <w:spacing w:after="0"/>
        <w:tabs>
          <w:tab w:leader="none" w:pos="332" w:val="left"/>
        </w:tabs>
        <w:numPr>
          <w:ilvl w:val="0"/>
          <w:numId w:val="6"/>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w:t>
      </w:r>
    </w:p>
    <w:p>
      <w:pPr>
        <w:spacing w:after="0" w:line="1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5"/>
          <w:szCs w:val="15"/>
          <w:color w:val="auto"/>
        </w:rPr>
        <w:t>liabilities and unusual items from our presentation of adjusted net income.</w:t>
      </w:r>
    </w:p>
    <w:p>
      <w:pPr>
        <w:spacing w:after="0" w:line="34" w:lineRule="exact"/>
        <w:rPr>
          <w:sz w:val="20"/>
          <w:szCs w:val="20"/>
          <w:color w:val="auto"/>
        </w:rPr>
      </w:pPr>
    </w:p>
    <w:p>
      <w:pPr>
        <w:ind w:left="652" w:right="240" w:hanging="652"/>
        <w:spacing w:after="0" w:line="281" w:lineRule="auto"/>
        <w:tabs>
          <w:tab w:leader="none" w:pos="29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three and nine months ended September 30, 2022 excludes $3.3 million of unrealized loss and $6.1 million of unrealized gain, respectively, on interest rate derivatives not designated as hedging instruments.</w:t>
      </w:r>
    </w:p>
    <w:p>
      <w:pPr>
        <w:spacing w:after="0" w:line="1" w:lineRule="exact"/>
        <w:rPr>
          <w:rFonts w:ascii="Times New Roman" w:cs="Times New Roman" w:eastAsia="Times New Roman" w:hAnsi="Times New Roman"/>
          <w:sz w:val="15"/>
          <w:szCs w:val="15"/>
          <w:color w:val="auto"/>
        </w:rPr>
      </w:pPr>
    </w:p>
    <w:p>
      <w:pPr>
        <w:ind w:left="372" w:hanging="372"/>
        <w:spacing w:after="0"/>
        <w:tabs>
          <w:tab w:leader="none" w:pos="372"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depreciation of Co-60 held at gamma irradiation sites.</w:t>
      </w:r>
    </w:p>
    <w:p>
      <w:pPr>
        <w:spacing w:after="0" w:line="71" w:lineRule="exact"/>
        <w:rPr>
          <w:sz w:val="20"/>
          <w:szCs w:val="20"/>
          <w:color w:val="auto"/>
        </w:rPr>
      </w:pPr>
    </w:p>
    <w:p>
      <w:pPr>
        <w:ind w:left="332" w:right="540" w:hanging="647"/>
        <w:spacing w:after="0" w:line="272" w:lineRule="auto"/>
        <w:tabs>
          <w:tab w:leader="none" w:pos="312" w:val="left"/>
        </w:tabs>
        <w:rPr>
          <w:sz w:val="20"/>
          <w:szCs w:val="20"/>
          <w:color w:val="auto"/>
        </w:rPr>
      </w:pPr>
      <w:r>
        <w:rPr>
          <w:rFonts w:ascii="Times New Roman" w:cs="Times New Roman" w:eastAsia="Times New Roman" w:hAnsi="Times New Roman"/>
          <w:sz w:val="15"/>
          <w:szCs w:val="15"/>
          <w:color w:val="231F20"/>
        </w:rPr>
        <w:t>(</w:t>
      </w:r>
      <w:r>
        <w:rPr>
          <w:rFonts w:ascii="Times New Roman" w:cs="Times New Roman" w:eastAsia="Times New Roman" w:hAnsi="Times New Roman"/>
          <w:sz w:val="15"/>
          <w:szCs w:val="15"/>
          <w:color w:val="000000"/>
        </w:rPr>
        <w:t>n)</w:t>
      </w:r>
      <w:r>
        <w:rPr>
          <w:rFonts w:ascii="Times New Roman" w:cs="Times New Roman" w:eastAsia="Times New Roman" w:hAnsi="Times New Roman"/>
          <w:sz w:val="15"/>
          <w:szCs w:val="15"/>
          <w:color w:val="auto"/>
        </w:rPr>
        <w:tab/>
        <w:t>Represents the difference between the income tax provision as determined under U.S. GAAP and the income tax benefit associated with pre-tax adjustments described in footnote (k).</w:t>
      </w:r>
    </w:p>
    <w:p>
      <w:pPr>
        <w:spacing w:after="0" w:line="1" w:lineRule="exact"/>
        <w:rPr>
          <w:sz w:val="20"/>
          <w:szCs w:val="20"/>
          <w:color w:val="auto"/>
        </w:rPr>
      </w:pPr>
    </w:p>
    <w:p>
      <w:pPr>
        <w:ind w:left="652" w:hanging="652"/>
        <w:spacing w:after="0" w:line="280" w:lineRule="auto"/>
        <w:tabs>
          <w:tab w:leader="none" w:pos="335"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$22.1 million and $20.8 million of the adjustments for the three months ended September 30, 2022 and 2021, respectively, and $62.8 million and $63.3 million of the adjustments for the nine months ended September 30, 2022 and 2021, respectively, are included in cost of revenues, primarily consisting of amortization of intangible assets, depreciation, and accretion of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32"/>
          </w:cols>
          <w:pgMar w:left="328" w:top="144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484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1,743,534</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40,877</w:t>
            </w:r>
          </w:p>
        </w:tc>
      </w:tr>
      <w:tr>
        <w:trPr>
          <w:trHeight w:val="22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1,803,081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1,785,571</w:t>
            </w:r>
          </w:p>
        </w:tc>
      </w:tr>
      <w:tr>
        <w:trPr>
          <w:trHeight w:val="196"/>
        </w:trPr>
        <w:tc>
          <w:tcPr>
            <w:tcW w:w="48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unamortized debt issuance costs and debt discounts</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including restricted cash</w:t>
            </w:r>
          </w:p>
        </w:tc>
        <w:tc>
          <w:tcPr>
            <w:tcW w:w="2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Debt</w:t>
            </w:r>
          </w:p>
        </w:tc>
        <w:tc>
          <w:tcPr>
            <w:tcW w:w="2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1,655,115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1,698,663</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48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501,311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481,229</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3.3x</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3.5x</w:t>
            </w:r>
          </w:p>
        </w:tc>
      </w:tr>
      <w:tr>
        <w:trPr>
          <w:trHeight w:val="705"/>
        </w:trPr>
        <w:tc>
          <w:tcPr>
            <w:tcW w:w="4840" w:type="dxa"/>
            <w:vAlign w:val="bottom"/>
          </w:tcPr>
          <w:p>
            <w:pPr>
              <w:spacing w:after="0"/>
              <w:rPr>
                <w:sz w:val="24"/>
                <w:szCs w:val="24"/>
                <w:color w:val="auto"/>
              </w:rPr>
            </w:pPr>
          </w:p>
        </w:tc>
        <w:tc>
          <w:tcPr>
            <w:tcW w:w="2160" w:type="dxa"/>
            <w:vAlign w:val="bottom"/>
          </w:tcPr>
          <w:p>
            <w:pPr>
              <w:jc w:val="right"/>
              <w:ind w:right="1210"/>
              <w:spacing w:after="0"/>
              <w:rPr>
                <w:sz w:val="20"/>
                <w:szCs w:val="20"/>
                <w:color w:val="auto"/>
              </w:rPr>
            </w:pPr>
            <w:r>
              <w:rPr>
                <w:rFonts w:ascii="Calibri" w:cs="Calibri" w:eastAsia="Calibri" w:hAnsi="Calibri"/>
                <w:sz w:val="18"/>
                <w:szCs w:val="18"/>
                <w:color w:val="auto"/>
              </w:rPr>
              <w:t>12</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00"/>
          </w:cols>
          <w:pgMar w:left="340" w:top="122" w:right="359" w:bottom="1440" w:gutter="0" w:footer="0" w:header="0"/>
        </w:sectPr>
      </w:pPr>
    </w:p>
    <w:bookmarkStart w:id="15" w:name="page16"/>
    <w:bookmarkEnd w:id="15"/>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Twelve Months Ended</w:t>
            </w:r>
          </w:p>
        </w:tc>
        <w:tc>
          <w:tcPr>
            <w:tcW w:w="120" w:type="dxa"/>
            <w:vAlign w:val="bottom"/>
          </w:tcPr>
          <w:p>
            <w:pPr>
              <w:spacing w:after="0"/>
              <w:rPr>
                <w:sz w:val="15"/>
                <w:szCs w:val="15"/>
                <w:color w:val="auto"/>
              </w:rPr>
            </w:pP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14"/>
        </w:trPr>
        <w:tc>
          <w:tcPr>
            <w:tcW w:w="7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117,121</w:t>
            </w:r>
          </w:p>
        </w:tc>
      </w:tr>
      <w:tr>
        <w:trPr>
          <w:trHeight w:val="214"/>
        </w:trPr>
        <w:tc>
          <w:tcPr>
            <w:tcW w:w="7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83,039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86,742</w:t>
            </w:r>
          </w:p>
        </w:tc>
      </w:tr>
      <w:tr>
        <w:trPr>
          <w:trHeight w:val="231"/>
        </w:trPr>
        <w:tc>
          <w:tcPr>
            <w:tcW w:w="7440" w:type="dxa"/>
            <w:vAlign w:val="bottom"/>
            <w:shd w:val="clear" w:color="auto" w:fill="CCEEFF"/>
          </w:tcPr>
          <w:p>
            <w:pPr>
              <w:ind w:left="240"/>
              <w:spacing w:after="0" w:line="231"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13,870</w:t>
            </w:r>
          </w:p>
        </w:tc>
      </w:tr>
      <w:tr>
        <w:trPr>
          <w:trHeight w:val="216"/>
        </w:trPr>
        <w:tc>
          <w:tcPr>
            <w:tcW w:w="74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r>
      <w:tr>
        <w:trPr>
          <w:trHeight w:val="216"/>
        </w:trPr>
        <w:tc>
          <w:tcPr>
            <w:tcW w:w="74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r>
      <w:tr>
        <w:trPr>
          <w:trHeight w:val="216"/>
        </w:trPr>
        <w:tc>
          <w:tcPr>
            <w:tcW w:w="74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Impairment of investment in unconsolidated affiliate</w:t>
            </w:r>
            <w:r>
              <w:rPr>
                <w:rFonts w:ascii="Times New Roman" w:cs="Times New Roman" w:eastAsia="Times New Roman" w:hAnsi="Times New Roman"/>
                <w:sz w:val="21"/>
                <w:szCs w:val="21"/>
                <w:color w:val="auto"/>
                <w:vertAlign w:val="superscript"/>
              </w:rPr>
              <w:t>(f)</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20,681</w:t>
            </w:r>
          </w:p>
        </w:tc>
      </w:tr>
      <w:tr>
        <w:trPr>
          <w:trHeight w:val="216"/>
        </w:trPr>
        <w:tc>
          <w:tcPr>
            <w:tcW w:w="74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(h)</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45,656</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16"/>
        </w:trPr>
        <w:tc>
          <w:tcPr>
            <w:tcW w:w="74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(j)</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(k)</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(38,500)</w:t>
            </w:r>
          </w:p>
        </w:tc>
      </w:tr>
      <w:tr>
        <w:trPr>
          <w:trHeight w:val="208"/>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264,487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245,782</w:t>
            </w:r>
          </w:p>
        </w:tc>
      </w:tr>
      <w:tr>
        <w:trPr>
          <w:trHeight w:val="211"/>
        </w:trPr>
        <w:tc>
          <w:tcPr>
            <w:tcW w:w="744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(l)</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69,581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74,192</w:t>
            </w:r>
          </w:p>
        </w:tc>
      </w:tr>
      <w:tr>
        <w:trPr>
          <w:trHeight w:val="216"/>
        </w:trPr>
        <w:tc>
          <w:tcPr>
            <w:tcW w:w="74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(m)</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64,160</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(n)</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103,044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97,095</w:t>
            </w:r>
          </w:p>
        </w:tc>
      </w:tr>
      <w:tr>
        <w:trPr>
          <w:trHeight w:val="209"/>
        </w:trPr>
        <w:tc>
          <w:tcPr>
            <w:tcW w:w="74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(o)</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501,311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481,229</w:t>
            </w:r>
          </w:p>
        </w:tc>
      </w:tr>
      <w:tr>
        <w:trPr>
          <w:trHeight w:val="21"/>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32" w:hanging="332"/>
        <w:spacing w:after="0"/>
        <w:tabs>
          <w:tab w:leader="none" w:pos="33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share-based compensation expense.</w:t>
      </w:r>
    </w:p>
    <w:p>
      <w:pPr>
        <w:spacing w:after="0" w:line="30" w:lineRule="exact"/>
        <w:rPr>
          <w:rFonts w:ascii="Times New Roman" w:cs="Times New Roman" w:eastAsia="Times New Roman" w:hAnsi="Times New Roman"/>
          <w:sz w:val="15"/>
          <w:szCs w:val="15"/>
          <w:color w:val="auto"/>
        </w:rPr>
      </w:pPr>
    </w:p>
    <w:p>
      <w:pPr>
        <w:ind w:left="652" w:right="300" w:hanging="652"/>
        <w:spacing w:after="0" w:line="262" w:lineRule="auto"/>
        <w:tabs>
          <w:tab w:leader="none" w:pos="33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spacing w:after="0" w:line="1" w:lineRule="exact"/>
        <w:rPr>
          <w:rFonts w:ascii="Times New Roman" w:cs="Times New Roman" w:eastAsia="Times New Roman" w:hAnsi="Times New Roman"/>
          <w:sz w:val="15"/>
          <w:szCs w:val="15"/>
          <w:color w:val="auto"/>
        </w:rPr>
      </w:pPr>
    </w:p>
    <w:p>
      <w:pPr>
        <w:ind w:left="652" w:right="40" w:hanging="652"/>
        <w:spacing w:after="0" w:line="259" w:lineRule="auto"/>
        <w:tabs>
          <w:tab w:leader="none" w:pos="32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(iv) a $3.4 million gain recognized in the third quarter of 2021 related to the settlement of an insurance claim for Nordion, and (v) a $5.1 million non-cash gain in the fourth quarter of 2021 arising from the derecognition of an ARO liability no longer attributable to Nordion pursuant to the terms of the sale of the Medical Isotopes business in 2018.</w:t>
      </w:r>
    </w:p>
    <w:p>
      <w:pPr>
        <w:spacing w:after="0" w:line="3" w:lineRule="exact"/>
        <w:rPr>
          <w:rFonts w:ascii="Times New Roman" w:cs="Times New Roman" w:eastAsia="Times New Roman" w:hAnsi="Times New Roman"/>
          <w:sz w:val="15"/>
          <w:szCs w:val="15"/>
          <w:color w:val="auto"/>
        </w:rPr>
      </w:pPr>
    </w:p>
    <w:p>
      <w:pPr>
        <w:ind w:left="652" w:right="480" w:hanging="652"/>
        <w:spacing w:after="0" w:line="269" w:lineRule="auto"/>
        <w:tabs>
          <w:tab w:leader="none" w:pos="33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ind w:left="652" w:right="120" w:hanging="652"/>
        <w:spacing w:after="0" w:line="265" w:lineRule="auto"/>
        <w:tabs>
          <w:tab w:leader="none" w:pos="32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decommissioning costs, professional fees, severance and other payroll costs, and other costs including ongoing lease and utility expenses associated with the closure of the Willowbrook, Illinois facility.</w:t>
      </w:r>
    </w:p>
    <w:p>
      <w:pPr>
        <w:spacing w:after="0" w:line="1" w:lineRule="exact"/>
        <w:rPr>
          <w:rFonts w:ascii="Times New Roman" w:cs="Times New Roman" w:eastAsia="Times New Roman" w:hAnsi="Times New Roman"/>
          <w:sz w:val="15"/>
          <w:szCs w:val="15"/>
          <w:color w:val="auto"/>
        </w:rPr>
      </w:pPr>
    </w:p>
    <w:p>
      <w:pPr>
        <w:ind w:left="312" w:hanging="312"/>
        <w:spacing w:after="0"/>
        <w:tabs>
          <w:tab w:leader="none" w:pos="31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impairment charge on our equity method investment in a joint venture.</w:t>
      </w:r>
    </w:p>
    <w:p>
      <w:pPr>
        <w:spacing w:after="0" w:line="30" w:lineRule="exact"/>
        <w:rPr>
          <w:rFonts w:ascii="Times New Roman" w:cs="Times New Roman" w:eastAsia="Times New Roman" w:hAnsi="Times New Roman"/>
          <w:sz w:val="15"/>
          <w:szCs w:val="15"/>
          <w:color w:val="auto"/>
        </w:rPr>
      </w:pPr>
    </w:p>
    <w:p>
      <w:pPr>
        <w:ind w:left="652" w:right="540" w:hanging="652"/>
        <w:spacing w:after="0" w:line="262" w:lineRule="auto"/>
        <w:tabs>
          <w:tab w:leader="none" w:pos="33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spacing w:after="0" w:line="1"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30" w:lineRule="exact"/>
        <w:rPr>
          <w:rFonts w:ascii="Times New Roman" w:cs="Times New Roman" w:eastAsia="Times New Roman" w:hAnsi="Times New Roman"/>
          <w:sz w:val="15"/>
          <w:szCs w:val="15"/>
          <w:color w:val="auto"/>
        </w:rPr>
      </w:pPr>
    </w:p>
    <w:p>
      <w:pPr>
        <w:ind w:left="652" w:right="200" w:hanging="652"/>
        <w:spacing w:after="0" w:line="262" w:lineRule="auto"/>
        <w:tabs>
          <w:tab w:leader="none" w:pos="30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 w:lineRule="exact"/>
        <w:rPr>
          <w:rFonts w:ascii="Times New Roman" w:cs="Times New Roman" w:eastAsia="Times New Roman" w:hAnsi="Times New Roman"/>
          <w:sz w:val="15"/>
          <w:szCs w:val="15"/>
          <w:color w:val="auto"/>
        </w:rPr>
      </w:pPr>
    </w:p>
    <w:p>
      <w:pPr>
        <w:ind w:left="292" w:hanging="292"/>
        <w:spacing w:after="0"/>
        <w:tabs>
          <w:tab w:leader="none" w:pos="292"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non-recurring costs associated with the COVID-19 pandemic, including incremental costs to implement workplace health and safety measures.</w:t>
      </w:r>
    </w:p>
    <w:p>
      <w:pPr>
        <w:spacing w:after="0" w:line="30" w:lineRule="exact"/>
        <w:rPr>
          <w:rFonts w:ascii="Times New Roman" w:cs="Times New Roman" w:eastAsia="Times New Roman" w:hAnsi="Times New Roman"/>
          <w:sz w:val="15"/>
          <w:szCs w:val="15"/>
          <w:color w:val="231F20"/>
        </w:rPr>
      </w:pPr>
    </w:p>
    <w:p>
      <w:pPr>
        <w:ind w:left="652" w:right="100" w:hanging="652"/>
        <w:spacing w:after="0" w:line="272" w:lineRule="auto"/>
        <w:tabs>
          <w:tab w:leader="none" w:pos="335"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292" w:hanging="292"/>
        <w:spacing w:after="0"/>
        <w:tabs>
          <w:tab w:leader="none" w:pos="29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twelve months ended September 30, 2022 excludes $6.1 million of unrealized gains on interest rate derivatives not designated as hedging instruments.</w:t>
      </w:r>
    </w:p>
    <w:p>
      <w:pPr>
        <w:spacing w:after="0" w:line="30" w:lineRule="exact"/>
        <w:rPr>
          <w:rFonts w:ascii="Times New Roman" w:cs="Times New Roman" w:eastAsia="Times New Roman" w:hAnsi="Times New Roman"/>
          <w:sz w:val="15"/>
          <w:szCs w:val="15"/>
          <w:color w:val="auto"/>
        </w:rPr>
      </w:pPr>
    </w:p>
    <w:p>
      <w:pPr>
        <w:ind w:left="372" w:hanging="372"/>
        <w:spacing w:after="0"/>
        <w:tabs>
          <w:tab w:leader="none" w:pos="37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depreciation of Co-60 held at gamma irradiation sites.</w:t>
      </w:r>
    </w:p>
    <w:p>
      <w:pPr>
        <w:spacing w:after="0" w:line="30" w:lineRule="exact"/>
        <w:rPr>
          <w:sz w:val="20"/>
          <w:szCs w:val="20"/>
          <w:color w:val="auto"/>
        </w:rPr>
      </w:pPr>
    </w:p>
    <w:p>
      <w:pPr>
        <w:ind w:left="332" w:right="520" w:hanging="647"/>
        <w:spacing w:after="0" w:line="262" w:lineRule="auto"/>
        <w:tabs>
          <w:tab w:leader="none" w:pos="312" w:val="left"/>
        </w:tabs>
        <w:rPr>
          <w:sz w:val="20"/>
          <w:szCs w:val="20"/>
          <w:color w:val="auto"/>
        </w:rPr>
      </w:pPr>
      <w:r>
        <w:rPr>
          <w:rFonts w:ascii="Times New Roman" w:cs="Times New Roman" w:eastAsia="Times New Roman" w:hAnsi="Times New Roman"/>
          <w:sz w:val="15"/>
          <w:szCs w:val="15"/>
          <w:color w:val="231F20"/>
        </w:rPr>
        <w:t>(</w:t>
      </w:r>
      <w:r>
        <w:rPr>
          <w:rFonts w:ascii="Times New Roman" w:cs="Times New Roman" w:eastAsia="Times New Roman" w:hAnsi="Times New Roman"/>
          <w:sz w:val="15"/>
          <w:szCs w:val="15"/>
          <w:color w:val="000000"/>
        </w:rPr>
        <w:t>n)</w:t>
      </w:r>
      <w:r>
        <w:rPr>
          <w:rFonts w:ascii="Times New Roman" w:cs="Times New Roman" w:eastAsia="Times New Roman" w:hAnsi="Times New Roman"/>
          <w:sz w:val="15"/>
          <w:szCs w:val="15"/>
          <w:color w:val="auto"/>
        </w:rPr>
        <w:tab/>
        <w:t>Represents the difference between the income tax provision as determined under U.S. GAAP and the income tax benefit associated with pre-tax adjustments described in footnote (k).</w:t>
      </w:r>
    </w:p>
    <w:p>
      <w:pPr>
        <w:spacing w:after="0" w:line="1" w:lineRule="exact"/>
        <w:rPr>
          <w:sz w:val="20"/>
          <w:szCs w:val="20"/>
          <w:color w:val="auto"/>
        </w:rPr>
      </w:pPr>
    </w:p>
    <w:p>
      <w:pPr>
        <w:ind w:left="652" w:right="380" w:hanging="652"/>
        <w:spacing w:after="0" w:line="298" w:lineRule="auto"/>
        <w:tabs>
          <w:tab w:leader="none" w:pos="33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$84.7 million </w:t>
      </w:r>
      <w:r>
        <w:rPr>
          <w:rFonts w:ascii="Times New Roman" w:cs="Times New Roman" w:eastAsia="Times New Roman" w:hAnsi="Times New Roman"/>
          <w:sz w:val="15"/>
          <w:szCs w:val="15"/>
          <w:color w:val="231F20"/>
        </w:rPr>
        <w:t>and $85.3 million of the adjustments for the twelve months ended</w:t>
      </w:r>
      <w:r>
        <w:rPr>
          <w:rFonts w:ascii="Times New Roman" w:cs="Times New Roman" w:eastAsia="Times New Roman" w:hAnsi="Times New Roman"/>
          <w:sz w:val="15"/>
          <w:szCs w:val="15"/>
          <w:color w:val="auto"/>
        </w:rPr>
        <w:t xml:space="preserve"> September 30, 2022 </w:t>
      </w:r>
      <w:r>
        <w:rPr>
          <w:rFonts w:ascii="Times New Roman" w:cs="Times New Roman" w:eastAsia="Times New Roman" w:hAnsi="Times New Roman"/>
          <w:sz w:val="15"/>
          <w:szCs w:val="15"/>
          <w:color w:val="231F20"/>
        </w:rPr>
        <w:t>and December 31, 2021, respectively, are included in cost of revenues,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primarily consisting of amortization of intangible assets, depreciation, and accretion of asset retirement obligations.</w:t>
      </w:r>
    </w:p>
    <w:p>
      <w:pPr>
        <w:spacing w:after="0" w:line="358"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13</w:t>
      </w:r>
    </w:p>
    <w:sectPr>
      <w:pgSz w:w="11900" w:h="16838" w:orient="portrait"/>
      <w:cols w:equalWidth="0" w:num="1">
        <w:col w:w="11212"/>
      </w:cols>
      <w:pgMar w:left="328"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0"/>
    </w:lvl>
  </w:abstractNum>
  <w:abstractNum w:abstractNumId="6">
    <w:nsid w:val="515F007C"/>
    <w:multiLevelType w:val="hybridMultilevel"/>
    <w:lvl w:ilvl="0">
      <w:lvlJc w:val="left"/>
      <w:lvlText w:val="(%1)"/>
      <w:numFmt w:val="lowerLetter"/>
      <w:start w:val="12"/>
    </w:lvl>
  </w:abstractNum>
  <w:abstractNum w:abstractNumId="7">
    <w:nsid w:val="5BD062C2"/>
    <w:multiLevelType w:val="hybridMultilevel"/>
    <w:lvl w:ilvl="0">
      <w:lvlJc w:val="left"/>
      <w:lvlText w:val="(%1)"/>
      <w:numFmt w:val="lowerLetter"/>
      <w:start w:val="1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2022-11-02T06:19:43Z</dcterms:created>
  <dcterms:modified xsi:type="dcterms:W3CDTF">2022-11-02T06:19:43Z</dcterms:modified>
</cp:coreProperties>
</file>