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814267ddefr14a.htm"/>
      <w:bookmarkStart w:id="1" w:name="ksd814267ddefr14a"/>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INFORMATION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1)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71"/>
        <w:gridCol w:w="9534"/>
      </w:tblGrid>
      <w:tr>
        <w:trPr/>
        <w:tc>
          <w:tcPr>
            <w:tcW w:w="671" w:type="dxa"/>
            <w:tcBorders/>
          </w:tcPr>
          <w:p>
            <w:pPr>
              <w:pStyle w:val="TableContents"/>
              <w:bidi w:val="0"/>
              <w:spacing w:before="0" w:after="283"/>
              <w:jc w:val="left"/>
              <w:rPr/>
            </w:pPr>
            <w:r>
              <w:rPr/>
              <w:t>Check</w:t>
            </w:r>
          </w:p>
        </w:tc>
        <w:tc>
          <w:tcPr>
            <w:tcW w:w="953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appropriate box: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Confidential, for Use of the Commission Only (as permitted by Rule 14a-6(e)(2))</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 240.14a-12</w:t>
            </w:r>
          </w:p>
        </w:tc>
      </w:tr>
    </w:tbl>
    <w:p>
      <w:pPr>
        <w:pStyle w:val="TextBody"/>
        <w:bidi w:val="0"/>
        <w:spacing w:before="240" w:after="0"/>
        <w:jc w:val="center"/>
        <w:rPr>
          <w:rFonts w:ascii="Times New Roman" w:hAnsi="Times New Roman"/>
          <w:b/>
          <w:sz w:val="36"/>
        </w:rPr>
      </w:pPr>
      <w:r>
        <w:rPr>
          <w:rFonts w:ascii="Times New Roman" w:hAnsi="Times New Roman"/>
          <w:b/>
          <w:sz w:val="36"/>
        </w:rPr>
        <w:t>SOTERA HEALTH COMPANY</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Fee computed on table required by Item 25(b) per Exchange Act Rules 14a-6(i)(1) and 0-11.</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SUPPLEMENT TO PROXY STATEMENT DATED MAY 8, 2024, </w:t>
      </w:r>
    </w:p>
    <w:p>
      <w:pPr>
        <w:pStyle w:val="TextBody"/>
        <w:bidi w:val="0"/>
        <w:spacing w:before="0" w:after="0"/>
        <w:jc w:val="center"/>
        <w:rPr>
          <w:rFonts w:ascii="Times New Roman" w:hAnsi="Times New Roman"/>
          <w:b/>
          <w:sz w:val="20"/>
        </w:rPr>
      </w:pPr>
      <w:r>
        <w:rPr>
          <w:rFonts w:ascii="Times New Roman" w:hAnsi="Times New Roman"/>
          <w:b/>
          <w:sz w:val="20"/>
        </w:rPr>
        <w:t xml:space="preserve">FOR THE ANNUAL MEETING OF STOCKHOLDERS </w:t>
      </w:r>
    </w:p>
    <w:p>
      <w:pPr>
        <w:pStyle w:val="TextBody"/>
        <w:bidi w:val="0"/>
        <w:spacing w:before="0" w:after="0"/>
        <w:jc w:val="center"/>
        <w:rPr>
          <w:rFonts w:ascii="Times New Roman" w:hAnsi="Times New Roman"/>
          <w:b/>
          <w:sz w:val="20"/>
        </w:rPr>
      </w:pPr>
      <w:r>
        <w:rPr>
          <w:rFonts w:ascii="Times New Roman" w:hAnsi="Times New Roman"/>
          <w:b/>
          <w:sz w:val="20"/>
        </w:rPr>
        <w:t xml:space="preserve">TO BE HELD ON MAY 23, 2024 </w:t>
      </w:r>
    </w:p>
    <w:p>
      <w:pPr>
        <w:pStyle w:val="TextBody"/>
        <w:bidi w:val="0"/>
        <w:spacing w:before="240" w:after="0"/>
        <w:jc w:val="left"/>
        <w:rPr>
          <w:rFonts w:ascii="Times New Roman" w:hAnsi="Times New Roman"/>
          <w:sz w:val="20"/>
        </w:rPr>
      </w:pPr>
      <w:r>
        <w:rPr>
          <w:rFonts w:ascii="Times New Roman" w:hAnsi="Times New Roman"/>
          <w:sz w:val="20"/>
        </w:rPr>
        <w:t xml:space="preserve">This supplement, dated May 8, 2024, supplements and amends the definitive proxy statement (the Proxy Statement) filed by Sotera Health Company (the Company) with the Securities and Exchange Commission (the SEC) on April 11, 2024 for the 2024 Annual Meeting of Shareholders to be held on May 23, 2024 (the Annual Meeting). This supplement is being filed (i) to correct an error in the graphic in the section entitled Board Composition, Nominations Process and Director Qualifications  Board Diversity and (ii) to correct errors in the table set forth on page 78 of the Proxy Statement and to clarify the voting standards for the proposals to be voted on at the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On page 8 of the Proxy Statement, the total number of directors in the diversity graphic was inadvertently presented incorrectly. This supplement amends and replaces the graphic set forth on page 8 of the Proxy Statement with the following corrected version of the graphic, which comports with the associated text of the Proxy Statement: </w:t>
      </w:r>
    </w:p>
    <w:p>
      <w:pPr>
        <w:pStyle w:val="TextBody"/>
        <w:bidi w:val="0"/>
        <w:spacing w:before="0" w:after="0"/>
        <w:jc w:val="left"/>
        <w:rPr/>
      </w:pPr>
      <w:r>
        <w:rPr/>
        <w:t> </w:t>
      </w:r>
    </w:p>
    <w:p>
      <w:pPr>
        <w:pStyle w:val="TextBody"/>
        <w:bidi w:val="0"/>
        <w:spacing w:before="0" w:after="0"/>
        <w:jc w:val="center"/>
        <w:rPr/>
      </w:pPr>
      <w:r>
        <w:rPr/>
        <w:drawing>
          <wp:inline distT="0" distB="0" distL="0" distR="0">
            <wp:extent cx="588010" cy="34861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88010" cy="34861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406"/>
        <w:gridCol w:w="7657"/>
        <w:gridCol w:w="1020"/>
      </w:tblGrid>
      <w:tr>
        <w:trPr/>
        <w:tc>
          <w:tcPr>
            <w:tcW w:w="1122"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(1)</w:t>
            </w:r>
          </w:p>
        </w:tc>
        <w:tc>
          <w:tcPr>
            <w:tcW w:w="765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The EO Litigation Committee and Nordion Pricing Committee are not standing committees of the Board and do not have chairs. See Committees of the Board of Directors on page 20 for more information. </w:t>
            </w:r>
          </w:p>
        </w:tc>
        <w:tc>
          <w:tcPr>
            <w:tcW w:w="102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supplement amends and replaces the table set forth on page 78 of the Proxy Statement with the following corrected version of the table: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25"/>
        <w:gridCol w:w="127"/>
        <w:gridCol w:w="1557"/>
        <w:gridCol w:w="127"/>
        <w:gridCol w:w="1398"/>
        <w:gridCol w:w="127"/>
        <w:gridCol w:w="2152"/>
        <w:gridCol w:w="127"/>
        <w:gridCol w:w="1542"/>
        <w:gridCol w:w="126"/>
        <w:gridCol w:w="1397"/>
      </w:tblGrid>
      <w:tr>
        <w:trPr/>
        <w:tc>
          <w:tcPr>
            <w:tcW w:w="152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152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sz w:val="18"/>
              </w:rPr>
            </w:pPr>
            <w:r>
              <w:rPr>
                <w:rFonts w:ascii="Times New Roman" w:hAnsi="Times New Roman"/>
                <w:sz w:val="18"/>
              </w:rPr>
              <w:t>Proposal</w:t>
            </w:r>
          </w:p>
        </w:tc>
        <w:tc>
          <w:tcPr>
            <w:tcW w:w="127" w:type="dxa"/>
            <w:tcBorders/>
            <w:vAlign w:val="bottom"/>
          </w:tcPr>
          <w:p>
            <w:pPr>
              <w:pStyle w:val="TableContents"/>
              <w:bidi w:val="0"/>
              <w:spacing w:before="0" w:after="283"/>
              <w:jc w:val="left"/>
              <w:rPr/>
            </w:pPr>
            <w:r>
              <w:rPr/>
              <w:t>  </w:t>
            </w:r>
          </w:p>
        </w:tc>
        <w:tc>
          <w:tcPr>
            <w:tcW w:w="155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sz w:val="18"/>
              </w:rPr>
            </w:pPr>
            <w:r>
              <w:rPr>
                <w:rFonts w:ascii="Times New Roman" w:hAnsi="Times New Roman"/>
                <w:sz w:val="18"/>
              </w:rPr>
              <w:t>Voting Options</w:t>
            </w:r>
          </w:p>
        </w:tc>
        <w:tc>
          <w:tcPr>
            <w:tcW w:w="127" w:type="dxa"/>
            <w:tcBorders/>
            <w:vAlign w:val="bottom"/>
          </w:tcPr>
          <w:p>
            <w:pPr>
              <w:pStyle w:val="TableContents"/>
              <w:bidi w:val="0"/>
              <w:spacing w:before="0" w:after="283"/>
              <w:jc w:val="left"/>
              <w:rPr/>
            </w:pPr>
            <w:r>
              <w:rPr/>
              <w:t>  </w:t>
            </w:r>
          </w:p>
        </w:tc>
        <w:tc>
          <w:tcPr>
            <w:tcW w:w="1398"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sz w:val="18"/>
              </w:rPr>
            </w:pPr>
            <w:r>
              <w:rPr>
                <w:rFonts w:ascii="Times New Roman" w:hAnsi="Times New Roman"/>
                <w:sz w:val="18"/>
              </w:rPr>
              <w:t>Required Vote</w:t>
            </w:r>
          </w:p>
        </w:tc>
        <w:tc>
          <w:tcPr>
            <w:tcW w:w="127" w:type="dxa"/>
            <w:tcBorders/>
            <w:vAlign w:val="bottom"/>
          </w:tcPr>
          <w:p>
            <w:pPr>
              <w:pStyle w:val="TableContents"/>
              <w:bidi w:val="0"/>
              <w:spacing w:before="0" w:after="283"/>
              <w:jc w:val="left"/>
              <w:rPr/>
            </w:pPr>
            <w:r>
              <w:rPr/>
              <w:t>  </w:t>
            </w:r>
          </w:p>
        </w:tc>
        <w:tc>
          <w:tcPr>
            <w:tcW w:w="2152"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sz w:val="18"/>
              </w:rPr>
            </w:pPr>
            <w:r>
              <w:rPr>
                <w:rFonts w:ascii="Times New Roman" w:hAnsi="Times New Roman"/>
                <w:sz w:val="18"/>
              </w:rPr>
              <w:t>Effect of Abstentions</w:t>
              <w:br/>
              <w:t>and Broker Non-Votes</w:t>
            </w:r>
          </w:p>
        </w:tc>
        <w:tc>
          <w:tcPr>
            <w:tcW w:w="127" w:type="dxa"/>
            <w:tcBorders/>
            <w:vAlign w:val="bottom"/>
          </w:tcPr>
          <w:p>
            <w:pPr>
              <w:pStyle w:val="TableContents"/>
              <w:bidi w:val="0"/>
              <w:spacing w:before="0" w:after="283"/>
              <w:jc w:val="left"/>
              <w:rPr/>
            </w:pPr>
            <w:r>
              <w:rPr/>
              <w:t>  </w:t>
            </w:r>
          </w:p>
        </w:tc>
        <w:tc>
          <w:tcPr>
            <w:tcW w:w="1542" w:type="dxa"/>
            <w:tcBorders>
              <w:bottom w:val="single" w:sz="8" w:space="0" w:color="000000"/>
            </w:tcBorders>
            <w:tcMar>
              <w:bottom w:w="28" w:type="dxa"/>
            </w:tcMar>
            <w:vAlign w:val="bottom"/>
          </w:tcPr>
          <w:p>
            <w:pPr>
              <w:pStyle w:val="TableContents"/>
              <w:bidi w:val="0"/>
              <w:spacing w:before="0" w:after="0"/>
              <w:jc w:val="left"/>
              <w:rPr>
                <w:rFonts w:ascii="Times New Roman" w:hAnsi="Times New Roman"/>
                <w:sz w:val="18"/>
              </w:rPr>
            </w:pPr>
            <w:r>
              <w:rPr>
                <w:rFonts w:ascii="Times New Roman" w:hAnsi="Times New Roman"/>
                <w:sz w:val="18"/>
              </w:rPr>
              <w:t>Broker</w:t>
            </w:r>
          </w:p>
          <w:p>
            <w:pPr>
              <w:pStyle w:val="TableContents"/>
              <w:bidi w:val="0"/>
              <w:spacing w:before="0" w:after="0"/>
              <w:jc w:val="left"/>
              <w:rPr>
                <w:rFonts w:ascii="Times New Roman" w:hAnsi="Times New Roman"/>
                <w:sz w:val="18"/>
              </w:rPr>
            </w:pPr>
            <w:r>
              <w:rPr>
                <w:rFonts w:ascii="Times New Roman" w:hAnsi="Times New Roman"/>
                <w:sz w:val="18"/>
              </w:rPr>
              <w:t>Discretionary</w:t>
            </w:r>
          </w:p>
          <w:p>
            <w:pPr>
              <w:pStyle w:val="TableContents"/>
              <w:bidi w:val="0"/>
              <w:spacing w:before="0" w:after="20"/>
              <w:jc w:val="left"/>
              <w:rPr>
                <w:rFonts w:ascii="Times New Roman" w:hAnsi="Times New Roman"/>
                <w:sz w:val="18"/>
              </w:rPr>
            </w:pPr>
            <w:r>
              <w:rPr>
                <w:rFonts w:ascii="Times New Roman" w:hAnsi="Times New Roman"/>
                <w:sz w:val="18"/>
              </w:rPr>
              <w:t>Voting Allowed?</w:t>
            </w:r>
          </w:p>
        </w:tc>
        <w:tc>
          <w:tcPr>
            <w:tcW w:w="126" w:type="dxa"/>
            <w:tcBorders/>
            <w:vAlign w:val="bottom"/>
          </w:tcPr>
          <w:p>
            <w:pPr>
              <w:pStyle w:val="TableContents"/>
              <w:bidi w:val="0"/>
              <w:spacing w:before="0" w:after="283"/>
              <w:jc w:val="left"/>
              <w:rPr/>
            </w:pPr>
            <w:r>
              <w:rPr/>
              <w:t>  </w:t>
            </w:r>
          </w:p>
        </w:tc>
        <w:tc>
          <w:tcPr>
            <w:tcW w:w="1397" w:type="dxa"/>
            <w:tcBorders>
              <w:bottom w:val="single" w:sz="8" w:space="0" w:color="000000"/>
            </w:tcBorders>
            <w:tcMar>
              <w:bottom w:w="28" w:type="dxa"/>
            </w:tcMar>
            <w:vAlign w:val="bottom"/>
          </w:tcPr>
          <w:p>
            <w:pPr>
              <w:pStyle w:val="TableContents"/>
              <w:bidi w:val="0"/>
              <w:spacing w:before="0" w:after="0"/>
              <w:jc w:val="left"/>
              <w:rPr>
                <w:rFonts w:ascii="Times New Roman" w:hAnsi="Times New Roman"/>
                <w:sz w:val="18"/>
              </w:rPr>
            </w:pPr>
            <w:r>
              <w:rPr>
                <w:rFonts w:ascii="Times New Roman" w:hAnsi="Times New Roman"/>
                <w:sz w:val="18"/>
              </w:rPr>
              <w:t>Advisory</w:t>
            </w:r>
          </w:p>
          <w:p>
            <w:pPr>
              <w:pStyle w:val="TableContents"/>
              <w:bidi w:val="0"/>
              <w:spacing w:before="0" w:after="20"/>
              <w:jc w:val="left"/>
              <w:rPr>
                <w:rFonts w:ascii="Times New Roman" w:hAnsi="Times New Roman"/>
                <w:sz w:val="18"/>
              </w:rPr>
            </w:pPr>
            <w:r>
              <w:rPr>
                <w:rFonts w:ascii="Times New Roman" w:hAnsi="Times New Roman"/>
                <w:sz w:val="18"/>
              </w:rPr>
              <w:t>Proposal?</w:t>
            </w:r>
          </w:p>
        </w:tc>
      </w:tr>
      <w:tr>
        <w:trPr/>
        <w:tc>
          <w:tcPr>
            <w:tcW w:w="1525" w:type="dxa"/>
            <w:tcBorders/>
          </w:tcPr>
          <w:p>
            <w:pPr>
              <w:pStyle w:val="TableContents"/>
              <w:bidi w:val="0"/>
              <w:spacing w:before="0" w:after="283"/>
              <w:jc w:val="left"/>
              <w:rPr/>
            </w:pPr>
            <w:r>
              <w:rPr/>
              <w:t>1. Election of directors</w:t>
            </w:r>
          </w:p>
        </w:tc>
        <w:tc>
          <w:tcPr>
            <w:tcW w:w="127" w:type="dxa"/>
            <w:tcBorders/>
            <w:vAlign w:val="bottom"/>
          </w:tcPr>
          <w:p>
            <w:pPr>
              <w:pStyle w:val="TableContents"/>
              <w:bidi w:val="0"/>
              <w:spacing w:before="0" w:after="283"/>
              <w:jc w:val="left"/>
              <w:rPr/>
            </w:pPr>
            <w:r>
              <w:rPr/>
              <w:t>  </w:t>
            </w:r>
          </w:p>
        </w:tc>
        <w:tc>
          <w:tcPr>
            <w:tcW w:w="1557" w:type="dxa"/>
            <w:tcBorders/>
          </w:tcPr>
          <w:p>
            <w:pPr>
              <w:pStyle w:val="TableContents"/>
              <w:bidi w:val="0"/>
              <w:spacing w:before="0" w:after="283"/>
              <w:jc w:val="left"/>
              <w:rPr/>
            </w:pPr>
            <w:r>
              <w:rPr/>
              <w:t>FOR, AGAINST or ABSTAIN with respect to each of the director nominees</w:t>
            </w:r>
          </w:p>
        </w:tc>
        <w:tc>
          <w:tcPr>
            <w:tcW w:w="127" w:type="dxa"/>
            <w:tcBorders/>
            <w:vAlign w:val="bottom"/>
          </w:tcPr>
          <w:p>
            <w:pPr>
              <w:pStyle w:val="TableContents"/>
              <w:bidi w:val="0"/>
              <w:spacing w:before="0" w:after="283"/>
              <w:jc w:val="left"/>
              <w:rPr/>
            </w:pPr>
            <w:r>
              <w:rPr/>
              <w:t>  </w:t>
            </w:r>
          </w:p>
        </w:tc>
        <w:tc>
          <w:tcPr>
            <w:tcW w:w="1398" w:type="dxa"/>
            <w:tcBorders/>
          </w:tcPr>
          <w:p>
            <w:pPr>
              <w:pStyle w:val="TableContents"/>
              <w:bidi w:val="0"/>
              <w:spacing w:before="0" w:after="283"/>
              <w:jc w:val="left"/>
              <w:rPr/>
            </w:pPr>
            <w:r>
              <w:rPr/>
              <w:t>Majority of votes cast (1)</w:t>
            </w:r>
          </w:p>
        </w:tc>
        <w:tc>
          <w:tcPr>
            <w:tcW w:w="127" w:type="dxa"/>
            <w:tcBorders/>
            <w:vAlign w:val="bottom"/>
          </w:tcPr>
          <w:p>
            <w:pPr>
              <w:pStyle w:val="TableContents"/>
              <w:bidi w:val="0"/>
              <w:spacing w:before="0" w:after="283"/>
              <w:jc w:val="left"/>
              <w:rPr/>
            </w:pPr>
            <w:r>
              <w:rPr/>
              <w:t>  </w:t>
            </w:r>
          </w:p>
        </w:tc>
        <w:tc>
          <w:tcPr>
            <w:tcW w:w="2152" w:type="dxa"/>
            <w:tcBorders/>
          </w:tcPr>
          <w:p>
            <w:pPr>
              <w:pStyle w:val="TableContents"/>
              <w:bidi w:val="0"/>
              <w:spacing w:before="0" w:after="283"/>
              <w:jc w:val="left"/>
              <w:rPr/>
            </w:pPr>
            <w:r>
              <w:rPr/>
              <w:t>No effect  not counted as avote cast</w:t>
            </w:r>
          </w:p>
        </w:tc>
        <w:tc>
          <w:tcPr>
            <w:tcW w:w="127" w:type="dxa"/>
            <w:tcBorders/>
            <w:vAlign w:val="bottom"/>
          </w:tcPr>
          <w:p>
            <w:pPr>
              <w:pStyle w:val="TableContents"/>
              <w:bidi w:val="0"/>
              <w:spacing w:before="0" w:after="283"/>
              <w:jc w:val="left"/>
              <w:rPr/>
            </w:pPr>
            <w:r>
              <w:rPr/>
              <w:t>  </w:t>
            </w:r>
          </w:p>
        </w:tc>
        <w:tc>
          <w:tcPr>
            <w:tcW w:w="1542" w:type="dxa"/>
            <w:tcBorders/>
          </w:tcPr>
          <w:p>
            <w:pPr>
              <w:pStyle w:val="TableContents"/>
              <w:bidi w:val="0"/>
              <w:spacing w:before="0" w:after="283"/>
              <w:jc w:val="left"/>
              <w:rPr/>
            </w:pPr>
            <w:r>
              <w:rPr/>
              <w:t>No</w:t>
            </w:r>
          </w:p>
        </w:tc>
        <w:tc>
          <w:tcPr>
            <w:tcW w:w="126" w:type="dxa"/>
            <w:tcBorders/>
            <w:vAlign w:val="bottom"/>
          </w:tcPr>
          <w:p>
            <w:pPr>
              <w:pStyle w:val="TableContents"/>
              <w:bidi w:val="0"/>
              <w:spacing w:before="0" w:after="283"/>
              <w:jc w:val="left"/>
              <w:rPr/>
            </w:pPr>
            <w:r>
              <w:rPr/>
              <w:t>  </w:t>
            </w:r>
          </w:p>
        </w:tc>
        <w:tc>
          <w:tcPr>
            <w:tcW w:w="1397" w:type="dxa"/>
            <w:tcBorders/>
          </w:tcPr>
          <w:p>
            <w:pPr>
              <w:pStyle w:val="TableContents"/>
              <w:bidi w:val="0"/>
              <w:spacing w:before="0" w:after="283"/>
              <w:jc w:val="left"/>
              <w:rPr/>
            </w:pPr>
            <w:r>
              <w:rPr/>
              <w:t>No</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762"/>
        <w:gridCol w:w="120"/>
        <w:gridCol w:w="1540"/>
        <w:gridCol w:w="120"/>
        <w:gridCol w:w="1534"/>
        <w:gridCol w:w="120"/>
        <w:gridCol w:w="1774"/>
        <w:gridCol w:w="120"/>
        <w:gridCol w:w="1552"/>
        <w:gridCol w:w="120"/>
        <w:gridCol w:w="1443"/>
      </w:tblGrid>
      <w:tr>
        <w:trPr/>
        <w:tc>
          <w:tcPr>
            <w:tcW w:w="176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r>
      <w:tr>
        <w:trPr/>
        <w:tc>
          <w:tcPr>
            <w:tcW w:w="1762"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sz w:val="18"/>
              </w:rPr>
            </w:pPr>
            <w:r>
              <w:rPr>
                <w:rFonts w:ascii="Times New Roman" w:hAnsi="Times New Roman"/>
                <w:sz w:val="18"/>
              </w:rPr>
              <w:t>Proposal</w:t>
            </w:r>
          </w:p>
        </w:tc>
        <w:tc>
          <w:tcPr>
            <w:tcW w:w="120" w:type="dxa"/>
            <w:tcBorders/>
            <w:vAlign w:val="bottom"/>
          </w:tcPr>
          <w:p>
            <w:pPr>
              <w:pStyle w:val="TableContents"/>
              <w:bidi w:val="0"/>
              <w:spacing w:before="0" w:after="283"/>
              <w:jc w:val="left"/>
              <w:rPr/>
            </w:pPr>
            <w:r>
              <w:rPr/>
              <w:t>  </w:t>
            </w:r>
          </w:p>
        </w:tc>
        <w:tc>
          <w:tcPr>
            <w:tcW w:w="1540"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sz w:val="18"/>
              </w:rPr>
            </w:pPr>
            <w:r>
              <w:rPr>
                <w:rFonts w:ascii="Times New Roman" w:hAnsi="Times New Roman"/>
                <w:sz w:val="18"/>
              </w:rPr>
              <w:t>Voting Options</w:t>
            </w:r>
          </w:p>
        </w:tc>
        <w:tc>
          <w:tcPr>
            <w:tcW w:w="120" w:type="dxa"/>
            <w:tcBorders/>
            <w:vAlign w:val="bottom"/>
          </w:tcPr>
          <w:p>
            <w:pPr>
              <w:pStyle w:val="TableContents"/>
              <w:bidi w:val="0"/>
              <w:spacing w:before="0" w:after="283"/>
              <w:jc w:val="left"/>
              <w:rPr/>
            </w:pPr>
            <w:r>
              <w:rPr/>
              <w:t>  </w:t>
            </w:r>
          </w:p>
        </w:tc>
        <w:tc>
          <w:tcPr>
            <w:tcW w:w="153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sz w:val="18"/>
              </w:rPr>
            </w:pPr>
            <w:r>
              <w:rPr>
                <w:rFonts w:ascii="Times New Roman" w:hAnsi="Times New Roman"/>
                <w:sz w:val="18"/>
              </w:rPr>
              <w:t>Required Vote</w:t>
            </w:r>
          </w:p>
        </w:tc>
        <w:tc>
          <w:tcPr>
            <w:tcW w:w="120" w:type="dxa"/>
            <w:tcBorders/>
            <w:vAlign w:val="bottom"/>
          </w:tcPr>
          <w:p>
            <w:pPr>
              <w:pStyle w:val="TableContents"/>
              <w:bidi w:val="0"/>
              <w:spacing w:before="0" w:after="283"/>
              <w:jc w:val="left"/>
              <w:rPr/>
            </w:pPr>
            <w:r>
              <w:rPr/>
              <w:t>  </w:t>
            </w:r>
          </w:p>
        </w:tc>
        <w:tc>
          <w:tcPr>
            <w:tcW w:w="177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sz w:val="18"/>
              </w:rPr>
            </w:pPr>
            <w:r>
              <w:rPr>
                <w:rFonts w:ascii="Times New Roman" w:hAnsi="Times New Roman"/>
                <w:sz w:val="18"/>
              </w:rPr>
              <w:t>Effect of Abstentions</w:t>
              <w:br/>
              <w:t>and Broker Non-Votes</w:t>
            </w:r>
          </w:p>
        </w:tc>
        <w:tc>
          <w:tcPr>
            <w:tcW w:w="120" w:type="dxa"/>
            <w:tcBorders/>
            <w:vAlign w:val="bottom"/>
          </w:tcPr>
          <w:p>
            <w:pPr>
              <w:pStyle w:val="TableContents"/>
              <w:bidi w:val="0"/>
              <w:spacing w:before="0" w:after="283"/>
              <w:jc w:val="left"/>
              <w:rPr/>
            </w:pPr>
            <w:r>
              <w:rPr/>
              <w:t>  </w:t>
            </w:r>
          </w:p>
        </w:tc>
        <w:tc>
          <w:tcPr>
            <w:tcW w:w="1552" w:type="dxa"/>
            <w:tcBorders>
              <w:bottom w:val="single" w:sz="8" w:space="0" w:color="000000"/>
            </w:tcBorders>
            <w:tcMar>
              <w:bottom w:w="28" w:type="dxa"/>
            </w:tcMar>
            <w:vAlign w:val="bottom"/>
          </w:tcPr>
          <w:p>
            <w:pPr>
              <w:pStyle w:val="TableContents"/>
              <w:bidi w:val="0"/>
              <w:spacing w:before="0" w:after="0"/>
              <w:jc w:val="left"/>
              <w:rPr>
                <w:rFonts w:ascii="Times New Roman" w:hAnsi="Times New Roman"/>
                <w:sz w:val="18"/>
              </w:rPr>
            </w:pPr>
            <w:r>
              <w:rPr>
                <w:rFonts w:ascii="Times New Roman" w:hAnsi="Times New Roman"/>
                <w:sz w:val="18"/>
              </w:rPr>
              <w:t>Broker</w:t>
            </w:r>
          </w:p>
          <w:p>
            <w:pPr>
              <w:pStyle w:val="TableContents"/>
              <w:bidi w:val="0"/>
              <w:spacing w:before="0" w:after="0"/>
              <w:jc w:val="left"/>
              <w:rPr>
                <w:rFonts w:ascii="Times New Roman" w:hAnsi="Times New Roman"/>
                <w:sz w:val="18"/>
              </w:rPr>
            </w:pPr>
            <w:r>
              <w:rPr>
                <w:rFonts w:ascii="Times New Roman" w:hAnsi="Times New Roman"/>
                <w:sz w:val="18"/>
              </w:rPr>
              <w:t>Discretionary</w:t>
            </w:r>
          </w:p>
          <w:p>
            <w:pPr>
              <w:pStyle w:val="TableContents"/>
              <w:bidi w:val="0"/>
              <w:spacing w:before="0" w:after="20"/>
              <w:jc w:val="left"/>
              <w:rPr>
                <w:rFonts w:ascii="Times New Roman" w:hAnsi="Times New Roman"/>
                <w:sz w:val="18"/>
              </w:rPr>
            </w:pPr>
            <w:r>
              <w:rPr>
                <w:rFonts w:ascii="Times New Roman" w:hAnsi="Times New Roman"/>
                <w:sz w:val="18"/>
              </w:rPr>
              <w:t>Voting Allowed?</w:t>
            </w:r>
          </w:p>
        </w:tc>
        <w:tc>
          <w:tcPr>
            <w:tcW w:w="120" w:type="dxa"/>
            <w:tcBorders/>
            <w:vAlign w:val="bottom"/>
          </w:tcPr>
          <w:p>
            <w:pPr>
              <w:pStyle w:val="TableContents"/>
              <w:bidi w:val="0"/>
              <w:spacing w:before="0" w:after="283"/>
              <w:jc w:val="left"/>
              <w:rPr/>
            </w:pPr>
            <w:r>
              <w:rPr/>
              <w:t>  </w:t>
            </w:r>
          </w:p>
        </w:tc>
        <w:tc>
          <w:tcPr>
            <w:tcW w:w="1443" w:type="dxa"/>
            <w:tcBorders>
              <w:bottom w:val="single" w:sz="8" w:space="0" w:color="000000"/>
            </w:tcBorders>
            <w:tcMar>
              <w:bottom w:w="28" w:type="dxa"/>
            </w:tcMar>
            <w:vAlign w:val="bottom"/>
          </w:tcPr>
          <w:p>
            <w:pPr>
              <w:pStyle w:val="TableContents"/>
              <w:bidi w:val="0"/>
              <w:spacing w:before="0" w:after="0"/>
              <w:jc w:val="left"/>
              <w:rPr>
                <w:rFonts w:ascii="Times New Roman" w:hAnsi="Times New Roman"/>
                <w:sz w:val="18"/>
              </w:rPr>
            </w:pPr>
            <w:r>
              <w:rPr>
                <w:rFonts w:ascii="Times New Roman" w:hAnsi="Times New Roman"/>
                <w:sz w:val="18"/>
              </w:rPr>
              <w:t>Advisory</w:t>
            </w:r>
          </w:p>
          <w:p>
            <w:pPr>
              <w:pStyle w:val="TableContents"/>
              <w:bidi w:val="0"/>
              <w:spacing w:before="0" w:after="20"/>
              <w:jc w:val="left"/>
              <w:rPr>
                <w:rFonts w:ascii="Times New Roman" w:hAnsi="Times New Roman"/>
                <w:sz w:val="18"/>
              </w:rPr>
            </w:pPr>
            <w:r>
              <w:rPr>
                <w:rFonts w:ascii="Times New Roman" w:hAnsi="Times New Roman"/>
                <w:sz w:val="18"/>
              </w:rPr>
              <w:t>Proposal?</w:t>
            </w:r>
          </w:p>
        </w:tc>
      </w:tr>
      <w:tr>
        <w:trPr/>
        <w:tc>
          <w:tcPr>
            <w:tcW w:w="1762" w:type="dxa"/>
            <w:tcBorders/>
          </w:tcPr>
          <w:p>
            <w:pPr>
              <w:pStyle w:val="TableContents"/>
              <w:bidi w:val="0"/>
              <w:spacing w:before="0" w:after="283"/>
              <w:jc w:val="left"/>
              <w:rPr/>
            </w:pPr>
            <w:r>
              <w:rPr/>
              <w:t>2. Vote to approve named executive officer compensation (Say-on-Pay)</w:t>
            </w:r>
          </w:p>
        </w:tc>
        <w:tc>
          <w:tcPr>
            <w:tcW w:w="120" w:type="dxa"/>
            <w:tcBorders/>
            <w:vAlign w:val="bottom"/>
          </w:tcPr>
          <w:p>
            <w:pPr>
              <w:pStyle w:val="TableContents"/>
              <w:bidi w:val="0"/>
              <w:spacing w:before="0" w:after="283"/>
              <w:jc w:val="left"/>
              <w:rPr/>
            </w:pPr>
            <w:r>
              <w:rPr/>
              <w:t>  </w:t>
            </w:r>
          </w:p>
        </w:tc>
        <w:tc>
          <w:tcPr>
            <w:tcW w:w="1540" w:type="dxa"/>
            <w:tcBorders/>
          </w:tcPr>
          <w:p>
            <w:pPr>
              <w:pStyle w:val="TableContents"/>
              <w:bidi w:val="0"/>
              <w:spacing w:before="0" w:after="283"/>
              <w:jc w:val="left"/>
              <w:rPr/>
            </w:pPr>
            <w:r>
              <w:rPr/>
              <w:t>FOR, AGAINST or ABSTAIN</w:t>
            </w:r>
          </w:p>
        </w:tc>
        <w:tc>
          <w:tcPr>
            <w:tcW w:w="120" w:type="dxa"/>
            <w:tcBorders/>
            <w:vAlign w:val="bottom"/>
          </w:tcPr>
          <w:p>
            <w:pPr>
              <w:pStyle w:val="TableContents"/>
              <w:bidi w:val="0"/>
              <w:spacing w:before="0" w:after="283"/>
              <w:jc w:val="left"/>
              <w:rPr/>
            </w:pPr>
            <w:r>
              <w:rPr/>
              <w:t>  </w:t>
            </w:r>
          </w:p>
        </w:tc>
        <w:tc>
          <w:tcPr>
            <w:tcW w:w="1534" w:type="dxa"/>
            <w:tcBorders/>
          </w:tcPr>
          <w:p>
            <w:pPr>
              <w:pStyle w:val="TableContents"/>
              <w:bidi w:val="0"/>
              <w:spacing w:before="0" w:after="283"/>
              <w:jc w:val="left"/>
              <w:rPr/>
            </w:pPr>
            <w:r>
              <w:rPr/>
              <w:t>Majority of the shares present and entitled to vote on the subject matter</w:t>
            </w:r>
          </w:p>
        </w:tc>
        <w:tc>
          <w:tcPr>
            <w:tcW w:w="120" w:type="dxa"/>
            <w:tcBorders/>
            <w:vAlign w:val="bottom"/>
          </w:tcPr>
          <w:p>
            <w:pPr>
              <w:pStyle w:val="TableContents"/>
              <w:bidi w:val="0"/>
              <w:spacing w:before="0" w:after="283"/>
              <w:jc w:val="left"/>
              <w:rPr/>
            </w:pPr>
            <w:r>
              <w:rPr/>
              <w:t>  </w:t>
            </w:r>
          </w:p>
        </w:tc>
        <w:tc>
          <w:tcPr>
            <w:tcW w:w="1774" w:type="dxa"/>
            <w:tcBorders/>
          </w:tcPr>
          <w:p>
            <w:pPr>
              <w:pStyle w:val="TableContents"/>
              <w:bidi w:val="0"/>
              <w:spacing w:before="0" w:after="0"/>
              <w:jc w:val="left"/>
              <w:rPr>
                <w:rFonts w:ascii="Times New Roman" w:hAnsi="Times New Roman"/>
                <w:sz w:val="18"/>
              </w:rPr>
            </w:pPr>
            <w:r>
              <w:rPr>
                <w:rFonts w:ascii="Times New Roman" w:hAnsi="Times New Roman"/>
                <w:sz w:val="18"/>
              </w:rPr>
              <w:t>Broker non-votes will have no effect  not counted as avote cast</w:t>
            </w:r>
          </w:p>
          <w:p>
            <w:pPr>
              <w:pStyle w:val="TableContents"/>
              <w:bidi w:val="0"/>
              <w:spacing w:before="0" w:after="0"/>
              <w:jc w:val="left"/>
              <w:rPr/>
            </w:pPr>
            <w:r>
              <w:rPr/>
              <w:t> </w:t>
            </w:r>
          </w:p>
          <w:p>
            <w:pPr>
              <w:pStyle w:val="TableContents"/>
              <w:bidi w:val="0"/>
              <w:spacing w:before="0" w:after="20"/>
              <w:jc w:val="left"/>
              <w:rPr>
                <w:rFonts w:ascii="Times New Roman" w:hAnsi="Times New Roman"/>
                <w:sz w:val="18"/>
              </w:rPr>
            </w:pPr>
            <w:r>
              <w:rPr>
                <w:rFonts w:ascii="Times New Roman" w:hAnsi="Times New Roman"/>
                <w:sz w:val="18"/>
              </w:rPr>
              <w:t>Abstentions will have the effect of a vote against</w:t>
            </w:r>
          </w:p>
        </w:tc>
        <w:tc>
          <w:tcPr>
            <w:tcW w:w="120" w:type="dxa"/>
            <w:tcBorders/>
            <w:vAlign w:val="bottom"/>
          </w:tcPr>
          <w:p>
            <w:pPr>
              <w:pStyle w:val="TableContents"/>
              <w:bidi w:val="0"/>
              <w:spacing w:before="0" w:after="283"/>
              <w:jc w:val="left"/>
              <w:rPr/>
            </w:pPr>
            <w:r>
              <w:rPr/>
              <w:t>  </w:t>
            </w:r>
          </w:p>
        </w:tc>
        <w:tc>
          <w:tcPr>
            <w:tcW w:w="1552" w:type="dxa"/>
            <w:tcBorders/>
          </w:tcPr>
          <w:p>
            <w:pPr>
              <w:pStyle w:val="TableContents"/>
              <w:bidi w:val="0"/>
              <w:spacing w:before="0" w:after="283"/>
              <w:jc w:val="left"/>
              <w:rPr/>
            </w:pPr>
            <w:r>
              <w:rPr/>
              <w:t>No</w:t>
            </w:r>
          </w:p>
        </w:tc>
        <w:tc>
          <w:tcPr>
            <w:tcW w:w="120" w:type="dxa"/>
            <w:tcBorders/>
            <w:vAlign w:val="bottom"/>
          </w:tcPr>
          <w:p>
            <w:pPr>
              <w:pStyle w:val="TableContents"/>
              <w:bidi w:val="0"/>
              <w:spacing w:before="0" w:after="283"/>
              <w:jc w:val="left"/>
              <w:rPr/>
            </w:pPr>
            <w:r>
              <w:rPr/>
              <w:t>  </w:t>
            </w:r>
          </w:p>
        </w:tc>
        <w:tc>
          <w:tcPr>
            <w:tcW w:w="1443" w:type="dxa"/>
            <w:tcBorders/>
          </w:tcPr>
          <w:p>
            <w:pPr>
              <w:pStyle w:val="TableContents"/>
              <w:bidi w:val="0"/>
              <w:spacing w:before="0" w:after="283"/>
              <w:jc w:val="left"/>
              <w:rPr/>
            </w:pPr>
            <w:r>
              <w:rPr/>
              <w:t>Yes</w:t>
            </w:r>
          </w:p>
        </w:tc>
      </w:tr>
      <w:tr>
        <w:trPr>
          <w:trHeight w:val="120" w:hRule="atLeast"/>
        </w:trPr>
        <w:tc>
          <w:tcPr>
            <w:tcW w:w="1762" w:type="dxa"/>
            <w:tcBorders/>
            <w:vAlign w:val="center"/>
          </w:tcPr>
          <w:p>
            <w:pPr>
              <w:pStyle w:val="TableContents"/>
              <w:bidi w:val="0"/>
              <w:spacing w:before="0" w:after="283"/>
              <w:jc w:val="left"/>
              <w:rPr>
                <w:sz w:val="4"/>
                <w:szCs w:val="4"/>
              </w:rPr>
            </w:pPr>
            <w:r>
              <w:rPr>
                <w:sz w:val="4"/>
                <w:szCs w:val="4"/>
              </w:rPr>
            </w:r>
          </w:p>
        </w:tc>
        <w:tc>
          <w:tcPr>
            <w:tcW w:w="1660" w:type="dxa"/>
            <w:gridSpan w:val="2"/>
            <w:tcBorders/>
            <w:vAlign w:val="center"/>
          </w:tcPr>
          <w:p>
            <w:pPr>
              <w:pStyle w:val="TableContents"/>
              <w:bidi w:val="0"/>
              <w:spacing w:before="0" w:after="283"/>
              <w:jc w:val="left"/>
              <w:rPr>
                <w:sz w:val="4"/>
                <w:szCs w:val="4"/>
              </w:rPr>
            </w:pPr>
            <w:r>
              <w:rPr>
                <w:sz w:val="4"/>
                <w:szCs w:val="4"/>
              </w:rPr>
            </w:r>
          </w:p>
        </w:tc>
        <w:tc>
          <w:tcPr>
            <w:tcW w:w="1654" w:type="dxa"/>
            <w:gridSpan w:val="2"/>
            <w:tcBorders/>
            <w:vAlign w:val="center"/>
          </w:tcPr>
          <w:p>
            <w:pPr>
              <w:pStyle w:val="TableContents"/>
              <w:bidi w:val="0"/>
              <w:spacing w:before="0" w:after="283"/>
              <w:jc w:val="left"/>
              <w:rPr>
                <w:sz w:val="4"/>
                <w:szCs w:val="4"/>
              </w:rPr>
            </w:pPr>
            <w:r>
              <w:rPr>
                <w:sz w:val="4"/>
                <w:szCs w:val="4"/>
              </w:rPr>
            </w:r>
          </w:p>
        </w:tc>
        <w:tc>
          <w:tcPr>
            <w:tcW w:w="1894" w:type="dxa"/>
            <w:gridSpan w:val="2"/>
            <w:tcBorders/>
            <w:vAlign w:val="center"/>
          </w:tcPr>
          <w:p>
            <w:pPr>
              <w:pStyle w:val="TableContents"/>
              <w:bidi w:val="0"/>
              <w:spacing w:before="0" w:after="283"/>
              <w:jc w:val="left"/>
              <w:rPr>
                <w:sz w:val="4"/>
                <w:szCs w:val="4"/>
              </w:rPr>
            </w:pPr>
            <w:r>
              <w:rPr>
                <w:sz w:val="4"/>
                <w:szCs w:val="4"/>
              </w:rPr>
            </w:r>
          </w:p>
        </w:tc>
        <w:tc>
          <w:tcPr>
            <w:tcW w:w="1672" w:type="dxa"/>
            <w:gridSpan w:val="2"/>
            <w:tcBorders/>
            <w:vAlign w:val="center"/>
          </w:tcPr>
          <w:p>
            <w:pPr>
              <w:pStyle w:val="TableContents"/>
              <w:bidi w:val="0"/>
              <w:spacing w:before="0" w:after="283"/>
              <w:jc w:val="left"/>
              <w:rPr>
                <w:sz w:val="4"/>
                <w:szCs w:val="4"/>
              </w:rPr>
            </w:pPr>
            <w:r>
              <w:rPr>
                <w:sz w:val="4"/>
                <w:szCs w:val="4"/>
              </w:rPr>
            </w:r>
          </w:p>
        </w:tc>
        <w:tc>
          <w:tcPr>
            <w:tcW w:w="1563" w:type="dxa"/>
            <w:gridSpan w:val="2"/>
            <w:tcBorders/>
            <w:vAlign w:val="center"/>
          </w:tcPr>
          <w:p>
            <w:pPr>
              <w:pStyle w:val="TableContents"/>
              <w:bidi w:val="0"/>
              <w:spacing w:before="0" w:after="283"/>
              <w:jc w:val="left"/>
              <w:rPr>
                <w:sz w:val="4"/>
                <w:szCs w:val="4"/>
              </w:rPr>
            </w:pPr>
            <w:r>
              <w:rPr>
                <w:sz w:val="4"/>
                <w:szCs w:val="4"/>
              </w:rPr>
            </w:r>
          </w:p>
        </w:tc>
      </w:tr>
      <w:tr>
        <w:trPr/>
        <w:tc>
          <w:tcPr>
            <w:tcW w:w="1762" w:type="dxa"/>
            <w:tcBorders/>
          </w:tcPr>
          <w:p>
            <w:pPr>
              <w:pStyle w:val="TableContents"/>
              <w:bidi w:val="0"/>
              <w:spacing w:before="0" w:after="283"/>
              <w:jc w:val="left"/>
              <w:rPr/>
            </w:pPr>
            <w:r>
              <w:rPr/>
              <w:t>3. Ratification of appointment of independent auditors</w:t>
            </w:r>
          </w:p>
        </w:tc>
        <w:tc>
          <w:tcPr>
            <w:tcW w:w="120" w:type="dxa"/>
            <w:tcBorders/>
            <w:vAlign w:val="bottom"/>
          </w:tcPr>
          <w:p>
            <w:pPr>
              <w:pStyle w:val="TableContents"/>
              <w:bidi w:val="0"/>
              <w:spacing w:before="0" w:after="283"/>
              <w:jc w:val="left"/>
              <w:rPr/>
            </w:pPr>
            <w:r>
              <w:rPr/>
              <w:t>  </w:t>
            </w:r>
          </w:p>
        </w:tc>
        <w:tc>
          <w:tcPr>
            <w:tcW w:w="1540" w:type="dxa"/>
            <w:tcBorders/>
          </w:tcPr>
          <w:p>
            <w:pPr>
              <w:pStyle w:val="TableContents"/>
              <w:bidi w:val="0"/>
              <w:spacing w:before="0" w:after="283"/>
              <w:jc w:val="left"/>
              <w:rPr/>
            </w:pPr>
            <w:r>
              <w:rPr/>
              <w:t>FOR, AGAINST or ABSTAIN</w:t>
            </w:r>
          </w:p>
        </w:tc>
        <w:tc>
          <w:tcPr>
            <w:tcW w:w="120" w:type="dxa"/>
            <w:tcBorders/>
            <w:vAlign w:val="bottom"/>
          </w:tcPr>
          <w:p>
            <w:pPr>
              <w:pStyle w:val="TableContents"/>
              <w:bidi w:val="0"/>
              <w:spacing w:before="0" w:after="283"/>
              <w:jc w:val="left"/>
              <w:rPr/>
            </w:pPr>
            <w:r>
              <w:rPr/>
              <w:t>  </w:t>
            </w:r>
          </w:p>
        </w:tc>
        <w:tc>
          <w:tcPr>
            <w:tcW w:w="1534" w:type="dxa"/>
            <w:tcBorders/>
          </w:tcPr>
          <w:p>
            <w:pPr>
              <w:pStyle w:val="TableContents"/>
              <w:bidi w:val="0"/>
              <w:spacing w:before="0" w:after="283"/>
              <w:jc w:val="left"/>
              <w:rPr/>
            </w:pPr>
            <w:r>
              <w:rPr/>
              <w:t>Majority of the shares present and entitled to vote on the subject matter</w:t>
            </w:r>
          </w:p>
        </w:tc>
        <w:tc>
          <w:tcPr>
            <w:tcW w:w="120" w:type="dxa"/>
            <w:tcBorders/>
            <w:vAlign w:val="bottom"/>
          </w:tcPr>
          <w:p>
            <w:pPr>
              <w:pStyle w:val="TableContents"/>
              <w:bidi w:val="0"/>
              <w:spacing w:before="0" w:after="283"/>
              <w:jc w:val="left"/>
              <w:rPr/>
            </w:pPr>
            <w:r>
              <w:rPr/>
              <w:t>  </w:t>
            </w:r>
          </w:p>
        </w:tc>
        <w:tc>
          <w:tcPr>
            <w:tcW w:w="1774" w:type="dxa"/>
            <w:tcBorders/>
          </w:tcPr>
          <w:p>
            <w:pPr>
              <w:pStyle w:val="TableContents"/>
              <w:bidi w:val="0"/>
              <w:spacing w:before="0" w:after="0"/>
              <w:jc w:val="left"/>
              <w:rPr>
                <w:rFonts w:ascii="Times New Roman" w:hAnsi="Times New Roman"/>
                <w:sz w:val="18"/>
              </w:rPr>
            </w:pPr>
            <w:r>
              <w:rPr>
                <w:rFonts w:ascii="Times New Roman" w:hAnsi="Times New Roman"/>
                <w:sz w:val="18"/>
              </w:rPr>
              <w:t>Broker non-votes will have no effect  not counted as avote cast</w:t>
            </w:r>
          </w:p>
          <w:p>
            <w:pPr>
              <w:pStyle w:val="TableContents"/>
              <w:bidi w:val="0"/>
              <w:spacing w:before="0" w:after="0"/>
              <w:jc w:val="left"/>
              <w:rPr/>
            </w:pPr>
            <w:r>
              <w:rPr/>
              <w:t> </w:t>
            </w:r>
          </w:p>
          <w:p>
            <w:pPr>
              <w:pStyle w:val="TableContents"/>
              <w:bidi w:val="0"/>
              <w:spacing w:before="0" w:after="20"/>
              <w:jc w:val="left"/>
              <w:rPr>
                <w:rFonts w:ascii="Times New Roman" w:hAnsi="Times New Roman"/>
                <w:sz w:val="18"/>
              </w:rPr>
            </w:pPr>
            <w:r>
              <w:rPr>
                <w:rFonts w:ascii="Times New Roman" w:hAnsi="Times New Roman"/>
                <w:sz w:val="18"/>
              </w:rPr>
              <w:t>Abstentions will have the effect of a vote against</w:t>
            </w:r>
          </w:p>
        </w:tc>
        <w:tc>
          <w:tcPr>
            <w:tcW w:w="120" w:type="dxa"/>
            <w:tcBorders/>
            <w:vAlign w:val="bottom"/>
          </w:tcPr>
          <w:p>
            <w:pPr>
              <w:pStyle w:val="TableContents"/>
              <w:bidi w:val="0"/>
              <w:spacing w:before="0" w:after="283"/>
              <w:jc w:val="left"/>
              <w:rPr/>
            </w:pPr>
            <w:r>
              <w:rPr/>
              <w:t>  </w:t>
            </w:r>
          </w:p>
        </w:tc>
        <w:tc>
          <w:tcPr>
            <w:tcW w:w="1552" w:type="dxa"/>
            <w:tcBorders/>
          </w:tcPr>
          <w:p>
            <w:pPr>
              <w:pStyle w:val="TableContents"/>
              <w:bidi w:val="0"/>
              <w:spacing w:before="0" w:after="283"/>
              <w:jc w:val="left"/>
              <w:rPr/>
            </w:pPr>
            <w:r>
              <w:rPr/>
              <w:t>Yes</w:t>
            </w:r>
          </w:p>
        </w:tc>
        <w:tc>
          <w:tcPr>
            <w:tcW w:w="120" w:type="dxa"/>
            <w:tcBorders/>
            <w:vAlign w:val="bottom"/>
          </w:tcPr>
          <w:p>
            <w:pPr>
              <w:pStyle w:val="TableContents"/>
              <w:bidi w:val="0"/>
              <w:spacing w:before="0" w:after="283"/>
              <w:jc w:val="left"/>
              <w:rPr/>
            </w:pPr>
            <w:r>
              <w:rPr/>
              <w:t>  </w:t>
            </w:r>
          </w:p>
        </w:tc>
        <w:tc>
          <w:tcPr>
            <w:tcW w:w="1443" w:type="dxa"/>
            <w:tcBorders/>
          </w:tcPr>
          <w:p>
            <w:pPr>
              <w:pStyle w:val="TableContents"/>
              <w:bidi w:val="0"/>
              <w:spacing w:before="0" w:after="283"/>
              <w:jc w:val="left"/>
              <w:rPr/>
            </w:pPr>
            <w:r>
              <w:rPr/>
              <w:t>Yes</w:t>
            </w:r>
          </w:p>
        </w:tc>
      </w:tr>
      <w:tr>
        <w:trPr>
          <w:trHeight w:val="120" w:hRule="atLeast"/>
        </w:trPr>
        <w:tc>
          <w:tcPr>
            <w:tcW w:w="1762" w:type="dxa"/>
            <w:tcBorders/>
            <w:vAlign w:val="center"/>
          </w:tcPr>
          <w:p>
            <w:pPr>
              <w:pStyle w:val="TableContents"/>
              <w:bidi w:val="0"/>
              <w:spacing w:before="0" w:after="283"/>
              <w:jc w:val="left"/>
              <w:rPr>
                <w:sz w:val="4"/>
                <w:szCs w:val="4"/>
              </w:rPr>
            </w:pPr>
            <w:r>
              <w:rPr>
                <w:sz w:val="4"/>
                <w:szCs w:val="4"/>
              </w:rPr>
            </w:r>
          </w:p>
        </w:tc>
        <w:tc>
          <w:tcPr>
            <w:tcW w:w="1660" w:type="dxa"/>
            <w:gridSpan w:val="2"/>
            <w:tcBorders/>
            <w:vAlign w:val="center"/>
          </w:tcPr>
          <w:p>
            <w:pPr>
              <w:pStyle w:val="TableContents"/>
              <w:bidi w:val="0"/>
              <w:spacing w:before="0" w:after="283"/>
              <w:jc w:val="left"/>
              <w:rPr>
                <w:sz w:val="4"/>
                <w:szCs w:val="4"/>
              </w:rPr>
            </w:pPr>
            <w:r>
              <w:rPr>
                <w:sz w:val="4"/>
                <w:szCs w:val="4"/>
              </w:rPr>
            </w:r>
          </w:p>
        </w:tc>
        <w:tc>
          <w:tcPr>
            <w:tcW w:w="1654" w:type="dxa"/>
            <w:gridSpan w:val="2"/>
            <w:tcBorders/>
            <w:vAlign w:val="center"/>
          </w:tcPr>
          <w:p>
            <w:pPr>
              <w:pStyle w:val="TableContents"/>
              <w:bidi w:val="0"/>
              <w:spacing w:before="0" w:after="283"/>
              <w:jc w:val="left"/>
              <w:rPr>
                <w:sz w:val="4"/>
                <w:szCs w:val="4"/>
              </w:rPr>
            </w:pPr>
            <w:r>
              <w:rPr>
                <w:sz w:val="4"/>
                <w:szCs w:val="4"/>
              </w:rPr>
            </w:r>
          </w:p>
        </w:tc>
        <w:tc>
          <w:tcPr>
            <w:tcW w:w="1894" w:type="dxa"/>
            <w:gridSpan w:val="2"/>
            <w:tcBorders/>
            <w:vAlign w:val="center"/>
          </w:tcPr>
          <w:p>
            <w:pPr>
              <w:pStyle w:val="TableContents"/>
              <w:bidi w:val="0"/>
              <w:spacing w:before="0" w:after="283"/>
              <w:jc w:val="left"/>
              <w:rPr>
                <w:sz w:val="4"/>
                <w:szCs w:val="4"/>
              </w:rPr>
            </w:pPr>
            <w:r>
              <w:rPr>
                <w:sz w:val="4"/>
                <w:szCs w:val="4"/>
              </w:rPr>
            </w:r>
          </w:p>
        </w:tc>
        <w:tc>
          <w:tcPr>
            <w:tcW w:w="1672" w:type="dxa"/>
            <w:gridSpan w:val="2"/>
            <w:tcBorders/>
            <w:vAlign w:val="center"/>
          </w:tcPr>
          <w:p>
            <w:pPr>
              <w:pStyle w:val="TableContents"/>
              <w:bidi w:val="0"/>
              <w:spacing w:before="0" w:after="283"/>
              <w:jc w:val="left"/>
              <w:rPr>
                <w:sz w:val="4"/>
                <w:szCs w:val="4"/>
              </w:rPr>
            </w:pPr>
            <w:r>
              <w:rPr>
                <w:sz w:val="4"/>
                <w:szCs w:val="4"/>
              </w:rPr>
            </w:r>
          </w:p>
        </w:tc>
        <w:tc>
          <w:tcPr>
            <w:tcW w:w="1563" w:type="dxa"/>
            <w:gridSpan w:val="2"/>
            <w:tcBorders/>
            <w:vAlign w:val="center"/>
          </w:tcPr>
          <w:p>
            <w:pPr>
              <w:pStyle w:val="TableContents"/>
              <w:bidi w:val="0"/>
              <w:spacing w:before="0" w:after="283"/>
              <w:jc w:val="left"/>
              <w:rPr>
                <w:sz w:val="4"/>
                <w:szCs w:val="4"/>
              </w:rPr>
            </w:pPr>
            <w:r>
              <w:rPr>
                <w:sz w:val="4"/>
                <w:szCs w:val="4"/>
              </w:rPr>
            </w:r>
          </w:p>
        </w:tc>
      </w:tr>
      <w:tr>
        <w:trPr/>
        <w:tc>
          <w:tcPr>
            <w:tcW w:w="1762" w:type="dxa"/>
            <w:tcBorders/>
          </w:tcPr>
          <w:p>
            <w:pPr>
              <w:pStyle w:val="TableContents"/>
              <w:bidi w:val="0"/>
              <w:spacing w:before="0" w:after="283"/>
              <w:jc w:val="left"/>
              <w:rPr/>
            </w:pPr>
            <w:r>
              <w:rPr/>
              <w:t>4. Approval of an officer exculpation amendment to our amended and restated certificate of incorporation</w:t>
            </w:r>
          </w:p>
        </w:tc>
        <w:tc>
          <w:tcPr>
            <w:tcW w:w="120" w:type="dxa"/>
            <w:tcBorders/>
            <w:vAlign w:val="bottom"/>
          </w:tcPr>
          <w:p>
            <w:pPr>
              <w:pStyle w:val="TableContents"/>
              <w:bidi w:val="0"/>
              <w:spacing w:before="0" w:after="283"/>
              <w:jc w:val="left"/>
              <w:rPr/>
            </w:pPr>
            <w:r>
              <w:rPr/>
              <w:t>  </w:t>
            </w:r>
          </w:p>
        </w:tc>
        <w:tc>
          <w:tcPr>
            <w:tcW w:w="1540" w:type="dxa"/>
            <w:tcBorders/>
          </w:tcPr>
          <w:p>
            <w:pPr>
              <w:pStyle w:val="TableContents"/>
              <w:bidi w:val="0"/>
              <w:spacing w:before="0" w:after="283"/>
              <w:jc w:val="left"/>
              <w:rPr/>
            </w:pPr>
            <w:r>
              <w:rPr/>
              <w:t>FOR, AGAINST or ABSTAIN</w:t>
            </w:r>
          </w:p>
        </w:tc>
        <w:tc>
          <w:tcPr>
            <w:tcW w:w="120" w:type="dxa"/>
            <w:tcBorders/>
            <w:vAlign w:val="bottom"/>
          </w:tcPr>
          <w:p>
            <w:pPr>
              <w:pStyle w:val="TableContents"/>
              <w:bidi w:val="0"/>
              <w:spacing w:before="0" w:after="283"/>
              <w:jc w:val="left"/>
              <w:rPr/>
            </w:pPr>
            <w:r>
              <w:rPr/>
              <w:t>  </w:t>
            </w:r>
          </w:p>
        </w:tc>
        <w:tc>
          <w:tcPr>
            <w:tcW w:w="1534" w:type="dxa"/>
            <w:tcBorders/>
          </w:tcPr>
          <w:p>
            <w:pPr>
              <w:pStyle w:val="TableContents"/>
              <w:bidi w:val="0"/>
              <w:spacing w:before="0" w:after="283"/>
              <w:jc w:val="left"/>
              <w:rPr/>
            </w:pPr>
            <w:r>
              <w:rPr/>
              <w:t>Majority of the shares of outstanding common stock of the Company entitled to vote</w:t>
            </w:r>
          </w:p>
        </w:tc>
        <w:tc>
          <w:tcPr>
            <w:tcW w:w="120" w:type="dxa"/>
            <w:tcBorders/>
            <w:vAlign w:val="bottom"/>
          </w:tcPr>
          <w:p>
            <w:pPr>
              <w:pStyle w:val="TableContents"/>
              <w:bidi w:val="0"/>
              <w:spacing w:before="0" w:after="283"/>
              <w:jc w:val="left"/>
              <w:rPr/>
            </w:pPr>
            <w:r>
              <w:rPr/>
              <w:t>  </w:t>
            </w:r>
          </w:p>
        </w:tc>
        <w:tc>
          <w:tcPr>
            <w:tcW w:w="1774" w:type="dxa"/>
            <w:tcBorders/>
          </w:tcPr>
          <w:p>
            <w:pPr>
              <w:pStyle w:val="TableContents"/>
              <w:bidi w:val="0"/>
              <w:spacing w:before="0" w:after="283"/>
              <w:jc w:val="left"/>
              <w:rPr/>
            </w:pPr>
            <w:r>
              <w:rPr/>
              <w:t>Will count as a vote against</w:t>
            </w:r>
          </w:p>
        </w:tc>
        <w:tc>
          <w:tcPr>
            <w:tcW w:w="120" w:type="dxa"/>
            <w:tcBorders/>
            <w:vAlign w:val="bottom"/>
          </w:tcPr>
          <w:p>
            <w:pPr>
              <w:pStyle w:val="TableContents"/>
              <w:bidi w:val="0"/>
              <w:spacing w:before="0" w:after="283"/>
              <w:jc w:val="left"/>
              <w:rPr/>
            </w:pPr>
            <w:r>
              <w:rPr/>
              <w:t>  </w:t>
            </w:r>
          </w:p>
        </w:tc>
        <w:tc>
          <w:tcPr>
            <w:tcW w:w="1552" w:type="dxa"/>
            <w:tcBorders/>
          </w:tcPr>
          <w:p>
            <w:pPr>
              <w:pStyle w:val="TableContents"/>
              <w:bidi w:val="0"/>
              <w:spacing w:before="0" w:after="283"/>
              <w:jc w:val="left"/>
              <w:rPr/>
            </w:pPr>
            <w:r>
              <w:rPr/>
              <w:t>No</w:t>
            </w:r>
          </w:p>
        </w:tc>
        <w:tc>
          <w:tcPr>
            <w:tcW w:w="120" w:type="dxa"/>
            <w:tcBorders/>
            <w:vAlign w:val="bottom"/>
          </w:tcPr>
          <w:p>
            <w:pPr>
              <w:pStyle w:val="TableContents"/>
              <w:bidi w:val="0"/>
              <w:spacing w:before="0" w:after="283"/>
              <w:jc w:val="left"/>
              <w:rPr/>
            </w:pPr>
            <w:r>
              <w:rPr/>
              <w:t>  </w:t>
            </w:r>
          </w:p>
        </w:tc>
        <w:tc>
          <w:tcPr>
            <w:tcW w:w="1443" w:type="dxa"/>
            <w:tcBorders/>
          </w:tcPr>
          <w:p>
            <w:pPr>
              <w:pStyle w:val="TableContents"/>
              <w:bidi w:val="0"/>
              <w:spacing w:before="0" w:after="283"/>
              <w:jc w:val="left"/>
              <w:rPr/>
            </w:pPr>
            <w:r>
              <w:rPr/>
              <w:t>No</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accordance with our Corporate Governance Guidelines, because the election of directors will be uncontested, a director nominee must receive more votes cast FOR than AGAINST his election to be elected.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as specifically supplemented by the information contained herein, this supplement does not revise or update any of the other information set forth in the Proxy Statement. This supplement does not provide all of the information that is important to your voting decisions at the Annual Meeting, and the Proxy Statement contains other important additional information. This supplement should be read in conjunction with the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If you have already returned your proxy or voting instruction card or provided voting instructions, you do not need to take any action unless you wish to change your vote. If you have submitted a proxy and wish to change your vote, you may revoke your proxy and change your vote by following the instructions in the question Can I change my vote or revoke my proxy? of the section titled Questions And Answers About The Proxy Statement And Our 2024 Annual Meeting Of Shareholders of the Proxy Statement. This supplement does not change the proposals to be acted upon at the Annual Meeting, which are described in the Proxy Statement.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821</Words>
  <Characters>4062</Characters>
  <CharactersWithSpaces>4872</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DEFR14A</dc:title>
</cp:coreProperties>
</file>