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424(b)(7)</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333-277418</w:t>
      </w:r>
    </w:p>
    <w:p>
      <w:pPr>
        <w:spacing w:after="0" w:line="135" w:lineRule="exact"/>
        <w:rPr>
          <w:sz w:val="24"/>
          <w:szCs w:val="24"/>
          <w:color w:val="auto"/>
        </w:rPr>
      </w:pPr>
    </w:p>
    <w:p>
      <w:pPr>
        <w:ind w:left="120" w:right="320"/>
        <w:spacing w:after="0" w:line="262" w:lineRule="auto"/>
        <w:rPr>
          <w:sz w:val="20"/>
          <w:szCs w:val="20"/>
          <w:color w:val="auto"/>
        </w:rPr>
      </w:pPr>
      <w:r>
        <w:rPr>
          <w:rFonts w:ascii="Times New Roman" w:cs="Times New Roman" w:eastAsia="Times New Roman" w:hAnsi="Times New Roman"/>
          <w:sz w:val="18"/>
          <w:szCs w:val="18"/>
          <w:b w:val="1"/>
          <w:bCs w:val="1"/>
          <w:color w:val="FF4338"/>
        </w:rPr>
        <w:t>The information in this preliminary prospectus suppliment and the accompanying prospectus, relating to an effective registration statement under the Securities Act of 1933, as amended, is not complete and may be changed. This preliminary prospectus supplement and the accompanying prospectus are not an offer to sell these securities and we are not soliciting an offer to buy these securities in any jurisdiction where the offer or sale is not permitted.</w:t>
      </w:r>
    </w:p>
    <w:p>
      <w:pPr>
        <w:spacing w:after="0" w:line="109"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FF4338"/>
        </w:rPr>
        <w:t>SUBJECT TO COMPLETION, DATED SEPTEMBER 4, 2024</w:t>
      </w:r>
    </w:p>
    <w:p>
      <w:pPr>
        <w:spacing w:after="0" w:line="11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Prospectus dated February 27, 2024)</w:t>
      </w:r>
    </w:p>
    <w:p>
      <w:pPr>
        <w:spacing w:after="0" w:line="178" w:lineRule="exact"/>
        <w:rPr>
          <w:sz w:val="24"/>
          <w:szCs w:val="24"/>
          <w:color w:val="auto"/>
        </w:rPr>
      </w:pPr>
    </w:p>
    <w:p>
      <w:pPr>
        <w:jc w:val="center"/>
        <w:ind w:right="-119"/>
        <w:spacing w:after="0"/>
        <w:tabs>
          <w:tab w:leader="none" w:pos="300" w:val="left"/>
        </w:tabs>
        <w:rPr>
          <w:sz w:val="20"/>
          <w:szCs w:val="20"/>
          <w:color w:val="auto"/>
        </w:rPr>
      </w:pPr>
      <w:r>
        <w:rPr>
          <w:rFonts w:ascii="Times New Roman" w:cs="Times New Roman" w:eastAsia="Times New Roman" w:hAnsi="Times New Roman"/>
          <w:sz w:val="32"/>
          <w:szCs w:val="32"/>
          <w:b w:val="1"/>
          <w:bCs w:val="1"/>
          <w:color w:val="auto"/>
        </w:rPr>
        <w:t xml:space="preserve">       </w:t>
        <w:tab/>
        <w:t>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2945130</wp:posOffset>
            </wp:positionH>
            <wp:positionV relativeFrom="paragraph">
              <wp:posOffset>182245</wp:posOffset>
            </wp:positionV>
            <wp:extent cx="1251585"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158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2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selling stockholders of Sotera Health Company identified in this prospectus supplement are offering       shares of our common stock, par value $0.01 per share, (the “common stock”) pursuant to this prospectus supplement and the accompanying prospectus. We are not selling any shares of common stock under this prospectus supplement and will not receive any proceeds from the sale of the shares by the selling stockholders.</w:t>
      </w:r>
    </w:p>
    <w:p>
      <w:pPr>
        <w:spacing w:after="0" w:line="176" w:lineRule="exact"/>
        <w:rPr>
          <w:sz w:val="24"/>
          <w:szCs w:val="24"/>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and traded on the Nasdaq Global Select Market (“Nasdaq”) under the symbol “SHC.” On September 3, 2024, the last reported sale price of our common stock on Nasdaq was $15.36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208280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ind w:left="120" w:right="180" w:firstLine="44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our common stock involves a high degree of risk.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S-11 of this prospectus supplement and in the documents incorporated by reference into this prospectus supplement to read about factors you should consider before deciding to invest in our common stock.</w:t>
      </w:r>
    </w:p>
    <w:p>
      <w:pPr>
        <w:spacing w:after="0" w:line="176" w:lineRule="exact"/>
        <w:rPr>
          <w:sz w:val="24"/>
          <w:szCs w:val="24"/>
          <w:color w:val="auto"/>
        </w:rPr>
      </w:pPr>
    </w:p>
    <w:p>
      <w:pPr>
        <w:ind w:left="120" w:right="3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(the “SEC”) nor any state securities commission has approved or disapproved these securities or determined if this prospectus supplement or the accompanying prospectus is truthful or complete. Any representation to the contrary is a criminal offense.</w:t>
      </w:r>
    </w:p>
    <w:p>
      <w:pPr>
        <w:spacing w:after="0" w:line="175" w:lineRule="exact"/>
        <w:rPr>
          <w:sz w:val="24"/>
          <w:szCs w:val="24"/>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underwriter has agreed to purchase the common stock from the selling stockholders at a price equal to $      per share, which will result in $      of proceeds to the selling stockholders, before expenses. The underwriter may offer our common stock purchased from the selling stockholders from time to time in one or more transactions on the Nasdaq, in the over-the-counter market or through negotiated transactions at market prices or at negotiated prices. The underwriter may offer shares of common stock for sale at different prices at the same time. See “Underwriting” for a description of compensation payable to the underwriter.</w:t>
      </w:r>
    </w:p>
    <w:p>
      <w:pPr>
        <w:spacing w:after="0" w:line="183"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Delivery of the shares of common stock is expected to be made on or about September    ,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Citigroup</w:t>
      </w:r>
    </w:p>
    <w:p>
      <w:pPr>
        <w:spacing w:after="0" w:line="2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 2024.</w:t>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980" w:type="dxa"/>
            <w:vAlign w:val="bottom"/>
            <w:gridSpan w:val="4"/>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180" w:type="dxa"/>
            <w:vAlign w:val="bottom"/>
          </w:tcPr>
          <w:p>
            <w:pPr>
              <w:spacing w:after="0"/>
              <w:rPr>
                <w:sz w:val="20"/>
                <w:szCs w:val="20"/>
                <w:color w:val="auto"/>
              </w:rPr>
            </w:pPr>
          </w:p>
        </w:tc>
      </w:tr>
      <w:tr>
        <w:trPr>
          <w:trHeight w:val="324"/>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980" w:type="dxa"/>
            <w:vAlign w:val="bottom"/>
            <w:gridSpan w:val="4"/>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2180" w:type="dxa"/>
            <w:vAlign w:val="bottom"/>
          </w:tcPr>
          <w:p>
            <w:pPr>
              <w:spacing w:after="0"/>
              <w:rPr>
                <w:sz w:val="24"/>
                <w:szCs w:val="24"/>
                <w:color w:val="auto"/>
              </w:rPr>
            </w:pPr>
          </w:p>
        </w:tc>
      </w:tr>
      <w:tr>
        <w:trPr>
          <w:trHeight w:val="373"/>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3440" w:type="dxa"/>
            <w:vAlign w:val="bottom"/>
            <w:tcBorders>
              <w:bottom w:val="single" w:sz="8" w:color="0000EE"/>
            </w:tcBorders>
            <w:gridSpan w:val="15"/>
          </w:tcPr>
          <w:p>
            <w:pPr>
              <w:spacing w:after="0" w:line="194" w:lineRule="exact"/>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5340" w:type="dxa"/>
            <w:vAlign w:val="bottom"/>
            <w:gridSpan w:val="5"/>
          </w:tcPr>
          <w:p>
            <w:pPr>
              <w:spacing w:after="0"/>
              <w:rPr>
                <w:sz w:val="16"/>
                <w:szCs w:val="16"/>
                <w:color w:val="auto"/>
              </w:rPr>
            </w:pPr>
          </w:p>
        </w:tc>
        <w:tc>
          <w:tcPr>
            <w:tcW w:w="2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S-1</w:t>
            </w:r>
          </w:p>
        </w:tc>
      </w:tr>
      <w:tr>
        <w:trPr>
          <w:trHeight w:val="196"/>
        </w:trPr>
        <w:tc>
          <w:tcPr>
            <w:tcW w:w="8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MARKET AND INDUSTRY DATA</w:t>
            </w: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w:t>
            </w:r>
          </w:p>
        </w:tc>
      </w:tr>
      <w:tr>
        <w:trPr>
          <w:trHeight w:val="196"/>
        </w:trPr>
        <w:tc>
          <w:tcPr>
            <w:tcW w:w="9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1720" w:type="dxa"/>
            <w:vAlign w:val="bottom"/>
            <w:tcBorders>
              <w:top w:val="single" w:sz="8" w:color="0000EE"/>
            </w:tcBorders>
            <w:gridSpan w:val="9"/>
          </w:tcPr>
          <w:p>
            <w:pPr>
              <w:spacing w:after="0"/>
              <w:rPr>
                <w:sz w:val="17"/>
                <w:szCs w:val="17"/>
                <w:color w:val="auto"/>
              </w:rPr>
            </w:pPr>
          </w:p>
        </w:tc>
        <w:tc>
          <w:tcPr>
            <w:tcW w:w="6140" w:type="dxa"/>
            <w:vAlign w:val="bottom"/>
            <w:gridSpan w:val="9"/>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w:t>
            </w:r>
          </w:p>
        </w:tc>
      </w:tr>
      <w:tr>
        <w:trPr>
          <w:trHeight w:val="196"/>
        </w:trPr>
        <w:tc>
          <w:tcPr>
            <w:tcW w:w="12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7500" w:type="dxa"/>
            <w:vAlign w:val="bottom"/>
            <w:gridSpan w:val="16"/>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S-4</w:t>
            </w:r>
          </w:p>
        </w:tc>
      </w:tr>
      <w:tr>
        <w:trPr>
          <w:trHeight w:val="196"/>
        </w:trPr>
        <w:tc>
          <w:tcPr>
            <w:tcW w:w="8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SUMMARY HISTORICAL CONSOLIDATED FINANCIAL AND OTHER DATA</w:t>
            </w: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S-6</w:t>
            </w:r>
          </w:p>
        </w:tc>
      </w:tr>
      <w:tr>
        <w:trPr>
          <w:trHeight w:val="196"/>
        </w:trPr>
        <w:tc>
          <w:tcPr>
            <w:tcW w:w="604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740" w:type="dxa"/>
            <w:vAlign w:val="bottom"/>
            <w:gridSpan w:val="2"/>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57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3000" w:type="dxa"/>
            <w:vAlign w:val="bottom"/>
            <w:gridSpan w:val="3"/>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S-18</w:t>
            </w:r>
          </w:p>
        </w:tc>
      </w:tr>
      <w:tr>
        <w:trPr>
          <w:trHeight w:val="196"/>
        </w:trPr>
        <w:tc>
          <w:tcPr>
            <w:tcW w:w="8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STOCKHOLDERS</w:t>
            </w: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S-20</w:t>
            </w: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8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CONSIDERATIONS FOR NON-U.S. HOLDERS</w:t>
            </w: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S-22</w:t>
            </w:r>
          </w:p>
        </w:tc>
      </w:tr>
      <w:tr>
        <w:trPr>
          <w:trHeight w:val="196"/>
        </w:trPr>
        <w:tc>
          <w:tcPr>
            <w:tcW w:w="158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5360" w:type="dxa"/>
            <w:vAlign w:val="bottom"/>
            <w:tcBorders>
              <w:top w:val="single" w:sz="8" w:color="0000EE"/>
            </w:tcBorders>
            <w:gridSpan w:val="12"/>
          </w:tcPr>
          <w:p>
            <w:pPr>
              <w:spacing w:after="0"/>
              <w:rPr>
                <w:sz w:val="17"/>
                <w:szCs w:val="17"/>
                <w:color w:val="auto"/>
              </w:rPr>
            </w:pPr>
          </w:p>
        </w:tc>
        <w:tc>
          <w:tcPr>
            <w:tcW w:w="1840" w:type="dxa"/>
            <w:vAlign w:val="bottom"/>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S-24</w:t>
            </w:r>
          </w:p>
        </w:tc>
      </w:tr>
      <w:tr>
        <w:trPr>
          <w:trHeight w:val="196"/>
        </w:trPr>
        <w:tc>
          <w:tcPr>
            <w:tcW w:w="8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S-25</w:t>
            </w: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980" w:type="dxa"/>
            <w:vAlign w:val="bottom"/>
            <w:gridSpan w:val="4"/>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7320" w:type="dxa"/>
            <w:vAlign w:val="bottom"/>
            <w:gridSpan w:val="14"/>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S-32</w:t>
            </w:r>
          </w:p>
        </w:tc>
      </w:tr>
      <w:tr>
        <w:trPr>
          <w:trHeight w:val="196"/>
        </w:trPr>
        <w:tc>
          <w:tcPr>
            <w:tcW w:w="8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S-33</w:t>
            </w:r>
          </w:p>
        </w:tc>
      </w:tr>
      <w:tr>
        <w:trPr>
          <w:trHeight w:val="20"/>
        </w:trPr>
        <w:tc>
          <w:tcPr>
            <w:tcW w:w="760" w:type="dxa"/>
            <w:vAlign w:val="bottom"/>
            <w:shd w:val="clear" w:color="auto" w:fill="0000EE"/>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980" w:type="dxa"/>
            <w:vAlign w:val="bottom"/>
            <w:gridSpan w:val="4"/>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8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S-34</w:t>
            </w:r>
          </w:p>
        </w:tc>
      </w:tr>
      <w:tr>
        <w:trPr>
          <w:trHeight w:val="196"/>
        </w:trPr>
        <w:tc>
          <w:tcPr>
            <w:tcW w:w="380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4980" w:type="dxa"/>
            <w:vAlign w:val="bottom"/>
            <w:gridSpan w:val="4"/>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S-35</w:t>
            </w:r>
          </w:p>
        </w:tc>
      </w:tr>
      <w:tr>
        <w:trPr>
          <w:trHeight w:val="453"/>
        </w:trPr>
        <w:tc>
          <w:tcPr>
            <w:tcW w:w="7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980" w:type="dxa"/>
            <w:vAlign w:val="bottom"/>
            <w:gridSpan w:val="4"/>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2180" w:type="dxa"/>
            <w:vAlign w:val="bottom"/>
          </w:tcPr>
          <w:p>
            <w:pPr>
              <w:spacing w:after="0"/>
              <w:rPr>
                <w:sz w:val="24"/>
                <w:szCs w:val="24"/>
                <w:color w:val="auto"/>
              </w:rPr>
            </w:pPr>
          </w:p>
        </w:tc>
      </w:tr>
      <w:tr>
        <w:trPr>
          <w:trHeight w:val="418"/>
        </w:trPr>
        <w:tc>
          <w:tcPr>
            <w:tcW w:w="878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20"/>
        </w:trPr>
        <w:tc>
          <w:tcPr>
            <w:tcW w:w="1580" w:type="dxa"/>
            <w:vAlign w:val="bottom"/>
            <w:gridSpan w:val="7"/>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740" w:type="dxa"/>
            <w:vAlign w:val="bottom"/>
            <w:gridSpan w:val="6"/>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SOTERA HEALTH COMPANY</w:t>
            </w:r>
          </w:p>
        </w:tc>
        <w:tc>
          <w:tcPr>
            <w:tcW w:w="5740" w:type="dxa"/>
            <w:vAlign w:val="bottom"/>
            <w:gridSpan w:val="6"/>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57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3000" w:type="dxa"/>
            <w:vAlign w:val="bottom"/>
            <w:gridSpan w:val="3"/>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8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240" w:type="dxa"/>
            <w:vAlign w:val="bottom"/>
            <w:gridSpan w:val="3"/>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5840" w:type="dxa"/>
            <w:vAlign w:val="bottom"/>
            <w:gridSpan w:val="7"/>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7200" w:type="dxa"/>
            <w:vAlign w:val="bottom"/>
            <w:gridSpan w:val="13"/>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8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COMMON STOCK</w:t>
            </w: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294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STOCKHOLDERS</w:t>
            </w:r>
          </w:p>
        </w:tc>
        <w:tc>
          <w:tcPr>
            <w:tcW w:w="5840" w:type="dxa"/>
            <w:vAlign w:val="bottom"/>
            <w:gridSpan w:val="7"/>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220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6580" w:type="dxa"/>
            <w:vAlign w:val="bottom"/>
            <w:gridSpan w:val="11"/>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2040" w:type="dxa"/>
            <w:vAlign w:val="bottom"/>
            <w:gridSpan w:val="8"/>
            <w:shd w:val="clear" w:color="auto" w:fill="0000EE"/>
          </w:tcPr>
          <w:p>
            <w:pPr>
              <w:spacing w:after="0" w:line="20" w:lineRule="exact"/>
              <w:rPr>
                <w:sz w:val="1"/>
                <w:szCs w:val="1"/>
                <w:color w:val="auto"/>
              </w:rPr>
            </w:pPr>
          </w:p>
        </w:tc>
        <w:tc>
          <w:tcPr>
            <w:tcW w:w="6740" w:type="dxa"/>
            <w:vAlign w:val="bottom"/>
            <w:gridSpan w:val="1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8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282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BY REFERENCE</w:t>
            </w:r>
          </w:p>
        </w:tc>
        <w:tc>
          <w:tcPr>
            <w:tcW w:w="980" w:type="dxa"/>
            <w:vAlign w:val="bottom"/>
            <w:tcBorders>
              <w:top w:val="single" w:sz="8" w:color="0000EE"/>
            </w:tcBorders>
            <w:gridSpan w:val="4"/>
          </w:tcPr>
          <w:p>
            <w:pPr>
              <w:spacing w:after="0"/>
              <w:rPr>
                <w:sz w:val="17"/>
                <w:szCs w:val="17"/>
                <w:color w:val="auto"/>
              </w:rPr>
            </w:pPr>
          </w:p>
        </w:tc>
        <w:tc>
          <w:tcPr>
            <w:tcW w:w="4980" w:type="dxa"/>
            <w:vAlign w:val="bottom"/>
            <w:gridSpan w:val="4"/>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4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7320" w:type="dxa"/>
            <w:vAlign w:val="bottom"/>
            <w:gridSpan w:val="14"/>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8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bl>
    <w:p>
      <w:pPr>
        <w:spacing w:after="0" w:line="2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Neither we nor the selling stockholders have authorized anyone to provide you with information different from that contained or incorporated by reference in this prospectus supplement, any amendment or supplement to this prospectus supplement, the accompanying prospectus or in any free writing prospectus prepared by us or on our behalf. Neither we nor the selling stockholders take any responsibility for, or provide any assurance as to the reliability of, any information other than the information contained or incorporated by reference in this prospectus supplement, any amendment or supplement to this prospectus supplement, the accompanying prospectus or in any free writing prospectus prepared by us or on our behalf. The selling stockholders are not making an offer to sell these securities in any jurisdiction where the offer or sale is not permitted.</w:t>
      </w:r>
    </w:p>
    <w:p>
      <w:pPr>
        <w:spacing w:after="0" w:line="183"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You should assume that the information appearing in this prospectus supplement, the accompanying prospectus or in any free writing prospectus prepared by us is accurate only as of their respective dates or on the date or dates that are specified in such documents and that any information in documents that we have incorporated by reference is accurate only as of the date of such document incorporated by reference. Our business, financial condition, liquidity, results of operations and prospects may have changed since those dates. Information contained in our website does not constitute part of this prospectus supplement.</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You should carefully read both this prospectus supplement, the accompanying prospectus and any free writing prospectus prepared by or on behalf of us, together with the additional information described under the heading “Where You Can Find More Information.”</w:t>
      </w:r>
    </w:p>
    <w:p>
      <w:pPr>
        <w:spacing w:after="0" w:line="155" w:lineRule="exact"/>
        <w:rPr>
          <w:sz w:val="20"/>
          <w:szCs w:val="20"/>
          <w:color w:val="auto"/>
        </w:rPr>
      </w:pPr>
    </w:p>
    <w:p>
      <w:pPr>
        <w:jc w:val="both"/>
        <w:ind w:left="120" w:right="4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No action is being taken in any jurisdiction outside the United States to permit a public offering of our common stock. Persons who come into possession of this prospectus supplement or the accompanying prospectus in jurisdictions outside the United States are required to inform themselves about and to observe any restriction as to this offering and the distribution of this prospectus applicable to those jurisdictions.</w:t>
      </w:r>
    </w:p>
    <w:p>
      <w:pPr>
        <w:spacing w:after="0" w:line="8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Unless expressly indicated or the context requires otherwise, the terms “Sotera Health,” “Company,” “we,” “us,” and “our” in this document refer to Sotera Health Company, a Delaware corporation, and, where appropriate, its subsidiaries on a consolidated basis.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document consists of two parts. The first part is this prospectus supplement, which describes the specific terms of this offering. The second part is the accompanying prospectus, which describes more general information, some of which may not apply to this offering. You should read both this prospectus supplement and the accompanying prospectus, together with the documents incorporated by reference and the additional information described in the accompanying prospectus under the heading “Where You Can Find More Information” and “Incorporation by Reference.”</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If the description of the offering varies between this prospectus supplement and the accompanying prospectus, you should rely on the information in this prospectus supplement.</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Any statement made in this prospectus supplement or in a document incorporated or deemed to be incorporated by reference in this prospectus supplement will be deemed to be modified or superseded for purposes of this prospectus supplement to the extent that a statement contained in this prospectus supplement or in any other subsequently filed document that is also incorporated or deemed to be incorporated by reference in this prospectus supplement modifies or supersedes that statement. Any statement so modified or superseded will not be deemed, except as so modified or superseded, to constitute a part of this prospectus supplement. The information we have included in this prospectus supplement and the accompanying prospectus is accurate only as of the date of this prospectus supplement or the accompanying prospectus, and any information we have incorporated by reference is accurate only as of the date of the document incorporated by reference. Our business, financial condition, results of operations and prospects may have changed since any such dates.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Historical and current market data used throughout this prospectus supplement or incorporated herein were obtained from internal company analyses, consultants’ reports and industry publications. Industry surveys and publications generally state that the information contained therein has been obtained from sources believed to be reliable. This information involves many assumptions and limitations, and you are cautioned not to give undue weight to these estimates and information. We have not independently verified this market data. While we are not aware of any misstatements regarding any industry or similar data presented herein, such data involve risks and uncertainties and are subject to change based on various factors, including those discussed under the “Risk Factors” section in this prospectus supplement and in our Annual Report (as defined below), as updated by “Risk Factors” in Part II, Item 1A of our Quarterly Report on Form 10-Q for the quarter ended March 31, 2024.</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5561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45561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right="80"/>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important information about this offering and information contained elsewhere or incorporated by reference in this prospectus supplement and the accompanying prospectus. This summary does not contain all the information that you should consider before investing in our common stock. You should read the entire prospectus supplement and the accompanying prospectus carefully, as well as the additional materials described under the captions “Where You Can Find More Information” and “Incorporation By Reference” in this prospectus supplement and in the accompanying prospectus, including “Risk Factors” beginning on page S-11 of this prospectus supplement and “Risk Factors” in Part I, Item 1A of our Annual Report on Form 10-K for the year ended December 31, 2023 (the “Annual Report”), as updated by “Risk Factors” in Part II, Item 1A of our Quarterly Report on Form 10-Q for the quarter ended March 31, 2024.</w:t>
      </w:r>
    </w:p>
    <w:p>
      <w:pPr>
        <w:spacing w:after="0" w:line="18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firstLine="426"/>
        <w:spacing w:after="0" w:line="238" w:lineRule="auto"/>
        <w:rPr>
          <w:sz w:val="20"/>
          <w:szCs w:val="20"/>
          <w:color w:val="auto"/>
        </w:rPr>
      </w:pPr>
      <w:r>
        <w:rPr>
          <w:rFonts w:ascii="Times New Roman" w:cs="Times New Roman" w:eastAsia="Times New Roman" w:hAnsi="Times New Roman"/>
          <w:sz w:val="18"/>
          <w:szCs w:val="18"/>
          <w:color w:val="auto"/>
        </w:rPr>
        <w:t>We are a leading global provider of mission-critical end-to-end sterilization solutions, lab testing and advisory services for the healthcare industry. We are driven by our mission: Safeguarding Global Health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We provide end-to-end sterilization as well as microbiological and analytical lab testing and advisory services to help ensure that medical, pharmaceutical and food products are safe for healthcare practitioners, patients and consumers in the United States and around the world. Our customers include over 40 of the top 50 medical device companies and nine of the top ten global pharmaceutical companies (based on revenue). Our services are an essential aspect of our customers’ manufacturing processes and supply chains, helping to ensure sterilized medical products reach healthcare practitioners and patients. Most of our services are necessary for our customers to satisfy applicable government requirements.</w:t>
      </w:r>
    </w:p>
    <w:p>
      <w:pPr>
        <w:spacing w:after="0" w:line="200"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We are a trusted partner to approximately 5,000 customers in over 50 countries. We give our customers confidence that their products meet regulatory, safety and effectiveness requirements. With our industry-recognized scientific and technological expertise, we help to ensure the safety of millions of patients and healthcare practitioners around the world. Across our 63 facilities worldwide, we have over 3,000 employees who are dedicated to safety and quality.</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Sotera Health Company was incorporated in Delaware in November 2017 as the parent company for Sterigenics, Nordion and Nelson Labs.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corporate headquarters and principal executive offices are located at 9100 South Hills Boulevard, Suite 300, Broadview Heights, Ohio 44147.</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telephone number is (440) 262-1410.</w:t>
      </w:r>
    </w:p>
    <w:p>
      <w:pPr>
        <w:spacing w:after="0" w:line="32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20"/>
          </w:cols>
          <w:pgMar w:left="320" w:top="455" w:right="6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87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59874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0860"/>
          </w:cols>
          <w:pgMar w:left="320" w:top="455" w:right="719" w:bottom="1440" w:gutter="0" w:footer="0" w:header="0"/>
        </w:sectPr>
      </w:pPr>
    </w:p>
    <w:p>
      <w:pPr>
        <w:spacing w:after="0" w:line="256" w:lineRule="exact"/>
        <w:rPr>
          <w:sz w:val="20"/>
          <w:szCs w:val="20"/>
          <w:color w:val="auto"/>
        </w:rPr>
      </w:pPr>
    </w:p>
    <w:p>
      <w:pPr>
        <w:ind w:left="300" w:right="60"/>
        <w:spacing w:after="0" w:line="406" w:lineRule="auto"/>
        <w:rPr>
          <w:sz w:val="20"/>
          <w:szCs w:val="20"/>
          <w:color w:val="auto"/>
        </w:rPr>
      </w:pPr>
      <w:r>
        <w:rPr>
          <w:rFonts w:ascii="Times New Roman" w:cs="Times New Roman" w:eastAsia="Times New Roman" w:hAnsi="Times New Roman"/>
          <w:sz w:val="18"/>
          <w:szCs w:val="18"/>
          <w:color w:val="auto"/>
        </w:rPr>
        <w:t>Common stock offered by the selling stockholders Selling stockholders</w:t>
      </w:r>
    </w:p>
    <w:p>
      <w:pPr>
        <w:spacing w:after="0" w:line="2" w:lineRule="exact"/>
        <w:rPr>
          <w:sz w:val="20"/>
          <w:szCs w:val="20"/>
          <w:color w:val="auto"/>
        </w:rPr>
      </w:pPr>
    </w:p>
    <w:p>
      <w:pPr>
        <w:ind w:left="300"/>
        <w:spacing w:after="0" w:line="438" w:lineRule="auto"/>
        <w:rPr>
          <w:sz w:val="20"/>
          <w:szCs w:val="20"/>
          <w:color w:val="auto"/>
        </w:rPr>
      </w:pPr>
      <w:r>
        <w:rPr>
          <w:rFonts w:ascii="Times New Roman" w:cs="Times New Roman" w:eastAsia="Times New Roman" w:hAnsi="Times New Roman"/>
          <w:sz w:val="18"/>
          <w:szCs w:val="18"/>
          <w:color w:val="auto"/>
        </w:rPr>
        <w:t>Common stock to be outstanding after this offering Use of proceeds</w:t>
      </w:r>
    </w:p>
    <w:p>
      <w:pPr>
        <w:spacing w:after="0" w:line="3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Effect of the offering on Sponsor rights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 xml:space="preserve">       </w:t>
        <w:tab/>
        <w:t>shares.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“Selling Stockholders.”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283,214,342 shares.</w:t>
      </w:r>
    </w:p>
    <w:p>
      <w:pPr>
        <w:spacing w:after="0" w:line="14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selling stockholders will receive all of the net proceeds from the sale of shares of common stock in this offering. We will not receive any proceeds from the sale of shares of common stock by the selling stockholders.</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Certain affiliates of Warburg Pincus LLC (“Warburg Pincus”) and GTCR LLC (“GTCR” and, together with Warburg Pincus, our “Sponsors”) have special rights relating to our corporate governance. For more information, see “Certain Sponsor Rights” in our Definitive Proxy Statement on Schedule 14A, which is incorporated by reference in this prospectus supplement. We expect that, as a result of this offering, our Sponsors will cease to own a majority of our outstanding common stock, which will affect certain of these rights, and related matters. In particular, upon our Sponsors ceasing to own a majority of our outstanding common stock:</w:t>
      </w:r>
    </w:p>
    <w:p>
      <w:pPr>
        <w:spacing w:after="0" w:line="97" w:lineRule="exact"/>
        <w:rPr>
          <w:sz w:val="20"/>
          <w:szCs w:val="20"/>
          <w:color w:val="auto"/>
        </w:rPr>
      </w:pPr>
    </w:p>
    <w:p>
      <w:pPr>
        <w:ind w:left="500" w:right="320" w:hanging="289"/>
        <w:spacing w:after="0" w:line="266" w:lineRule="auto"/>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 longer qualify as a “controlled company” within the meaning of the Nasdaq corporate governance standards (although we do not currently avail ourselves of related exemptions).</w:t>
      </w:r>
    </w:p>
    <w:p>
      <w:pPr>
        <w:spacing w:after="0" w:line="81" w:lineRule="exact"/>
        <w:rPr>
          <w:rFonts w:ascii="Times New Roman" w:cs="Times New Roman" w:eastAsia="Times New Roman" w:hAnsi="Times New Roman"/>
          <w:sz w:val="18"/>
          <w:szCs w:val="18"/>
          <w:color w:val="auto"/>
        </w:rPr>
      </w:pPr>
    </w:p>
    <w:p>
      <w:pPr>
        <w:ind w:left="500" w:right="280" w:hanging="289"/>
        <w:spacing w:after="0" w:line="266" w:lineRule="auto"/>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of certain provisions of our amended and restated certificate of incorporation and amended and restated bylaws will require a 66 2/3% majority approval in place of a simple majority.</w:t>
      </w:r>
    </w:p>
    <w:p>
      <w:pPr>
        <w:spacing w:after="0" w:line="81" w:lineRule="exact"/>
        <w:rPr>
          <w:rFonts w:ascii="Times New Roman" w:cs="Times New Roman" w:eastAsia="Times New Roman" w:hAnsi="Times New Roman"/>
          <w:sz w:val="18"/>
          <w:szCs w:val="18"/>
          <w:color w:val="auto"/>
        </w:rPr>
      </w:pPr>
    </w:p>
    <w:p>
      <w:pPr>
        <w:ind w:left="500" w:hanging="289"/>
        <w:spacing w:after="0" w:line="266" w:lineRule="auto"/>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actions of stockholders which could have been taken without prior notice and not at an annual or special meeting of stockholders will require such notice and forum.</w:t>
      </w:r>
    </w:p>
    <w:p>
      <w:pPr>
        <w:spacing w:after="0" w:line="81" w:lineRule="exact"/>
        <w:rPr>
          <w:rFonts w:ascii="Times New Roman" w:cs="Times New Roman" w:eastAsia="Times New Roman" w:hAnsi="Times New Roman"/>
          <w:sz w:val="18"/>
          <w:szCs w:val="18"/>
          <w:color w:val="auto"/>
        </w:rPr>
      </w:pPr>
    </w:p>
    <w:p>
      <w:pPr>
        <w:ind w:left="500" w:hanging="289"/>
        <w:spacing w:after="0"/>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calling of special meetings of stockholders will be limited.</w:t>
      </w:r>
    </w:p>
    <w:p>
      <w:pPr>
        <w:spacing w:after="0" w:line="130" w:lineRule="exact"/>
        <w:rPr>
          <w:rFonts w:ascii="Times New Roman" w:cs="Times New Roman" w:eastAsia="Times New Roman" w:hAnsi="Times New Roman"/>
          <w:sz w:val="18"/>
          <w:szCs w:val="18"/>
          <w:color w:val="auto"/>
        </w:rPr>
      </w:pPr>
    </w:p>
    <w:p>
      <w:pPr>
        <w:ind w:left="500" w:right="240" w:hanging="289"/>
        <w:spacing w:after="0" w:line="266" w:lineRule="auto"/>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Removal for cause of directors designated by the Sponsors will require the affirmative vote of at least 75% of the voting power of our outstanding common stock.</w:t>
      </w:r>
    </w:p>
    <w:p>
      <w:pPr>
        <w:spacing w:after="0" w:line="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additional information, see “Risk Factors – Risks Related to the Offering and Our Common Stock” — “Although we do not currently rely on the ‘controlled company’ exemption, we expect to lose our status as a ‘controlled company’ within the meaning of the Nasdaq corporate governance standards following this offering and cease to qualify for exemptions from certain corporate governance requirements”, “If the ownership of our common stock continues to be highly concentrated, it may prevent minority stockholders from</w:t>
      </w:r>
    </w:p>
    <w:p>
      <w:pPr>
        <w:spacing w:after="0" w:line="200" w:lineRule="exact"/>
        <w:rPr>
          <w:sz w:val="20"/>
          <w:szCs w:val="20"/>
          <w:color w:val="auto"/>
        </w:rPr>
      </w:pPr>
    </w:p>
    <w:p>
      <w:pPr>
        <w:sectPr>
          <w:pgSz w:w="11900" w:h="16838" w:orient="portrait"/>
          <w:cols w:equalWidth="0" w:num="2">
            <w:col w:w="3980" w:space="360"/>
            <w:col w:w="6520"/>
          </w:cols>
          <w:pgMar w:left="320" w:top="455" w:right="719" w:bottom="1440" w:gutter="0" w:footer="0" w:header="0"/>
          <w:type w:val="continuous"/>
        </w:sectPr>
      </w:pPr>
    </w:p>
    <w:p>
      <w:pPr>
        <w:spacing w:after="0" w:line="11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S-4</w:t>
      </w:r>
    </w:p>
    <w:p>
      <w:pPr>
        <w:sectPr>
          <w:pgSz w:w="11900" w:h="16838" w:orient="portrait"/>
          <w:cols w:equalWidth="0" w:num="1">
            <w:col w:w="10860"/>
          </w:cols>
          <w:pgMar w:left="320" w:top="455" w:right="71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8304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48304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340" w:right="120"/>
        <w:spacing w:after="0" w:line="253" w:lineRule="auto"/>
        <w:rPr>
          <w:sz w:val="20"/>
          <w:szCs w:val="20"/>
          <w:color w:val="auto"/>
        </w:rPr>
      </w:pPr>
      <w:r>
        <w:rPr>
          <w:rFonts w:ascii="Times New Roman" w:cs="Times New Roman" w:eastAsia="Times New Roman" w:hAnsi="Times New Roman"/>
          <w:sz w:val="18"/>
          <w:szCs w:val="18"/>
          <w:color w:val="auto"/>
        </w:rPr>
        <w:t>influencing significant corporate decisions and may result in conflicts of interest” and “Anti-takeover provisions in our amended and restated certificate of incorporation, amended and restated bylaws and our Stockholders’ Agreement, as well as Delaware law, could discourage a change in control of our company or a change in our management.” Additionally, the number of directors that each of our Sponsors is entitled to designate for election to our board of directors declines as that Sponsor’s ownership of our shares falls below set percentage thresholds. See “Certain Sponsor Rights” in our Definitive Proxy Statement on Schedule 14A, which is incorporated by reference in this prospectus supplement. As a result of this offering, the number of directors that GTCR is expected to be entitled to designate will be reduced from three to two.</w:t>
      </w:r>
    </w:p>
    <w:p>
      <w:pPr>
        <w:sectPr>
          <w:pgSz w:w="11900" w:h="16838" w:orient="portrait"/>
          <w:cols w:equalWidth="0" w:num="1">
            <w:col w:w="10920"/>
          </w:cols>
          <w:pgMar w:left="320" w:top="455" w:right="659" w:bottom="1440" w:gutter="0" w:footer="0" w:header="0"/>
        </w:sectPr>
      </w:pPr>
    </w:p>
    <w:p>
      <w:pPr>
        <w:spacing w:after="0" w:line="1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Dividend policy</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currently do not expect to pay dividends on our common stock. Instead, we anticipate that all of our earnings in the foreseeable future will be used for the operation and growth of our business and the repayment of indebtedness. See “Dividend Policy.”</w:t>
      </w:r>
    </w:p>
    <w:p>
      <w:pPr>
        <w:spacing w:after="0" w:line="81"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ind w:right="320"/>
        <w:spacing w:after="0" w:line="266"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See “Risk Factors” for a discussion of factors you should carefully consider before deciding to invest in our common stock.</w:t>
      </w:r>
    </w:p>
    <w:p>
      <w:pPr>
        <w:spacing w:after="0" w:line="81"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color w:val="auto"/>
        </w:rPr>
        <w:t>Nasdaq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“SHC”</w:t>
      </w:r>
    </w:p>
    <w:p>
      <w:pPr>
        <w:spacing w:after="0" w:line="211"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39" w:lineRule="exact"/>
        <w:rPr>
          <w:sz w:val="20"/>
          <w:szCs w:val="20"/>
          <w:color w:val="auto"/>
        </w:rPr>
      </w:pPr>
    </w:p>
    <w:p>
      <w:pPr>
        <w:ind w:left="300" w:right="400" w:firstLine="426"/>
        <w:spacing w:after="0" w:line="282" w:lineRule="auto"/>
        <w:rPr>
          <w:sz w:val="20"/>
          <w:szCs w:val="20"/>
          <w:color w:val="auto"/>
        </w:rPr>
      </w:pPr>
      <w:r>
        <w:rPr>
          <w:rFonts w:ascii="Times New Roman" w:cs="Times New Roman" w:eastAsia="Times New Roman" w:hAnsi="Times New Roman"/>
          <w:sz w:val="18"/>
          <w:szCs w:val="18"/>
          <w:color w:val="auto"/>
        </w:rPr>
        <w:t>Except as otherwise noted, the number of shares of common stock to be outstanding after the offering is based on 283,214,342 shares of common stock outstanding as of July 29, 2024 and excludes as of such date:</w:t>
      </w:r>
    </w:p>
    <w:p>
      <w:pPr>
        <w:spacing w:after="0" w:line="67" w:lineRule="exact"/>
        <w:rPr>
          <w:sz w:val="20"/>
          <w:szCs w:val="20"/>
          <w:color w:val="auto"/>
        </w:rPr>
      </w:pPr>
    </w:p>
    <w:p>
      <w:pPr>
        <w:ind w:left="1240" w:right="40" w:hanging="415"/>
        <w:spacing w:after="0" w:line="261"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8,478,579 shares of common stock issuable upon the exercise of outstanding options as of June 30, 2024, with a weighted average exercise price of $15.02 per share (provided that 43,309 shares of common stock are no longer issuable upon the exercise of outstanding options due to forfeitures subsequent to June 30, 2024, such forfeited options having a weighted-average exercise price of $17.20 per share);</w:t>
      </w:r>
    </w:p>
    <w:p>
      <w:pPr>
        <w:spacing w:after="0" w:line="85" w:lineRule="exact"/>
        <w:rPr>
          <w:rFonts w:ascii="Times New Roman" w:cs="Times New Roman" w:eastAsia="Times New Roman" w:hAnsi="Times New Roman"/>
          <w:sz w:val="18"/>
          <w:szCs w:val="18"/>
          <w:color w:val="auto"/>
        </w:rPr>
      </w:pPr>
    </w:p>
    <w:p>
      <w:pPr>
        <w:ind w:left="1240" w:right="180" w:hanging="415"/>
        <w:spacing w:after="0" w:line="258"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2,877,390 shares issuable pursuant to restricted stock units (“RSUs”) outstanding as of June 30, 2024 (provided that 46,580 of such shares of common stock have ceased to be issuable due to forfeitures of RSUs subsequent to June 30, 2024, and there are no such shares of common stock that have ceased to be issuable due to the vesting and settlement of RSUs subsequent to June 30, 2024 (and any shares of common stock that are outstanding following the satisfaction of tax withholding obligations in respect of such vested RSUs are included in the number of shares of common stock outstanding as of July 29, 2024 set forth above)); and</w:t>
      </w:r>
    </w:p>
    <w:p>
      <w:pPr>
        <w:spacing w:after="0" w:line="88"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15,418,329 additional shares of common stock reserved for future issuance under our 2020 Omnibus Incentive Plan (the “2020 Plan”).</w:t>
      </w:r>
    </w:p>
    <w:p>
      <w:pPr>
        <w:spacing w:after="0" w:line="3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920"/>
          </w:cols>
          <w:pgMar w:left="320" w:top="455" w:right="6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503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64503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HISTORICAL CONSOLIDATED FINANCIAL AND OTHER DATA</w:t>
      </w:r>
    </w:p>
    <w:p>
      <w:pPr>
        <w:spacing w:after="0" w:line="229" w:lineRule="exact"/>
        <w:rPr>
          <w:sz w:val="20"/>
          <w:szCs w:val="20"/>
          <w:color w:val="auto"/>
        </w:rPr>
      </w:pPr>
    </w:p>
    <w:p>
      <w:pPr>
        <w:ind w:left="300" w:right="200" w:firstLine="426"/>
        <w:spacing w:after="0" w:line="256" w:lineRule="auto"/>
        <w:rPr>
          <w:sz w:val="20"/>
          <w:szCs w:val="20"/>
          <w:color w:val="auto"/>
        </w:rPr>
      </w:pPr>
      <w:r>
        <w:rPr>
          <w:rFonts w:ascii="Times New Roman" w:cs="Times New Roman" w:eastAsia="Times New Roman" w:hAnsi="Times New Roman"/>
          <w:sz w:val="18"/>
          <w:szCs w:val="18"/>
          <w:color w:val="auto"/>
        </w:rPr>
        <w:t>The following tables present our summary historical consolidated financial and other data. The summary historical consolidated statements of operations data and statements of cash flows data for the years ended December 31, 2023, 2022 and 2021 and the summary historical balance sheet data as of December 31, 2023 and December 31, 2022 have been derived from our audited consolidated financial statements incorporated by reference from our Annual Report. The summary historical consolidated statements of operations data and statements of cash flows data for the six months ended June 30, 2024 and 2023 and the summary historical balance sheet data as of June 30, 2024 have been derived from our unaudited consolidated interim financial statements incorporated by reference from our Quarterly Report on Form 10-Q for the quarter ended June 30, 2024.</w:t>
      </w:r>
    </w:p>
    <w:p>
      <w:pPr>
        <w:spacing w:after="0" w:line="187" w:lineRule="exact"/>
        <w:rPr>
          <w:sz w:val="20"/>
          <w:szCs w:val="20"/>
          <w:color w:val="auto"/>
        </w:rPr>
      </w:pPr>
    </w:p>
    <w:p>
      <w:pPr>
        <w:ind w:left="300" w:right="300" w:firstLine="426"/>
        <w:spacing w:after="0" w:line="258" w:lineRule="auto"/>
        <w:rPr>
          <w:sz w:val="20"/>
          <w:szCs w:val="20"/>
          <w:color w:val="auto"/>
        </w:rPr>
      </w:pPr>
      <w:r>
        <w:rPr>
          <w:rFonts w:ascii="Times New Roman" w:cs="Times New Roman" w:eastAsia="Times New Roman" w:hAnsi="Times New Roman"/>
          <w:sz w:val="18"/>
          <w:szCs w:val="18"/>
          <w:color w:val="auto"/>
        </w:rPr>
        <w:t>The following summary consolidated financial data should be read in conjunction with the information contained in “Risk Factors” in this prospectus supplement and “Management’s Discussion and Analysis of Financial Condition and Results of Operations” and the consolidated financial statements and related notes thereto incorporated by reference from our Annual Report and from our unaudited consolidated interim financial statements incorporated by reference from our Quarterly Report on Form 10-Q for the quarter ended June 30, 2024. Our historical results are not necessarily indicative of our results in any future period.</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0" w:type="dxa"/>
            <w:vAlign w:val="bottom"/>
            <w:gridSpan w:val="7"/>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7"/>
        </w:trPr>
        <w:tc>
          <w:tcPr>
            <w:tcW w:w="18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4"/>
          </w:tcPr>
          <w:p>
            <w:pPr>
              <w:jc w:val="center"/>
              <w:ind w:left="636"/>
              <w:spacing w:after="0" w:line="147" w:lineRule="exact"/>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5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0" w:type="dxa"/>
            <w:vAlign w:val="bottom"/>
            <w:gridSpan w:val="7"/>
          </w:tcPr>
          <w:p>
            <w:pPr>
              <w:jc w:val="center"/>
              <w:ind w:right="30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0" w:type="dxa"/>
            <w:vAlign w:val="bottom"/>
          </w:tcPr>
          <w:p>
            <w:pPr>
              <w:spacing w:after="0"/>
              <w:rPr>
                <w:sz w:val="1"/>
                <w:szCs w:val="1"/>
                <w:color w:val="auto"/>
              </w:rPr>
            </w:pPr>
          </w:p>
        </w:tc>
      </w:tr>
      <w:tr>
        <w:trPr>
          <w:trHeight w:val="142"/>
        </w:trPr>
        <w:tc>
          <w:tcPr>
            <w:tcW w:w="45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top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center"/>
              <w:ind w:left="13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2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Borders>
              <w:top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3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905,598</w:t>
            </w:r>
          </w:p>
        </w:tc>
        <w:tc>
          <w:tcPr>
            <w:tcW w:w="2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864,828</w:t>
            </w: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805,501</w:t>
            </w: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464,237</w:t>
            </w:r>
          </w:p>
        </w:tc>
        <w:tc>
          <w:tcPr>
            <w:tcW w:w="2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440,560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143,690</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138,859</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125,977</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60,533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2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1,049,288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1,003,687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931,478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524,770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475,872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418,611</w:t>
            </w:r>
          </w:p>
        </w:tc>
        <w:tc>
          <w:tcPr>
            <w:tcW w:w="2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390,860</w:t>
            </w: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357,205</w:t>
            </w: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219,988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208,110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53,519</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55,823</w:t>
            </w:r>
          </w:p>
        </w:tc>
        <w:tc>
          <w:tcPr>
            <w:tcW w:w="2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55,601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16,671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2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472,130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446,683</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412,806</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244,864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224,781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577,158</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557,004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518,672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279,906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251,091</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236,667</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245,714</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198,158</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118,784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122,197</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63,799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62,940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63,781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31,149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32,324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300,466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308,654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261,939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149,933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   154,521</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276,692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248,350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256,733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129,973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142,878</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80,144</w:t>
            </w:r>
          </w:p>
        </w:tc>
        <w:tc>
          <w:tcPr>
            <w:tcW w:w="2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74,192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82,159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59,598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Georgia EO litigation settlement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Illinois EO litigation settlement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of investment in unconsolidated affiliate</w:t>
            </w:r>
          </w:p>
        </w:tc>
        <w:tc>
          <w:tcPr>
            <w:tcW w:w="2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9,613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20,681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exchange loss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280" w:type="dxa"/>
            <w:vAlign w:val="bottom"/>
          </w:tcPr>
          <w:p>
            <w:pPr>
              <w:spacing w:after="0"/>
              <w:rPr>
                <w:sz w:val="18"/>
                <w:szCs w:val="18"/>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(1,183)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(7,372)</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(6,441)</w:t>
            </w:r>
          </w:p>
        </w:tc>
        <w:tc>
          <w:tcPr>
            <w:tcW w:w="12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(15,201)</w:t>
            </w: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(3,727)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106,027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(243,111)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175,716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26,156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54,651</w:t>
            </w:r>
          </w:p>
        </w:tc>
        <w:tc>
          <w:tcPr>
            <w:tcW w:w="2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(9,541)</w:t>
            </w: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58,595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13,532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51,376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(233,570)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117,121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180" w:type="dxa"/>
            <w:vAlign w:val="bottom"/>
            <w:tcBorders>
              <w:bottom w:val="single" w:sz="8" w:color="auto"/>
            </w:tcBorders>
          </w:tcPr>
          <w:p>
            <w:pPr>
              <w:spacing w:after="0"/>
              <w:rPr>
                <w:sz w:val="14"/>
                <w:szCs w:val="14"/>
                <w:color w:val="auto"/>
              </w:rPr>
            </w:pPr>
          </w:p>
        </w:tc>
        <w:tc>
          <w:tcPr>
            <w:tcW w:w="4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S-6</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531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595312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6"/>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5"/>
        </w:trPr>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4"/>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0" w:type="dxa"/>
            <w:vAlign w:val="bottom"/>
          </w:tcPr>
          <w:p>
            <w:pPr>
              <w:spacing w:after="0"/>
              <w:rPr>
                <w:sz w:val="1"/>
                <w:szCs w:val="1"/>
                <w:color w:val="auto"/>
              </w:rPr>
            </w:pPr>
          </w:p>
        </w:tc>
      </w:tr>
      <w:tr>
        <w:trPr>
          <w:trHeight w:val="142"/>
        </w:trPr>
        <w:tc>
          <w:tcPr>
            <w:tcW w:w="546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Less: Net income attributable to noncontrolling interests</w:t>
            </w:r>
          </w:p>
        </w:tc>
        <w:tc>
          <w:tcPr>
            <w:tcW w:w="5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the company</w:t>
            </w:r>
          </w:p>
        </w:tc>
        <w:tc>
          <w:tcPr>
            <w:tcW w:w="56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51,376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(233,570</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116,882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2"/>
              </w:rPr>
              <w:t>15,077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income, net of tax:</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(10,506)</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20,790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26,562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20,939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(2,042)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(64,816)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(16,395)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(50,816)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65,347</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96"/>
              </w:rPr>
              <w:t>(256,657)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127,692</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(37,638)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the company</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65,347</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96"/>
              </w:rPr>
              <w:t>(256,657)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127,158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(37,638)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53,704</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Earnings (loss) per share:</w:t>
            </w: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0.18</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(0.83)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0.41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Selected cash flow data:</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(147,732)</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277,961</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281,545</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70,994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(302,704)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(214,906)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w w:val="96"/>
              </w:rPr>
              <w:t>(181,896)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(159,833)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(76,774)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197,761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(117,286)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(41,362)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data:</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Adjusted Net Income</w:t>
            </w:r>
            <w:r>
              <w:rPr>
                <w:rFonts w:ascii="Times New Roman" w:cs="Times New Roman" w:eastAsia="Times New Roman" w:hAnsi="Times New Roman"/>
                <w:sz w:val="25"/>
                <w:szCs w:val="25"/>
                <w:color w:val="auto"/>
                <w:vertAlign w:val="superscript"/>
              </w:rPr>
              <w:t>(a)</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204,326</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270,219</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245,782</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90,816</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5"/>
                <w:szCs w:val="25"/>
                <w:color w:val="auto"/>
                <w:vertAlign w:val="superscript"/>
              </w:rPr>
              <w:t>(a)</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528,029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506,249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481,229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 249,279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720" w:right="60" w:hanging="422"/>
        <w:spacing w:after="0" w:line="261"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and Adjusted EBITDA are non-GAAP financial measures. For more information regarding our calculation of Adjusted Net Income and Adjusted EBITDA, including information about their limitations as tools for analysis and a reconciliation of net income (loss), the most directly comparable financial measure calculated and presented in accordance with GAAP (as defined below), to Adjusted Net Income and Adjusted EBITDA, see “—Non-GAAP Financial Measures.”</w:t>
      </w:r>
    </w:p>
    <w:p>
      <w:pPr>
        <w:spacing w:after="0" w:line="18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40" w:type="dxa"/>
            <w:vAlign w:val="bottom"/>
            <w:gridSpan w:val="4"/>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80" w:type="dxa"/>
            <w:vAlign w:val="bottom"/>
          </w:tcPr>
          <w:p>
            <w:pPr>
              <w:spacing w:after="0"/>
              <w:rPr>
                <w:sz w:val="13"/>
                <w:szCs w:val="13"/>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0" w:type="dxa"/>
            <w:vAlign w:val="bottom"/>
          </w:tcPr>
          <w:p>
            <w:pPr>
              <w:spacing w:after="0"/>
              <w:rPr>
                <w:sz w:val="1"/>
                <w:szCs w:val="1"/>
                <w:color w:val="auto"/>
              </w:rPr>
            </w:pPr>
          </w:p>
        </w:tc>
      </w:tr>
      <w:tr>
        <w:trPr>
          <w:trHeight w:val="175"/>
        </w:trPr>
        <w:tc>
          <w:tcPr>
            <w:tcW w:w="7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4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0" w:type="dxa"/>
            <w:vAlign w:val="bottom"/>
          </w:tcPr>
          <w:p>
            <w:pPr>
              <w:spacing w:after="0"/>
              <w:rPr>
                <w:sz w:val="1"/>
                <w:szCs w:val="1"/>
                <w:color w:val="auto"/>
              </w:rPr>
            </w:pPr>
          </w:p>
        </w:tc>
      </w:tr>
      <w:tr>
        <w:trPr>
          <w:trHeight w:val="142"/>
        </w:trPr>
        <w:tc>
          <w:tcPr>
            <w:tcW w:w="7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Borders>
              <w:top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180" w:type="dxa"/>
            <w:vAlign w:val="bottom"/>
            <w:tcBorders>
              <w:top w:val="single" w:sz="8" w:color="auto"/>
            </w:tcBorders>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0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Balance Sheet Data</w:t>
            </w: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Cash and cash equivalents</w:t>
            </w:r>
            <w:r>
              <w:rPr>
                <w:rFonts w:ascii="Times New Roman" w:cs="Times New Roman" w:eastAsia="Times New Roman" w:hAnsi="Times New Roman"/>
                <w:sz w:val="25"/>
                <w:szCs w:val="25"/>
                <w:color w:val="auto"/>
                <w:vertAlign w:val="superscript"/>
              </w:rPr>
              <w:t>(a)</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296,407</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395,214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246,084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Working capital</w:t>
            </w:r>
            <w:r>
              <w:rPr>
                <w:rFonts w:ascii="Times New Roman" w:cs="Times New Roman" w:eastAsia="Times New Roman" w:hAnsi="Times New Roman"/>
                <w:sz w:val="25"/>
                <w:szCs w:val="25"/>
                <w:color w:val="auto"/>
                <w:vertAlign w:val="superscript"/>
              </w:rPr>
              <w:t>(b)</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326,590</w:t>
            </w: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(146,557)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328,044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3,130,420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3,117,705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3,057,818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Total long-term debt (including current portion, less unamortized debt issuance costs and debt</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discounts)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2,228,471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1,944,234</w:t>
            </w:r>
          </w:p>
        </w:tc>
        <w:tc>
          <w:tcPr>
            <w:tcW w:w="2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2,224,610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2,686,686</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2,767,467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2,635,054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443,734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350,238</w:t>
            </w:r>
          </w:p>
        </w:tc>
        <w:tc>
          <w:tcPr>
            <w:tcW w:w="2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422,764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00"/>
        <w:spacing w:after="0"/>
        <w:tabs>
          <w:tab w:leader="none" w:pos="700" w:val="left"/>
        </w:tabs>
        <w:rPr>
          <w:sz w:val="20"/>
          <w:szCs w:val="20"/>
          <w:color w:val="auto"/>
        </w:rPr>
      </w:pPr>
      <w:r>
        <w:rPr>
          <w:rFonts w:ascii="Times New Roman" w:cs="Times New Roman" w:eastAsia="Times New Roman" w:hAnsi="Times New Roman"/>
          <w:sz w:val="18"/>
          <w:szCs w:val="18"/>
          <w:color w:val="auto"/>
        </w:rPr>
        <w:t>(a)</w:t>
        <w:tab/>
        <w:t>Cash and cash equivalents excludes restricted cash.</w:t>
      </w:r>
    </w:p>
    <w:p>
      <w:pPr>
        <w:spacing w:after="0" w:line="131" w:lineRule="exact"/>
        <w:rPr>
          <w:sz w:val="20"/>
          <w:szCs w:val="20"/>
          <w:color w:val="auto"/>
        </w:rPr>
      </w:pPr>
    </w:p>
    <w:p>
      <w:pPr>
        <w:ind w:left="300"/>
        <w:spacing w:after="0"/>
        <w:tabs>
          <w:tab w:leader="none" w:pos="700" w:val="left"/>
        </w:tabs>
        <w:rPr>
          <w:sz w:val="20"/>
          <w:szCs w:val="20"/>
          <w:color w:val="auto"/>
        </w:rPr>
      </w:pPr>
      <w:r>
        <w:rPr>
          <w:rFonts w:ascii="Times New Roman" w:cs="Times New Roman" w:eastAsia="Times New Roman" w:hAnsi="Times New Roman"/>
          <w:sz w:val="18"/>
          <w:szCs w:val="18"/>
          <w:color w:val="auto"/>
        </w:rPr>
        <w:t>(b)</w:t>
        <w:tab/>
        <w:t>Working capital represents current assets less current liabilities.</w:t>
      </w:r>
    </w:p>
    <w:p>
      <w:pPr>
        <w:spacing w:after="0" w:line="34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0940"/>
          </w:cols>
          <w:pgMar w:left="320" w:top="455" w:right="6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47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To supplement our consolidated financial statements presented in accordance with Generally Accepted Accounting Principles (“GAAP”), we consider Adjusted Net Income and Adjusted EBITDA, financial measures that are not based on any standardized methodology prescribed by GAAP.</w:t>
      </w:r>
    </w:p>
    <w:p>
      <w:pPr>
        <w:spacing w:after="0" w:line="135" w:lineRule="exact"/>
        <w:rPr>
          <w:sz w:val="20"/>
          <w:szCs w:val="20"/>
          <w:color w:val="auto"/>
        </w:rPr>
      </w:pPr>
    </w:p>
    <w:p>
      <w:pPr>
        <w:ind w:left="300" w:right="160" w:firstLine="426"/>
        <w:spacing w:after="0" w:line="261" w:lineRule="auto"/>
        <w:rPr>
          <w:sz w:val="20"/>
          <w:szCs w:val="20"/>
          <w:color w:val="auto"/>
        </w:rPr>
      </w:pPr>
      <w:r>
        <w:rPr>
          <w:rFonts w:ascii="Times New Roman" w:cs="Times New Roman" w:eastAsia="Times New Roman" w:hAnsi="Times New Roman"/>
          <w:sz w:val="18"/>
          <w:szCs w:val="18"/>
          <w:color w:val="auto"/>
        </w:rPr>
        <w:t>We define Adjusted Net Income as net income (loss) before amortization and certain other adjustments that we do not consider in our evaluation of our ongoing operating performance from period to period as discussed further below. We define Adjusted EBITDA as Adjusted Net Income before interest expense, depreciation (including depreciation of Cobalt-60 (“Co-60”) used in our operations) and income tax provision applicable to Adjusted Net Income.</w:t>
      </w:r>
    </w:p>
    <w:p>
      <w:pPr>
        <w:spacing w:after="0" w:line="153" w:lineRule="exact"/>
        <w:rPr>
          <w:sz w:val="20"/>
          <w:szCs w:val="20"/>
          <w:color w:val="auto"/>
        </w:rPr>
      </w:pPr>
    </w:p>
    <w:p>
      <w:pPr>
        <w:ind w:left="300" w:firstLine="426"/>
        <w:spacing w:after="0" w:line="270" w:lineRule="auto"/>
        <w:rPr>
          <w:sz w:val="20"/>
          <w:szCs w:val="20"/>
          <w:color w:val="auto"/>
        </w:rPr>
      </w:pPr>
      <w:r>
        <w:rPr>
          <w:rFonts w:ascii="Times New Roman" w:cs="Times New Roman" w:eastAsia="Times New Roman" w:hAnsi="Times New Roman"/>
          <w:sz w:val="17"/>
          <w:szCs w:val="17"/>
          <w:color w:val="auto"/>
        </w:rPr>
        <w:t>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their financial analysis and operational decision-making and Adjusted EBITDA serves as the basis for the metric we utilize to determine attainment of our primary annual incentive program. Adjusted Net Income and Adjusted EBITDA may be calculated differently from, and therefore may not be comparable to, a similarly titled measure used by other companies.</w:t>
      </w:r>
    </w:p>
    <w:p>
      <w:pPr>
        <w:spacing w:after="0" w:line="136"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Adjusted Net Income and Adjusted EBITDA should not be considered in isolation from, or as a substitute for, financial information prepared in accordance with GAAP. There are a number of limitations related to the use of Adjusted Net Income and Adjusted EBITDA rather than net income (loss), the nearest GAAP equivalent. For example, Adjusted Net Income and Adjusted EBITDA primarily exclude:</w:t>
      </w:r>
    </w:p>
    <w:p>
      <w:pPr>
        <w:spacing w:after="0" w:line="41" w:lineRule="exact"/>
        <w:rPr>
          <w:sz w:val="20"/>
          <w:szCs w:val="20"/>
          <w:color w:val="auto"/>
        </w:rPr>
      </w:pPr>
    </w:p>
    <w:p>
      <w:pPr>
        <w:ind w:left="700" w:right="80" w:hanging="307"/>
        <w:spacing w:after="0" w:line="282"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recurring non-cash charges such as depreciation of fixed assets, although these assets may have to be replaced in the future, as well as amortization of acquired intangible assets and asset retirement obligations;</w:t>
      </w:r>
    </w:p>
    <w:p>
      <w:pPr>
        <w:spacing w:after="0" w:line="26" w:lineRule="exact"/>
        <w:rPr>
          <w:rFonts w:ascii="Times New Roman" w:cs="Times New Roman" w:eastAsia="Times New Roman" w:hAnsi="Times New Roman"/>
          <w:sz w:val="18"/>
          <w:szCs w:val="18"/>
          <w:color w:val="auto"/>
        </w:rPr>
      </w:pPr>
    </w:p>
    <w:p>
      <w:pPr>
        <w:ind w:left="700" w:hanging="307"/>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acquiring and integrating businesses, which will continue to be a part of our growth strategy;</w:t>
      </w:r>
    </w:p>
    <w:p>
      <w:pPr>
        <w:spacing w:after="0" w:line="90" w:lineRule="exact"/>
        <w:rPr>
          <w:rFonts w:ascii="Times New Roman" w:cs="Times New Roman" w:eastAsia="Times New Roman" w:hAnsi="Times New Roman"/>
          <w:sz w:val="18"/>
          <w:szCs w:val="18"/>
          <w:color w:val="auto"/>
        </w:rPr>
      </w:pPr>
    </w:p>
    <w:p>
      <w:pPr>
        <w:ind w:left="700" w:right="400" w:hanging="307"/>
        <w:spacing w:after="0" w:line="282"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gains or losses from fluctuations in foreign currency exchange rates, and the mark-to-fair value of derivatives not designated as hedging instruments, which includes embedded derivatives relating to certain customer and supply contracts at Nordion;</w:t>
      </w:r>
    </w:p>
    <w:p>
      <w:pPr>
        <w:spacing w:after="0" w:line="26" w:lineRule="exact"/>
        <w:rPr>
          <w:rFonts w:ascii="Times New Roman" w:cs="Times New Roman" w:eastAsia="Times New Roman" w:hAnsi="Times New Roman"/>
          <w:sz w:val="18"/>
          <w:szCs w:val="18"/>
          <w:color w:val="auto"/>
        </w:rPr>
      </w:pPr>
    </w:p>
    <w:p>
      <w:pPr>
        <w:ind w:left="700" w:hanging="307"/>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on long-lived assets, intangible assets and investments accounted for under the equity method;</w:t>
      </w:r>
    </w:p>
    <w:p>
      <w:pPr>
        <w:spacing w:after="0" w:line="90" w:lineRule="exact"/>
        <w:rPr>
          <w:rFonts w:ascii="Times New Roman" w:cs="Times New Roman" w:eastAsia="Times New Roman" w:hAnsi="Times New Roman"/>
          <w:sz w:val="18"/>
          <w:szCs w:val="18"/>
          <w:color w:val="auto"/>
        </w:rPr>
      </w:pPr>
    </w:p>
    <w:p>
      <w:pPr>
        <w:ind w:left="700" w:hanging="307"/>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debt incurred in connection with refinancing or early extinguishment of long-term debt;</w:t>
      </w:r>
    </w:p>
    <w:p>
      <w:pPr>
        <w:spacing w:after="0" w:line="90" w:lineRule="exact"/>
        <w:rPr>
          <w:rFonts w:ascii="Times New Roman" w:cs="Times New Roman" w:eastAsia="Times New Roman" w:hAnsi="Times New Roman"/>
          <w:sz w:val="18"/>
          <w:szCs w:val="18"/>
          <w:color w:val="auto"/>
        </w:rPr>
      </w:pPr>
    </w:p>
    <w:p>
      <w:pPr>
        <w:ind w:left="700" w:hanging="307"/>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with the previous secondary offering of our common stock;</w:t>
      </w:r>
    </w:p>
    <w:p>
      <w:pPr>
        <w:spacing w:after="0" w:line="90" w:lineRule="exact"/>
        <w:rPr>
          <w:rFonts w:ascii="Times New Roman" w:cs="Times New Roman" w:eastAsia="Times New Roman" w:hAnsi="Times New Roman"/>
          <w:sz w:val="18"/>
          <w:szCs w:val="18"/>
          <w:color w:val="auto"/>
        </w:rPr>
      </w:pPr>
    </w:p>
    <w:p>
      <w:pPr>
        <w:ind w:left="700" w:right="40" w:hanging="307"/>
        <w:spacing w:after="0" w:line="266"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and charges related to the litigation, settlement agreements, EPA rulemaking and related activities associated with our ethylene oxide sterilization facilities, including those in Willowbrook, Illinois (which we closed in 2019), Atlanta, Georgia, Santa Teresa, New Mexico and Los Angeles, California;</w:t>
      </w:r>
    </w:p>
    <w:p>
      <w:pPr>
        <w:spacing w:after="0" w:line="40" w:lineRule="exact"/>
        <w:rPr>
          <w:rFonts w:ascii="Times New Roman" w:cs="Times New Roman" w:eastAsia="Times New Roman" w:hAnsi="Times New Roman"/>
          <w:sz w:val="18"/>
          <w:szCs w:val="18"/>
          <w:color w:val="auto"/>
        </w:rPr>
      </w:pPr>
    </w:p>
    <w:p>
      <w:pPr>
        <w:ind w:left="700" w:right="660" w:hanging="307"/>
        <w:spacing w:after="0" w:line="282"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Adjusted EBITDA, interest expense or the cash requirements necessary to service interest or principal payments on our indebtedness; and</w:t>
      </w:r>
    </w:p>
    <w:p>
      <w:pPr>
        <w:spacing w:after="0" w:line="26" w:lineRule="exact"/>
        <w:rPr>
          <w:rFonts w:ascii="Times New Roman" w:cs="Times New Roman" w:eastAsia="Times New Roman" w:hAnsi="Times New Roman"/>
          <w:sz w:val="18"/>
          <w:szCs w:val="18"/>
          <w:color w:val="auto"/>
        </w:rPr>
      </w:pPr>
    </w:p>
    <w:p>
      <w:pPr>
        <w:ind w:left="700" w:right="120" w:hanging="307"/>
        <w:spacing w:after="0" w:line="282"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expense, which has been, and will continue to be for the foreseeable future, a significant recurring expense and an important part of our compensation strategy.</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0940"/>
          </w:cols>
          <w:pgMar w:left="320" w:top="455" w:right="6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020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firstLine="426"/>
        <w:spacing w:after="0" w:line="281" w:lineRule="auto"/>
        <w:rPr>
          <w:sz w:val="20"/>
          <w:szCs w:val="20"/>
          <w:color w:val="auto"/>
        </w:rPr>
      </w:pPr>
      <w:r>
        <w:rPr>
          <w:rFonts w:ascii="Times New Roman" w:cs="Times New Roman" w:eastAsia="Times New Roman" w:hAnsi="Times New Roman"/>
          <w:sz w:val="17"/>
          <w:szCs w:val="17"/>
          <w:color w:val="auto"/>
        </w:rPr>
        <w:t>In evaluating Adjusted Net Income and Adjusted EBITDA, you should be aware that in the future, we will incur expenses similar to the adjustments in this presentation. Our presentations of Adjusted Net Income and Adjusted EBITDA should not be construed as suggesting that our future results will be unaffected by these expenses or any unusual or non-recurring items. When evaluating our performance, you should consider Adjusted Net Income and Adjusted EBITDA alongside other financial performance measures, including our net income and other GAAP measures.</w:t>
      </w:r>
    </w:p>
    <w:p>
      <w:pPr>
        <w:spacing w:after="0" w:line="110" w:lineRule="exact"/>
        <w:rPr>
          <w:sz w:val="20"/>
          <w:szCs w:val="20"/>
          <w:color w:val="auto"/>
        </w:rPr>
      </w:pPr>
    </w:p>
    <w:p>
      <w:pPr>
        <w:ind w:left="300" w:right="20" w:firstLine="426"/>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net income (loss), the most directly comparable financial measure calculated and presented in accordance with GAAP to Adjusted Net Income and Adjusted EBITDA, for each of the periods indicated:</w:t>
      </w:r>
    </w:p>
    <w:p>
      <w:pPr>
        <w:spacing w:after="0" w:line="12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center"/>
              <w:ind w:right="40"/>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0" w:type="dxa"/>
            <w:vAlign w:val="bottom"/>
          </w:tcPr>
          <w:p>
            <w:pPr>
              <w:spacing w:after="0"/>
              <w:rPr>
                <w:sz w:val="1"/>
                <w:szCs w:val="1"/>
                <w:color w:val="auto"/>
              </w:rPr>
            </w:pPr>
          </w:p>
        </w:tc>
      </w:tr>
      <w:tr>
        <w:trPr>
          <w:trHeight w:val="142"/>
        </w:trPr>
        <w:tc>
          <w:tcPr>
            <w:tcW w:w="55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center"/>
              <w:ind w:left="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51,376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$(233,570)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$ 117,121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81,348</w:t>
            </w: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81,554</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86,742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39,879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Share-based compensation</w:t>
            </w:r>
            <w:r>
              <w:rPr>
                <w:rFonts w:ascii="Times New Roman" w:cs="Times New Roman" w:eastAsia="Times New Roman" w:hAnsi="Times New Roman"/>
                <w:sz w:val="25"/>
                <w:szCs w:val="25"/>
                <w:color w:val="auto"/>
                <w:vertAlign w:val="superscript"/>
              </w:rPr>
              <w:t>(a)</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32,364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21,211</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13,870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18,863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Loss on refinancing of debt</w:t>
            </w:r>
            <w:r>
              <w:rPr>
                <w:rFonts w:ascii="Times New Roman" w:cs="Times New Roman" w:eastAsia="Times New Roman" w:hAnsi="Times New Roman"/>
                <w:sz w:val="25"/>
                <w:szCs w:val="25"/>
                <w:color w:val="auto"/>
                <w:vertAlign w:val="superscript"/>
              </w:rPr>
              <w:t>(b)</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20,681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24,090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 loss on foreign currency and derivatives not designated as hedging</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40" w:type="dxa"/>
            <w:vAlign w:val="bottom"/>
            <w:shd w:val="clear" w:color="auto" w:fill="CCEEFF"/>
          </w:tcPr>
          <w:p>
            <w:pPr>
              <w:ind w:left="160"/>
              <w:spacing w:after="0" w:line="235" w:lineRule="exact"/>
              <w:rPr>
                <w:sz w:val="20"/>
                <w:szCs w:val="20"/>
                <w:color w:val="auto"/>
              </w:rPr>
            </w:pPr>
            <w:r>
              <w:rPr>
                <w:rFonts w:ascii="Times New Roman" w:cs="Times New Roman" w:eastAsia="Times New Roman" w:hAnsi="Times New Roman"/>
                <w:sz w:val="18"/>
                <w:szCs w:val="18"/>
                <w:color w:val="auto"/>
              </w:rPr>
              <w:t>instruments, net</w:t>
            </w:r>
            <w:r>
              <w:rPr>
                <w:rFonts w:ascii="Times New Roman" w:cs="Times New Roman" w:eastAsia="Times New Roman" w:hAnsi="Times New Roman"/>
                <w:sz w:val="26"/>
                <w:szCs w:val="26"/>
                <w:color w:val="auto"/>
                <w:vertAlign w:val="superscript"/>
              </w:rPr>
              <w:t>(c)</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8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Business optimization expenses</w:t>
            </w:r>
            <w:r>
              <w:rPr>
                <w:rFonts w:ascii="Times New Roman" w:cs="Times New Roman" w:eastAsia="Times New Roman" w:hAnsi="Times New Roman"/>
                <w:sz w:val="25"/>
                <w:szCs w:val="25"/>
                <w:color w:val="auto"/>
                <w:vertAlign w:val="superscript"/>
              </w:rPr>
              <w:t>(d)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7,662</w:t>
            </w: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8,354</w:t>
            </w:r>
          </w:p>
        </w:tc>
        <w:tc>
          <w:tcPr>
            <w:tcW w:w="18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(2,743)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Impairment of investment in unconsolidated affiliate</w:t>
            </w:r>
            <w:r>
              <w:rPr>
                <w:rFonts w:ascii="Times New Roman" w:cs="Times New Roman" w:eastAsia="Times New Roman" w:hAnsi="Times New Roman"/>
                <w:sz w:val="25"/>
                <w:szCs w:val="25"/>
                <w:color w:val="auto"/>
                <w:vertAlign w:val="superscript"/>
              </w:rPr>
              <w:t>(e)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Secondary offering costs</w:t>
            </w:r>
            <w:r>
              <w:rPr>
                <w:rFonts w:ascii="Times New Roman" w:cs="Times New Roman" w:eastAsia="Times New Roman" w:hAnsi="Times New Roman"/>
                <w:sz w:val="25"/>
                <w:szCs w:val="25"/>
                <w:color w:val="auto"/>
                <w:vertAlign w:val="superscript"/>
              </w:rPr>
              <w:t>(f)</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Professional services relating to EO sterilization facilities</w:t>
            </w:r>
            <w:r>
              <w:rPr>
                <w:rFonts w:ascii="Times New Roman" w:cs="Times New Roman" w:eastAsia="Times New Roman" w:hAnsi="Times New Roman"/>
                <w:sz w:val="25"/>
                <w:szCs w:val="25"/>
                <w:color w:val="auto"/>
                <w:vertAlign w:val="superscript"/>
              </w:rPr>
              <w:t>(g)</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45,312</w:t>
            </w: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72,639</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45,656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14,157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Illinois EO litigation settlement</w:t>
            </w:r>
            <w:r>
              <w:rPr>
                <w:rFonts w:ascii="Times New Roman" w:cs="Times New Roman" w:eastAsia="Times New Roman" w:hAnsi="Times New Roman"/>
                <w:sz w:val="25"/>
                <w:szCs w:val="25"/>
                <w:color w:val="auto"/>
                <w:vertAlign w:val="superscript"/>
              </w:rPr>
              <w:t>(h)</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408,000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Georgia EO litigation settlement</w:t>
            </w:r>
            <w:r>
              <w:rPr>
                <w:rFonts w:ascii="Times New Roman" w:cs="Times New Roman" w:eastAsia="Times New Roman" w:hAnsi="Times New Roman"/>
                <w:sz w:val="25"/>
                <w:szCs w:val="25"/>
                <w:color w:val="auto"/>
                <w:vertAlign w:val="superscript"/>
              </w:rPr>
              <w:t>(i)</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35,000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Accretion of asset retirement obligations</w:t>
            </w:r>
            <w:r>
              <w:rPr>
                <w:rFonts w:ascii="Times New Roman" w:cs="Times New Roman" w:eastAsia="Times New Roman" w:hAnsi="Times New Roman"/>
                <w:sz w:val="25"/>
                <w:szCs w:val="25"/>
                <w:color w:val="auto"/>
                <w:vertAlign w:val="superscript"/>
              </w:rPr>
              <w:t>(j)</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COVID-19 expenses</w:t>
            </w:r>
            <w:r>
              <w:rPr>
                <w:rFonts w:ascii="Times New Roman" w:cs="Times New Roman" w:eastAsia="Times New Roman" w:hAnsi="Times New Roman"/>
                <w:sz w:val="25"/>
                <w:szCs w:val="25"/>
                <w:color w:val="auto"/>
                <w:vertAlign w:val="superscript"/>
              </w:rPr>
              <w:t>(k)</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155</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Income tax benefit associated with pre-tax adjustments</w:t>
            </w:r>
            <w:r>
              <w:rPr>
                <w:rFonts w:ascii="Times New Roman" w:cs="Times New Roman" w:eastAsia="Times New Roman" w:hAnsi="Times New Roman"/>
                <w:sz w:val="25"/>
                <w:szCs w:val="25"/>
                <w:color w:val="auto"/>
                <w:vertAlign w:val="superscript"/>
              </w:rPr>
              <w:t>(l)</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(49,597)</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(103,081)</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(38,500)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(24,844)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204,326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line="223" w:lineRule="exact"/>
              <w:rPr>
                <w:sz w:val="20"/>
                <w:szCs w:val="20"/>
                <w:color w:val="auto"/>
              </w:rPr>
            </w:pPr>
            <w:r>
              <w:rPr>
                <w:rFonts w:ascii="Times New Roman" w:cs="Times New Roman" w:eastAsia="Times New Roman" w:hAnsi="Times New Roman"/>
                <w:sz w:val="17"/>
                <w:szCs w:val="17"/>
                <w:color w:val="auto"/>
              </w:rPr>
              <w:t>Interest expense, net</w:t>
            </w:r>
            <w:r>
              <w:rPr>
                <w:rFonts w:ascii="Times New Roman" w:cs="Times New Roman" w:eastAsia="Times New Roman" w:hAnsi="Times New Roman"/>
                <w:sz w:val="25"/>
                <w:szCs w:val="25"/>
                <w:color w:val="auto"/>
                <w:vertAlign w:val="superscript"/>
              </w:rPr>
              <w:t>(m)</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142,878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78,490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74,192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82,159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Depreciation</w:t>
            </w:r>
            <w:r>
              <w:rPr>
                <w:rFonts w:ascii="Times New Roman" w:cs="Times New Roman" w:eastAsia="Times New Roman" w:hAnsi="Times New Roman"/>
                <w:sz w:val="25"/>
                <w:szCs w:val="25"/>
                <w:color w:val="auto"/>
                <w:vertAlign w:val="superscript"/>
              </w:rPr>
              <w:t>(n)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76,577</w:t>
            </w: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64,000</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64,160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40,381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Income tax provision applicable to Adjusted Net Income</w:t>
            </w:r>
            <w:r>
              <w:rPr>
                <w:rFonts w:ascii="Times New Roman" w:cs="Times New Roman" w:eastAsia="Times New Roman" w:hAnsi="Times New Roman"/>
                <w:sz w:val="25"/>
                <w:szCs w:val="25"/>
                <w:color w:val="auto"/>
                <w:vertAlign w:val="superscript"/>
              </w:rPr>
              <w:t>(o)</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104,248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93,540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97,095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35,923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Adjusted EBITDA</w:t>
            </w:r>
            <w:r>
              <w:rPr>
                <w:rFonts w:ascii="Times New Roman" w:cs="Times New Roman" w:eastAsia="Times New Roman" w:hAnsi="Times New Roman"/>
                <w:sz w:val="25"/>
                <w:szCs w:val="25"/>
                <w:color w:val="auto"/>
                <w:vertAlign w:val="superscript"/>
              </w:rPr>
              <w:t>(p)</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528,029</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$ 506,249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481,229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249,279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226,953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720" w:hanging="422"/>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share-based compensation expense to employees and non-employee directors.</w:t>
      </w:r>
    </w:p>
    <w:p>
      <w:pPr>
        <w:spacing w:after="0" w:line="90" w:lineRule="exact"/>
        <w:rPr>
          <w:rFonts w:ascii="Times New Roman" w:cs="Times New Roman" w:eastAsia="Times New Roman" w:hAnsi="Times New Roman"/>
          <w:sz w:val="18"/>
          <w:szCs w:val="18"/>
          <w:color w:val="auto"/>
        </w:rPr>
      </w:pPr>
    </w:p>
    <w:p>
      <w:pPr>
        <w:ind w:left="720" w:right="20" w:hanging="422"/>
        <w:spacing w:after="0" w:line="255"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expenses incurred in connection with the repricing of a prepayable senior secured first lien term loan in January 2021, and full redemption of the $100 million aggregate principal amount of senior secured first lien notes due 2026 in August 2021 including accelerated amortization of prior debt issuance and discount costs, premiums paid in connection with early extinguishment and debt issuance and discount costs incurred for the new debt. For the six months ended June 30, 2024, represents the write-off of unamortized debt issuance costs and discounts, and certain other costs incurred in connection with the third amendment to the senior secured first lien revolving credit facility, as well as our refinancing of term loans and issuance of secured notes as described in our Quarterly Report on Form 10-Q for the quarter ended June 30, 2024.</w:t>
      </w:r>
    </w:p>
    <w:p>
      <w:pPr>
        <w:spacing w:after="0" w:line="53" w:lineRule="exact"/>
        <w:rPr>
          <w:rFonts w:ascii="Times New Roman" w:cs="Times New Roman" w:eastAsia="Times New Roman" w:hAnsi="Times New Roman"/>
          <w:sz w:val="18"/>
          <w:szCs w:val="18"/>
          <w:color w:val="auto"/>
        </w:rPr>
      </w:pPr>
    </w:p>
    <w:p>
      <w:pPr>
        <w:ind w:left="720" w:right="40" w:hanging="422"/>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effects of (i) fluctuations in foreign currency exchange rates, (ii) non-cash mark-to-fair value of embedded derivatives relating to certain customer and supply contracts at Nordion, and (iii) unrealized gains and losses on interest rate derivatives not designated as hedging instruments.</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0940"/>
          </w:cols>
          <w:pgMar w:left="320" w:top="455" w:right="6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62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59620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hanging="422"/>
        <w:spacing w:after="0" w:line="270" w:lineRule="auto"/>
        <w:tabs>
          <w:tab w:leader="none" w:pos="7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(i) certain costs related to acquisitions and the integration of recent acquisitions, (ii) the earnings impact of fair value adjustments (excluding those recognized within amortization expense) resulting from the businesses acquired, (iii) transition services income and non-cash deferred lease income associated with the terms of the divestiture of the Medical Isotopes business in 2018, (iv) professional fees and other costs associated with business optimization, cost saving and other process enhancement projects, and (v) professional fees, payroll costs, and other costs, including ongoing lease and utility expenses associated with the closure of the Willowbrook, Illinois facility. The year ended December 31, 2021 includes a $3.4 million gain recognized in the third quarter of 2021 related to the settlement of an insurance claim for Nordion that existed at the time of our acquisition of the business in 2014, and a $5.1 million non-cash gain recognized in the fourth quarter of 2021 arising from the derecognition of an asset retirement obligations liability no longer attributable to Nordion pursuant to the terms of the sale of the Medical Isotopes business in 2018. The year ended December 31, 2023 includes a $1.0 million cancellation fee received from a tenant in connection with the termination of an office space lease at the Nordion facility.</w:t>
      </w:r>
    </w:p>
    <w:p>
      <w:pPr>
        <w:spacing w:after="0" w:line="82" w:lineRule="exact"/>
        <w:rPr>
          <w:rFonts w:ascii="Times New Roman" w:cs="Times New Roman" w:eastAsia="Times New Roman" w:hAnsi="Times New Roman"/>
          <w:sz w:val="17"/>
          <w:szCs w:val="17"/>
          <w:color w:val="auto"/>
        </w:rPr>
      </w:pPr>
    </w:p>
    <w:p>
      <w:pPr>
        <w:ind w:left="720" w:hanging="422"/>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impairment charge on an equity method investment in a joint venture.</w:t>
      </w:r>
    </w:p>
    <w:p>
      <w:pPr>
        <w:spacing w:after="0" w:line="130"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expenses incurred in connection with the secondary offering of our common stock that closed on March 4, 2024</w:t>
      </w:r>
    </w:p>
    <w:p>
      <w:pPr>
        <w:spacing w:after="0" w:line="130" w:lineRule="exact"/>
        <w:rPr>
          <w:rFonts w:ascii="Times New Roman" w:cs="Times New Roman" w:eastAsia="Times New Roman" w:hAnsi="Times New Roman"/>
          <w:sz w:val="18"/>
          <w:szCs w:val="18"/>
          <w:color w:val="auto"/>
        </w:rPr>
      </w:pPr>
    </w:p>
    <w:p>
      <w:pPr>
        <w:ind w:left="720" w:right="20" w:hanging="422"/>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litigation and other professional fees associated with our ethylene oxide (“EO”) sterilization facilities. Amounts presented for the year ended December 31, 2023 have been adjusted to exclude interest expense, net associated with Term Loan B attributable to the loan proceeds that were used to fund the $408.0 million Illinois EO litigation settlement.</w:t>
      </w:r>
    </w:p>
    <w:p>
      <w:pPr>
        <w:spacing w:after="0" w:line="81" w:lineRule="exact"/>
        <w:rPr>
          <w:rFonts w:ascii="Times New Roman" w:cs="Times New Roman" w:eastAsia="Times New Roman" w:hAnsi="Times New Roman"/>
          <w:sz w:val="18"/>
          <w:szCs w:val="18"/>
          <w:color w:val="auto"/>
        </w:rPr>
      </w:pPr>
    </w:p>
    <w:p>
      <w:pPr>
        <w:ind w:left="720" w:right="200" w:hanging="422"/>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cost to settle 880 pending and threatened EO claims against Sterigenics U.S., LLC and Sotera Health LLC (the “Defendant Subsidiaries”) in Illinois pursuant to settlement agreements entered into on March 28, 2023.</w:t>
      </w:r>
    </w:p>
    <w:p>
      <w:pPr>
        <w:spacing w:after="0" w:line="67" w:lineRule="exact"/>
        <w:rPr>
          <w:rFonts w:ascii="Times New Roman" w:cs="Times New Roman" w:eastAsia="Times New Roman" w:hAnsi="Times New Roman"/>
          <w:sz w:val="18"/>
          <w:szCs w:val="18"/>
          <w:color w:val="auto"/>
        </w:rPr>
      </w:pPr>
    </w:p>
    <w:p>
      <w:pPr>
        <w:ind w:left="720" w:right="100" w:hanging="422"/>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cost to settle 79 pending EO claims against the Defendant Subsidiaries in Georgia under a settlement term sheet entered into on December 21, 2023.</w:t>
      </w:r>
    </w:p>
    <w:p>
      <w:pPr>
        <w:spacing w:after="0" w:line="67" w:lineRule="exact"/>
        <w:rPr>
          <w:rFonts w:ascii="Times New Roman" w:cs="Times New Roman" w:eastAsia="Times New Roman" w:hAnsi="Times New Roman"/>
          <w:sz w:val="18"/>
          <w:szCs w:val="18"/>
          <w:color w:val="auto"/>
        </w:rPr>
      </w:pPr>
    </w:p>
    <w:p>
      <w:pPr>
        <w:ind w:left="720" w:right="400" w:hanging="422"/>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accretion of asset retirement obligations related to Co-60 gamma and EO processing facilities, which are based on estimated site remediation costs for any future decommissioning of these facilities and are accreted over the life of the asset.</w:t>
      </w:r>
    </w:p>
    <w:p>
      <w:pPr>
        <w:spacing w:after="0" w:line="67" w:lineRule="exact"/>
        <w:rPr>
          <w:rFonts w:ascii="Times New Roman" w:cs="Times New Roman" w:eastAsia="Times New Roman" w:hAnsi="Times New Roman"/>
          <w:sz w:val="18"/>
          <w:szCs w:val="18"/>
          <w:color w:val="auto"/>
        </w:rPr>
      </w:pPr>
    </w:p>
    <w:p>
      <w:pPr>
        <w:ind w:left="720" w:right="240" w:hanging="422"/>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non-recurring costs associated with the COVID-19 pandemic, including incremental costs to implement workplace health and safety measures.</w:t>
      </w:r>
    </w:p>
    <w:p>
      <w:pPr>
        <w:spacing w:after="0" w:line="67" w:lineRule="exact"/>
        <w:rPr>
          <w:rFonts w:ascii="Times New Roman" w:cs="Times New Roman" w:eastAsia="Times New Roman" w:hAnsi="Times New Roman"/>
          <w:sz w:val="18"/>
          <w:szCs w:val="18"/>
          <w:color w:val="auto"/>
        </w:rPr>
      </w:pPr>
    </w:p>
    <w:p>
      <w:pPr>
        <w:ind w:left="720" w:right="80" w:hanging="422"/>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income tax impact of adjustments calculated based on the tax rate applicable to each item. We eliminate the effect of tax rate changes as applied to tax assets and liabilities, and unusual items from our presentation of adjusted net income.</w:t>
      </w:r>
    </w:p>
    <w:p>
      <w:pPr>
        <w:spacing w:after="0" w:line="67" w:lineRule="exact"/>
        <w:rPr>
          <w:rFonts w:ascii="Times New Roman" w:cs="Times New Roman" w:eastAsia="Times New Roman" w:hAnsi="Times New Roman"/>
          <w:sz w:val="18"/>
          <w:szCs w:val="18"/>
          <w:color w:val="auto"/>
        </w:rPr>
      </w:pPr>
    </w:p>
    <w:p>
      <w:pPr>
        <w:ind w:left="720" w:right="100" w:hanging="422"/>
        <w:spacing w:after="0" w:line="261"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net presented in this reconciliation for the year ended December 31, 2023 has been adjusted to conform to the current year presentation to include interest expense, net on Term Loan B attributable to the loan proceeds that were used to fund the $408.0 million Illinois EO litigation settlement. The year ended December 31, 2022 excludes a $1.7 million net decrease in the fair value of interest rate derivatives not designated as hedging instruments recorded to interest expense.</w:t>
      </w:r>
    </w:p>
    <w:p>
      <w:pPr>
        <w:spacing w:after="0" w:line="85"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depreciation of Co-60 held at gamma irradiation sites.</w:t>
      </w:r>
    </w:p>
    <w:p>
      <w:pPr>
        <w:spacing w:after="0" w:line="130" w:lineRule="exact"/>
        <w:rPr>
          <w:rFonts w:ascii="Times New Roman" w:cs="Times New Roman" w:eastAsia="Times New Roman" w:hAnsi="Times New Roman"/>
          <w:sz w:val="18"/>
          <w:szCs w:val="18"/>
          <w:color w:val="auto"/>
        </w:rPr>
      </w:pPr>
    </w:p>
    <w:p>
      <w:pPr>
        <w:ind w:left="720" w:right="160" w:hanging="422"/>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difference between the income tax provision/benefit as determined under U.S. GAAP and the income tax benefit associated with pre-tax adjustments described in footnote (l).</w:t>
      </w:r>
    </w:p>
    <w:p>
      <w:pPr>
        <w:spacing w:after="0" w:line="67" w:lineRule="exact"/>
        <w:rPr>
          <w:rFonts w:ascii="Times New Roman" w:cs="Times New Roman" w:eastAsia="Times New Roman" w:hAnsi="Times New Roman"/>
          <w:sz w:val="18"/>
          <w:szCs w:val="18"/>
          <w:color w:val="auto"/>
        </w:rPr>
      </w:pPr>
    </w:p>
    <w:p>
      <w:pPr>
        <w:ind w:left="720" w:right="80" w:hanging="422"/>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$94.1 million, $83.6 million, and $85.3 million of the adjustments for the year ended December 31, 2023, 2022, and 2021, respectively, and $47.2 million of the adjustments for the six months ended June 30, 2024 and 2023, respectively, are included in cost of revenues, primarily consisting of amortization of intangible assets, depreciation, and accretion of asset retirement obligations.</w:t>
      </w:r>
    </w:p>
    <w:p>
      <w:pPr>
        <w:spacing w:after="0" w:line="29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0860"/>
          </w:cols>
          <w:pgMar w:left="320" w:top="455" w:right="7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following risks together will the other information included or incorporated by reference in this prospectus supplement and the accompanying prospectus before deciding to invest in our common stock, including the risks described under “Risk Factors” in Part I, Item. 1A of our Annual Report, as updated by “Risk Factors” in Part II, Item 1A of our Quarterly Report on Form 10-Q for the quarter ended March 31, 2024. The occurrence of any of the following risks could harm our business, revenue and financial results. In addition, risks and uncertainties that are not presently known to us or that we currently believe are immaterial could also harm our business, revenue and financial results. If any of these risks occur, the value of our common stock could decline and you may lose all or part of your investment.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Offering and Our 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market and trading volume of our common stock may be volatile, and you could lose all or part of your investment.</w:t>
      </w:r>
    </w:p>
    <w:p>
      <w:pPr>
        <w:spacing w:after="0" w:line="22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market price of our common stock may fluctuate or decline significantly in the future. Some of the factors that could negatively affect our share price or result in fluctuations in the price or trading volume of our common stock include those listed in the related Risk Factors described under “Risk Factors—Risks Related to the Company” and “—Risks Related to Our Indebtedness and Liquidity” in our Annual Report, as updated by “Risk Factors” in Part II, Item 1A of our Quarterly Report on Form 10-Q for the quarter ended March 31, 2024, and the following, some of which are beyond our control:</w:t>
      </w:r>
    </w:p>
    <w:p>
      <w:pPr>
        <w:spacing w:after="0" w:line="89" w:lineRule="exact"/>
        <w:rPr>
          <w:sz w:val="20"/>
          <w:szCs w:val="20"/>
          <w:color w:val="auto"/>
        </w:rPr>
      </w:pPr>
    </w:p>
    <w:p>
      <w:pPr>
        <w:jc w:val="both"/>
        <w:ind w:left="540" w:hanging="316"/>
        <w:spacing w:after="0" w:line="266"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litigation matters and governmental investigations or additional significant lawsuits or governmental investigations relating to our services or facilities, including our susceptibility as a publicly-traded company to enforcement proceedings and civil litigation alleging that our disclosures have not complied with federal and state securities laws and regulations;</w:t>
      </w:r>
    </w:p>
    <w:p>
      <w:pPr>
        <w:spacing w:after="0" w:line="81"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jurisdictions in which we operate;</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us or the industries in which we participate;</w:t>
      </w:r>
    </w:p>
    <w:p>
      <w:pPr>
        <w:spacing w:after="0" w:line="130" w:lineRule="exact"/>
        <w:rPr>
          <w:rFonts w:ascii="Times New Roman" w:cs="Times New Roman" w:eastAsia="Times New Roman" w:hAnsi="Times New Roman"/>
          <w:sz w:val="18"/>
          <w:szCs w:val="18"/>
          <w:color w:val="auto"/>
        </w:rPr>
      </w:pPr>
    </w:p>
    <w:p>
      <w:pPr>
        <w:ind w:left="540" w:right="40" w:hanging="316"/>
        <w:spacing w:after="0" w:line="282"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or annual results of operations, or in those of our competitors or of companies in the medical device and pharmaceutical industries;</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these projections or our failure to meet these projections;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sales of our common stock by us or our stockholders in the future or the perception that such sales may occur;</w:t>
      </w:r>
    </w:p>
    <w:p>
      <w:pPr>
        <w:spacing w:after="0" w:line="130" w:lineRule="exact"/>
        <w:rPr>
          <w:rFonts w:ascii="Times New Roman" w:cs="Times New Roman" w:eastAsia="Times New Roman" w:hAnsi="Times New Roman"/>
          <w:sz w:val="18"/>
          <w:szCs w:val="18"/>
          <w:color w:val="auto"/>
        </w:rPr>
      </w:pPr>
    </w:p>
    <w:p>
      <w:pPr>
        <w:ind w:left="540" w:right="500" w:hanging="316"/>
        <w:spacing w:after="0" w:line="282"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or economic downturns in the markets in which we, our suppliers or our customers are located caused by pandemics, including the COVID-19 pandemic, and related policies and restrictions undertaken to contain the spread of such pandemics or potential pandemics;</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the industries in which we participate;</w:t>
      </w:r>
    </w:p>
    <w:p>
      <w:pPr>
        <w:spacing w:after="0" w:line="130" w:lineRule="exact"/>
        <w:rPr>
          <w:rFonts w:ascii="Times New Roman" w:cs="Times New Roman" w:eastAsia="Times New Roman" w:hAnsi="Times New Roman"/>
          <w:sz w:val="18"/>
          <w:szCs w:val="18"/>
          <w:color w:val="auto"/>
        </w:rPr>
      </w:pPr>
    </w:p>
    <w:p>
      <w:pPr>
        <w:ind w:left="540" w:right="80" w:hanging="316"/>
        <w:spacing w:after="0" w:line="282"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analysts’ estimates, investors’ perceptions, recommendations by securities analysts, our failure to achieve analysts’ estimates or failure of analysts to maintain coverage of us;</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trading prices and trading volumes of companies similar to us;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companies in our industry;</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guidance, interpretations or standards; and</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unrelated to our operating performance or the operating performance of our competitors.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40"/>
          </w:cols>
          <w:pgMar w:left="320" w:top="455"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Certain broad market and industry factors may decrease the market price of our common stock, regardless of our actual operating performance. The stock market in general has from time to time experienced extreme price and volume fluctuations. In addition, in the past, following periods of volatility in the overall market and the market price of a company’s securities, securities class action litigation has often been instituted against these companies, and a putative class action of this kind is currently pending against us. See Note 14, “Commitments and Contingencies” to our consolidated unaudited financial statements under the heading “Sotera Health Company Securities Litigation &amp; Related Matters” in our Quarterly Report on Form 10-Q for the quarter ended June 30, 2024. Such litigation could result in substantial costs and a diversion of our management’s attention and resources.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The future issuance of additional common stock in connection with our incentive plans, acquisitions or otherwise will dilute all other stockholdings.</w:t>
      </w:r>
    </w:p>
    <w:p>
      <w:pPr>
        <w:spacing w:after="0" w:line="13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As of June 30, 2024, we had an aggregate of 886,109,800 shares of common stock that are not currently reserved for issuance under our 2020 Plan, as well as 2,822,810 treasury shares. We may issue all of these shares of common stock without any action or approval by our stockholders, subject to certain exceptions. We also intend to continue to evaluate acquisition opportunities and may issue common stock in connection with these acquisitions. Any common stock issued in connection with our incentive plans, acquisitions or otherwise would dilute the percentage ownership held by the investors who own our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offerings of debt or equity securities by us may adversely affect the market price of our common stock.</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the future, we may attempt to obtain financing or to further increase our capital resources by issuing additional shares of our common stock or offering debt or other equity securities. Future acquisitions could require substantial additional capital in excess of cash from operations. We would expect to finance any future acquisitions requiring substantial additional capital through a combination of additional issuances of equity, corporate indebtedness, asset-backed acquisition financing and/or cash from operations.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Issuing additional shares of our common stock or other equity securities or securities convertible into equity may dilute the economic and voting rights of our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Thus, holders of our common stock bear the risk that our future offerings may reduce the market price of our common stock and dilute their stockholdings in us.</w:t>
      </w:r>
    </w:p>
    <w:p>
      <w:pPr>
        <w:spacing w:after="0" w:line="292"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sale of a substantial number of shares of our common stock, or the perception that such sales might occur, may cause the price of our common stock to decline.</w:t>
      </w:r>
    </w:p>
    <w:p>
      <w:pPr>
        <w:spacing w:after="0" w:line="5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Future sales of substantial amounts of our common stock in the public market, or the perception that such sales might occur, could cause the trading price of our common stock to decline. These sales, or the possibility that these sales may occur, also might make it more difficult for us to sell equity securities in the future at a time and at a price that we deem appropriate.</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our initial public offering (“IPO”), we entered into a stockholders’ agreement with certain holders of our common stock, including investment funds and entities affiliated with either Warburg Pincus or GTCR and members of our management team, which we refer to as the “Stockholders’ Agreement.”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080"/>
          </w:cols>
          <w:pgMar w:left="320" w:top="455" w:right="4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Under the Stockholders’ Agreement, individual stockholders who were members of our management before the IPO, and other persons related to these individuals, are subject to contractual restrictions on transfer of shares of our common stock until November 19, 2026. These restrictions apply to approximately 21,991,059 shares as of June 30, 2024, but may be waived at any time by a majority of the members of the leadership development and compensation committee of the board of directors.</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As of July 29, 2024, the Sponsors own approximately 52.27% of our outstanding common stock, and following completion of this offering the Sponsors will own approximately        %, and have rights to require us to file registration statements covering their shares. The Sponsors and certain other stockholders could also require us to include their shares in registration statements that we may file for ourselves or our stockholders. Additionally, the Sponsors and our officers and directors may sell shares into the public markets in accordance with the requirements of Rule 144 under the Securities Act of 1933 (the “Securities Act”).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sales of securities by any of our stockholders described above could have a material adverse effect on the market price of our common stock.</w:t>
      </w:r>
    </w:p>
    <w:p>
      <w:pPr>
        <w:spacing w:after="0" w:line="22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the future, we may also issue securities in connection with investments or acquisitions. In particular, the number of shares of our common stock issued in connection with an investment or acquisition could constitute a material portion of our then-outstanding shares of our common stock. Any such issuance of additional securities in the future may result in additional dilution to you or may adversely impact the price of our common stock.</w:t>
      </w:r>
    </w:p>
    <w:p>
      <w:pPr>
        <w:spacing w:after="0" w:line="280" w:lineRule="exact"/>
        <w:rPr>
          <w:sz w:val="20"/>
          <w:szCs w:val="20"/>
          <w:color w:val="auto"/>
        </w:rPr>
      </w:pPr>
    </w:p>
    <w:p>
      <w:pPr>
        <w:ind w:left="120"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do not currently rely on the “controlled company” exemption, we expect to lose our status as a “controlled company” within the meaning of the Nasdaq corporate governance standards following this offering and cease to qualify for exemptions from certain corporate governance requirements.</w:t>
      </w:r>
    </w:p>
    <w:p>
      <w:pPr>
        <w:spacing w:after="0" w:line="67" w:lineRule="exact"/>
        <w:rPr>
          <w:sz w:val="20"/>
          <w:szCs w:val="20"/>
          <w:color w:val="auto"/>
        </w:rPr>
      </w:pPr>
    </w:p>
    <w:p>
      <w:pPr>
        <w:jc w:val="both"/>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Because the Sponsors currently own a majority of our outstanding common stock, we are presently a “controlled company” as that term is set forth in the Nasdaq corporate governance standards. Under these rules, a company of which more than 50% of the voting power is held by another person or group of persons acting together is a “controlled company” and may elect not to comply with certain corporate governance requirements, including:</w:t>
      </w:r>
    </w:p>
    <w:p>
      <w:pPr>
        <w:spacing w:after="0" w:line="85" w:lineRule="exact"/>
        <w:rPr>
          <w:sz w:val="20"/>
          <w:szCs w:val="20"/>
          <w:color w:val="auto"/>
        </w:rPr>
      </w:pPr>
    </w:p>
    <w:p>
      <w:pPr>
        <w:ind w:left="540" w:hanging="316"/>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our board of directors consist of independent directors;</w:t>
      </w:r>
    </w:p>
    <w:p>
      <w:pPr>
        <w:spacing w:after="0" w:line="130" w:lineRule="exact"/>
        <w:rPr>
          <w:rFonts w:ascii="Times New Roman" w:cs="Times New Roman" w:eastAsia="Times New Roman" w:hAnsi="Times New Roman"/>
          <w:sz w:val="18"/>
          <w:szCs w:val="18"/>
          <w:color w:val="auto"/>
        </w:rPr>
      </w:pPr>
    </w:p>
    <w:p>
      <w:pPr>
        <w:ind w:left="540" w:right="580" w:hanging="316"/>
        <w:spacing w:after="0" w:line="266"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our director nominations be made, or recommended to the full board of directors, by our independent directors or by a nominations committee that is comprised entirely of independent directors with a written charter addressing the committee’s purpose and responsibilities;</w:t>
      </w:r>
    </w:p>
    <w:p>
      <w:pPr>
        <w:spacing w:after="0" w:line="81" w:lineRule="exact"/>
        <w:rPr>
          <w:rFonts w:ascii="Times New Roman" w:cs="Times New Roman" w:eastAsia="Times New Roman" w:hAnsi="Times New Roman"/>
          <w:sz w:val="18"/>
          <w:szCs w:val="18"/>
          <w:color w:val="auto"/>
        </w:rPr>
      </w:pPr>
    </w:p>
    <w:p>
      <w:pPr>
        <w:ind w:left="540" w:right="20" w:hanging="316"/>
        <w:spacing w:after="0" w:line="282"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our compensation committee be composed entirely of independent directors with a written charter addressing the committee’s purpose and responsibilities; and</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conduct an annual performance evaluation of the nominating and corporate governance and compensation committees.</w:t>
      </w:r>
    </w:p>
    <w:p>
      <w:pPr>
        <w:spacing w:after="0" w:line="225"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Although we presently qualify as a “controlled company,” we expect to lose this status as a result of the completion of this offering. Because we are not currently relying on this exemption, the practical impact of this change is that we will no longer have the option to elect at some point in the future to utilize some or all of these exemptions.</w:t>
      </w:r>
    </w:p>
    <w:p>
      <w:pPr>
        <w:spacing w:after="0" w:line="280"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ownership of our common stock continues to be highly concentrated, it may prevent minority stockholders from influencing significant corporate decisions and may result in conflicts of interest.</w:t>
      </w:r>
    </w:p>
    <w:p>
      <w:pPr>
        <w:spacing w:after="0" w:line="5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As of July 29, 2024, the Sponsors own approximately 52.27% of our outstanding common stock, and following completion of this offering we expect that the Sponsors will own approximately        %, and retain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the right to designate six of our directors (subject to further reduction as ownership levels decrease). As a result, even after their ownership is reduced by this offering, the Sponsors will have substantial influence over all matters requiring a stockholder vote. Our Stockholders’ Agreement contains agreements with respect to certain other matters, including the election of directors; mergers, consolidations and acquisitions; the sale of all or substantially all of our assets and other decisions affecting our capital structure; the amendment of our amended and restated certificate of incorporation and our amended and restated bylaws; the termination of our chief executive officer or designation of a new chief executive officer; changes in the composition of committees of our board of directors; entry into or changes to certain compensation agreements; and the issuance of additional shares of our common stock. This concentration of ownership, together with the Sponsors’ rights under our Stockholders’ Agreement, may delay, deter or prevent acts that would be favored by our other stockholders. The interests of the Sponsors may not always coincide with our interests or the interests of our other stockholders. For example, because the Sponsors purchased their shares at prices substantially below the price at which shares were sold to the public in our IPO and have held their shares for a longer period, they may be more interested in selling our Company to an acquirer than other investors or may want us to pursue strategies that deviate from the interests of other stockholders. In addition, under the Stockholders’ Agreement we have agreed, subject to certain exceptions, to indemnify the Sponsors, and various affiliated persons and indirect equity holders of the Sponsors, from losses arising out of any threatened or actual litigation by reason of the fact that the indemnified person is or was a holder of our common stock or of equity interests in Sotera Health Company. Public stockholders will not benefit from this indemnification provision.</w:t>
      </w:r>
    </w:p>
    <w:p>
      <w:pPr>
        <w:spacing w:after="0" w:line="197"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This concentration of ownership, together with the Sponsors’ rights under our Stockholders’ Agreement, may also have the effect of delaying, preventing or deterring a change in control. As a result, the market price of our common stock could decline or stockholders might not receive a premium over the then-current market price of our common stock upon a change in control. In addition, this concentration of ownership, together with the Sponsors’ rights under our Stockholders’ Agreement, may adversely affect the trading price of our common stock because investors may perceive disadvantages in owning shares in a company with significant stockholders with correspondingly significant voting rights.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of our stockholders have the right to engage or invest in the same or similar businesses as us.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Sponsors have other investments and business activities in addition to their ownership of us. The Sponsors have the right, and have no duty to abstain from exercising such right, to engage or invest in the same or similar businesses as us, do business with any of our customers or suppliers or employ or otherwise engage any of our officers, directors or employees. If the Sponsors or any of their officers, directors or employees acquire knowledge of a potential transaction that could be a corporate opportunity, they have no duty, to the fullest extent permitted by law, to offer such corporate opportunity to us, our stockholders or our affiliates. This right could adversely impact our business, prospects, financial condition or results of operations if attractive business opportunities are procured by the Sponsors or another party for their own benefit rather than for ours.</w:t>
      </w:r>
    </w:p>
    <w:p>
      <w:pPr>
        <w:spacing w:after="0" w:line="18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the event that any of our directors who is also a director, officer or employee of any Sponsor acquires knowledge of a corporate opportunity or is offered a corporate opportunity, such person is deemed to have fully satisfied such person’s fiduciary duties owed to us and is not liable to us, to the fullest extent permitted by law, if such Sponsor pursues or acquires the corporate opportunity or does not present the corporate opportunity to us, provided that this knowledge was not acquired solely in such person’s capacity as our director and such person acts in good faith.</w:t>
      </w:r>
    </w:p>
    <w:p>
      <w:pPr>
        <w:spacing w:after="0" w:line="284"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amended and restated certificate of incorporation, amended and restated bylaws and our Stockholders’ Agreement, as well as Delaware law, could discourage a change in control of our company or a change in our management.</w:t>
      </w:r>
    </w:p>
    <w:p>
      <w:pPr>
        <w:spacing w:after="0" w:line="5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our Stockholders’ Agreement and Delaware law contain provisions that might discourage, delay or prevent a merger, acquisition,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other change in control that stockholders may consider favorable, including transactions in which our stockholders might otherwise receive a premium for shares of our common stock. These provisions may also prevent or frustrate attempts by our stockholders to replace or remove our management. These provisions include:</w:t>
      </w:r>
    </w:p>
    <w:p>
      <w:pPr>
        <w:spacing w:after="0" w:line="81" w:lineRule="exact"/>
        <w:rPr>
          <w:sz w:val="20"/>
          <w:szCs w:val="20"/>
          <w:color w:val="auto"/>
        </w:rPr>
      </w:pPr>
    </w:p>
    <w:p>
      <w:pPr>
        <w:ind w:left="540" w:hanging="316"/>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liability of, and providing indemnification to, our directors and officers;</w:t>
      </w:r>
    </w:p>
    <w:p>
      <w:pPr>
        <w:spacing w:after="0" w:line="130" w:lineRule="exact"/>
        <w:rPr>
          <w:rFonts w:ascii="Times New Roman" w:cs="Times New Roman" w:eastAsia="Times New Roman" w:hAnsi="Times New Roman"/>
          <w:sz w:val="18"/>
          <w:szCs w:val="18"/>
          <w:color w:val="auto"/>
        </w:rPr>
      </w:pPr>
    </w:p>
    <w:p>
      <w:pPr>
        <w:ind w:left="540" w:right="900" w:hanging="316"/>
        <w:spacing w:after="0" w:line="282"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classified board of directors with three-year staggered terms, which could delay the ability of stockholders to change the membership of a majority of our board of directors;</w:t>
      </w:r>
    </w:p>
    <w:p>
      <w:pPr>
        <w:spacing w:after="0" w:line="67" w:lineRule="exact"/>
        <w:rPr>
          <w:rFonts w:ascii="Times New Roman" w:cs="Times New Roman" w:eastAsia="Times New Roman" w:hAnsi="Times New Roman"/>
          <w:sz w:val="18"/>
          <w:szCs w:val="18"/>
          <w:color w:val="auto"/>
        </w:rPr>
      </w:pPr>
    </w:p>
    <w:p>
      <w:pPr>
        <w:ind w:left="540" w:right="120" w:hanging="316"/>
        <w:spacing w:after="0" w:line="256"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directors may be removed only for cause by the affirmative vote of the holders of at least 75% of the voting power of our outstanding common stock; provided that so long as investment funds and entities affiliated with either Warburg Pincus or GTCR, collectively, hold at least 50% of the outstanding shares of our common stock (which we expect will cease to be the case following this offering), a director designated by investment funds and entities affiliated with either Warburg Pincus or GTCR, respectively, may be removed with or without cause by the affirmative vote of the holders of at least a majority of the votes that all the stockholders would be entitled to cast in any annual election of directors or class of directors and with the consent of Warburg Pincus or GTCR, respectively;</w:t>
      </w:r>
    </w:p>
    <w:p>
      <w:pPr>
        <w:spacing w:after="0" w:line="92" w:lineRule="exact"/>
        <w:rPr>
          <w:rFonts w:ascii="Times New Roman" w:cs="Times New Roman" w:eastAsia="Times New Roman" w:hAnsi="Times New Roman"/>
          <w:sz w:val="18"/>
          <w:szCs w:val="18"/>
          <w:color w:val="auto"/>
        </w:rPr>
      </w:pPr>
    </w:p>
    <w:p>
      <w:pPr>
        <w:ind w:left="540" w:right="200" w:hanging="316"/>
        <w:spacing w:after="0" w:line="258"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determination of the number of directors on our board of directors and the filling of vacancies or newly created seats on the board to our board of directors then in office; provided that for so long as investment funds and entities affiliated with either Warburg Pincus or GTCR have the right to designate at least one director for election to our board of directors, (i) any vacancies will be filled in accordance with the designation provisions set forth in the Stockholders’ Agreement and (ii) the number of directors shall not exceed eleven without the consent of Warburg Pincus or GTCR (such consent is currently in effect);</w:t>
      </w:r>
    </w:p>
    <w:p>
      <w:pPr>
        <w:spacing w:after="0" w:line="88" w:lineRule="exact"/>
        <w:rPr>
          <w:rFonts w:ascii="Times New Roman" w:cs="Times New Roman" w:eastAsia="Times New Roman" w:hAnsi="Times New Roman"/>
          <w:sz w:val="18"/>
          <w:szCs w:val="18"/>
          <w:color w:val="auto"/>
        </w:rPr>
      </w:pPr>
    </w:p>
    <w:p>
      <w:pPr>
        <w:ind w:left="540" w:right="40" w:hanging="316"/>
        <w:spacing w:after="0" w:line="266"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applicable to stockholders for matters to be brought before a meeting of stockholders and requirements as to the form and content of a stockholders’ notice; provided that no advance notice shall be required for nominations of candidates for election to our board of directors pursuant to the Stockholders’ Agreement;</w:t>
      </w:r>
    </w:p>
    <w:p>
      <w:pPr>
        <w:spacing w:after="0" w:line="81" w:lineRule="exact"/>
        <w:rPr>
          <w:rFonts w:ascii="Times New Roman" w:cs="Times New Roman" w:eastAsia="Times New Roman" w:hAnsi="Times New Roman"/>
          <w:sz w:val="18"/>
          <w:szCs w:val="18"/>
          <w:color w:val="auto"/>
        </w:rPr>
      </w:pPr>
    </w:p>
    <w:p>
      <w:pPr>
        <w:ind w:left="540" w:right="180" w:hanging="316"/>
        <w:spacing w:after="0" w:line="261"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affirmative vote of at least 66 2/3% of the voting power of our outstanding common stock to amend certain provisions of our amended and restated certificate of incorporation and amended and restated bylaws; provided that so long as investment funds and entities affiliated with either Warburg Pincus or GTCR, collectively, hold at least a majority of our outstanding capital stock (which we expect will cease to be the case following this offering), only a majority stockholder vote requirement would apply to such matters;</w:t>
      </w:r>
    </w:p>
    <w:p>
      <w:pPr>
        <w:spacing w:after="0" w:line="85" w:lineRule="exact"/>
        <w:rPr>
          <w:rFonts w:ascii="Times New Roman" w:cs="Times New Roman" w:eastAsia="Times New Roman" w:hAnsi="Times New Roman"/>
          <w:sz w:val="18"/>
          <w:szCs w:val="18"/>
          <w:color w:val="auto"/>
        </w:rPr>
      </w:pPr>
    </w:p>
    <w:p>
      <w:pPr>
        <w:ind w:left="540" w:hanging="316"/>
        <w:spacing w:after="0" w:line="258"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for so long as investment funds and entities affiliated with either Warburg Pincus or GTCR have the right (individually) to designate at least three directors for election to our board of directors, certain board approvals, including amendments to our amended and restated certificate of incorporation or amended and restated bylaws and certain specified corporate transactions, including certain acquisitions, mergers, other business combination transactions and dispositions, may be effected only with the affirmative vote of 75% of our board of directors, in addition to any other vote required by applicable law;</w:t>
      </w:r>
    </w:p>
    <w:p>
      <w:pPr>
        <w:spacing w:after="0" w:line="88" w:lineRule="exact"/>
        <w:rPr>
          <w:rFonts w:ascii="Times New Roman" w:cs="Times New Roman" w:eastAsia="Times New Roman" w:hAnsi="Times New Roman"/>
          <w:sz w:val="18"/>
          <w:szCs w:val="18"/>
          <w:color w:val="auto"/>
        </w:rPr>
      </w:pPr>
    </w:p>
    <w:p>
      <w:pPr>
        <w:ind w:left="540" w:right="60" w:hanging="316"/>
        <w:spacing w:after="0" w:line="254"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for so long as investment funds and entities affiliated with Warburg Pincus have the right to designate at least one director for election to our board of directors and for so long as investment funds and entities affiliated with GTCR have the right to designate one director for election to our board of directors, in each case, a quorum of our board of directors (and committees of the board of directors on which a director designated by Warburg Pincus or GTCR will serve) will not exist without at least one director designee of each of Warburg Pincus and GTCR present at such meeting; provided that if a meeting of our board of directors (or a committee of the board of directors) fails to achieve a quorum due to the absence of a director designee of Warburg Pincus or GTCR, as applicable, the presence of a director designee of Warburg Pincus or GTCR, as applicable, will not be required in order for a quorum to exist at the next duly noticed meeting of our board of directors (or a committee thereof);</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40"/>
          </w:cols>
          <w:pgMar w:left="320" w:top="455"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500" w:hanging="316"/>
        <w:spacing w:after="0" w:line="282"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issue blank check preferred stock without stockholder approval, which could be used to dilute the stock ownership of a potential hostile acquirer or adopt a stockholder rights plan;</w:t>
      </w:r>
    </w:p>
    <w:p>
      <w:pPr>
        <w:spacing w:after="0" w:line="67" w:lineRule="exact"/>
        <w:rPr>
          <w:rFonts w:ascii="Times New Roman" w:cs="Times New Roman" w:eastAsia="Times New Roman" w:hAnsi="Times New Roman"/>
          <w:sz w:val="18"/>
          <w:szCs w:val="18"/>
          <w:color w:val="auto"/>
        </w:rPr>
      </w:pPr>
    </w:p>
    <w:p>
      <w:pPr>
        <w:ind w:left="540" w:hanging="316"/>
        <w:spacing w:after="0" w:line="256"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our stockholders may only take action at annual or special meetings of our stockholders and may not act by written consent; provided that, for so long as investment funds and entities affiliated with either Warburg Pincus or GTCR, collectively, beneficially own a majority of our outstanding capital stock (which we expect will cease to be the case following this offering), a meeting and vote of stockholders may be dispensed with, and the action may be taken without prior notice and without such meeting and vote if a written consent is signed by the holders of outstanding stock having not less than the minimum number of votes that would be necessary to authorize or take such action at the meeting of stockholders;</w:t>
      </w:r>
    </w:p>
    <w:p>
      <w:pPr>
        <w:spacing w:after="0" w:line="92" w:lineRule="exact"/>
        <w:rPr>
          <w:rFonts w:ascii="Times New Roman" w:cs="Times New Roman" w:eastAsia="Times New Roman" w:hAnsi="Times New Roman"/>
          <w:sz w:val="18"/>
          <w:szCs w:val="18"/>
          <w:color w:val="auto"/>
        </w:rPr>
      </w:pPr>
    </w:p>
    <w:p>
      <w:pPr>
        <w:ind w:left="540" w:right="240" w:hanging="316"/>
        <w:spacing w:after="0" w:line="261"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ability of stockholders to call and bring business before special meetings; provided that for so long as investment funds and entities affiliated with either Warburg Pincus or GTCR, collectively, beneficially own a majority of our outstanding capital stock (which we expect will cease to be the case following this offering), special meetings of our stockholders may be called by the affirmative vote of the holders of a majority of our outstanding voting stock; and</w:t>
      </w:r>
    </w:p>
    <w:p>
      <w:pPr>
        <w:spacing w:after="0" w:line="85" w:lineRule="exact"/>
        <w:rPr>
          <w:rFonts w:ascii="Times New Roman" w:cs="Times New Roman" w:eastAsia="Times New Roman" w:hAnsi="Times New Roman"/>
          <w:sz w:val="18"/>
          <w:szCs w:val="18"/>
          <w:color w:val="auto"/>
        </w:rPr>
      </w:pPr>
    </w:p>
    <w:p>
      <w:pPr>
        <w:ind w:left="540" w:right="400" w:hanging="316"/>
        <w:spacing w:after="0" w:line="282"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forum to the Court of Chancery of the State of Delaware or federal court located within the State of Delaware for certain types of actions and proceedings that may be initiated against us by stockholders.</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our amended and restated certificate of incorporation contains a provision that provides us with protections similar to Section 203 of the Delaware General Corporation Law (“DGCL”), and prevents us from engaging in a business combination with a person (excluding the Sponsors and any of their respective direct or indirect transferees and any group as to which such persons are a party) who acquires at least 15% of our common stock for a period of three years from the date such person acquired such common stock, unless board or stockholder approval is obtained prior to the acquisition.</w:t>
      </w:r>
    </w:p>
    <w:p>
      <w:pPr>
        <w:spacing w:after="0" w:line="183" w:lineRule="exact"/>
        <w:rPr>
          <w:sz w:val="20"/>
          <w:szCs w:val="20"/>
          <w:color w:val="auto"/>
        </w:rPr>
      </w:pPr>
    </w:p>
    <w:p>
      <w:pPr>
        <w:jc w:val="both"/>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These provisions might discourage, delay or prevent a change in control of our company or a change in our management. For example, because investment funds and entities affiliated with either Warburg Pincus or GTCR together will continue to own a substantial portion of the voting power of our common stock, they could prevent or make more difficult a third party acquisition of us, even if the third party’s offer may be considered beneficial by many of our stockholders. The existence of these provisions could adversely affect the voting power of holders of common stock and limit the price that investors might be willing to pay in the future for shares of our common stock.</w:t>
      </w:r>
    </w:p>
    <w:p>
      <w:pPr>
        <w:spacing w:after="0" w:line="287"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specific courts as the exclusive forum for certain litigation that may be initiated by our stockholders, which could limit our stockholders’ abilities to obtain a favorable judicial forum for disputes with us or our directors, officers or employees.</w:t>
      </w:r>
    </w:p>
    <w:p>
      <w:pPr>
        <w:spacing w:after="0" w:line="67"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current or former directors, officers or other employees or stockholders to us or our stockholders,</w:t>
      </w:r>
    </w:p>
    <w:p>
      <w:pPr>
        <w:spacing w:after="0" w:line="2" w:lineRule="exact"/>
        <w:rPr>
          <w:sz w:val="20"/>
          <w:szCs w:val="20"/>
          <w:color w:val="auto"/>
        </w:rPr>
      </w:pPr>
    </w:p>
    <w:p>
      <w:pPr>
        <w:ind w:left="120" w:hanging="4"/>
        <w:spacing w:after="0" w:line="252" w:lineRule="auto"/>
        <w:tabs>
          <w:tab w:leader="none" w:pos="3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directors or officers or other employees or stockholders arising pursuant to, any action to interpret, apply, enforce any right, obligation or remedy under, any provision of the DGCL our amended and restated certificate of incorporation or amended and restated bylaws, (4) any action asserting a claim that is governed by the internal affairs doctrine, or (5) any other action asserting an “internal corporate claim” under the DGCL shall be the Court of Chancery of the State of Delaware (or any state or federal court located within the State of Delaware if the Court of Chancery does not have jurisdiction) (the “Delaware Forum Provision”). Notwithstanding the foregoing, our amended and restated certificate of incorporation provides that the Delaware Forum Provision will not apply to suits brought to enforce a duty or liability created by the Securities Exchange Act of 1934, as amended (the “Exchange Act”). Section 27 of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Exchange Act creates exclusive federal jurisdiction over all suits brought to enforce any duty or liability created by the Exchange Act or the rules and regulations thereunder. Our amended and restated certificate of incorporation further provides that unless we consent in writing to the selection of an alternative forum, the federal district courts of the United States of America shall, to the fullest extent permitted by law, be the sole and exclusive forum for resolving any complaint asserting a cause of action arising under the Securities Act (the “Federal Forum Provision”).</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Delaware Forum Provision and the Federal Forum Provision may limit a stockholder’s ability to bring a claim in a judicial forum that the stockholder believes might be favorable for disputes with us or our directors, officers or other employees, which may discourage lawsuits against us and our directors, officers and other employees. Alternatively, if a court were to find the Delaware Forum Provision or the Federal Forum Provision to be inapplicable or unenforceable in an action, we may incur additional costs associated with resolving such action in other jurisdictions, which could harm our business, financial condition or results of operations. Any person or entity purchasing or otherwise acquiring any interest in our shares of capital stock shall be deemed to have notice of and consented to the Delaware Forum Provision and the Federal Forum Provision, but will not be deemed to have waived our compliance with the federal securities laws and the rules and regulations thereunder.</w:t>
      </w:r>
    </w:p>
    <w:p>
      <w:pPr>
        <w:spacing w:after="0" w:line="293"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any dividends on our common stock in the foreseeable future, and, consequently, stockholders’ ability to achieve a return on their investment will depend on appreciation in the price of our common stock.</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do not expect to declare or pay dividends on our common stock in the foreseeable future. We currently expect to use any cash flow generated by operations to pay for our operations, repay existing indebtedness and grow our business. Any decisions to declare and pay dividends in the future will be made at the discretion of our board of directors and will depend on, among other things, our results of operations, financial condition, cash requirements, contractual restrictions, restrictions imposed by applicable law and other factors that our board of directors may deem relevant. Our ability to pay dividends on our common stock is limited by the terms of our senior secured first lien credit facility and senior secured first lien notes. As a result, capital appreciation, if any, of our common stock will be the sole source of potential gain for the foreseeable future, and stockholders will have to sell some or all of their common stock holdings to generate cash flow from their investment.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and any documents incorporated by reference in this prospectus supplement and accompanying prospectus may contain or incorporate by reference “forward-looking statements” within the meaning of the Private Securities Litigation Reform Act of 1995. Forward-looking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or achievements, or industry results, to differ materially from historical results or any future results, performance or achievements expressed, suggested or implied by such forward-looking statements. Such risks and uncertainties include, but are not limited to:</w:t>
      </w:r>
    </w:p>
    <w:p>
      <w:pPr>
        <w:spacing w:after="0" w:line="94" w:lineRule="exact"/>
        <w:rPr>
          <w:sz w:val="20"/>
          <w:szCs w:val="20"/>
          <w:color w:val="auto"/>
        </w:rPr>
      </w:pPr>
    </w:p>
    <w:p>
      <w:pPr>
        <w:ind w:left="1080" w:right="2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in the availability or supply of, or increases in the price of, EO, Co-60 or our other direct materials, services and supplies, including as a result of geopolitical instability and/or sanctions against Russia by the United States, Canada United Kingdom and European Union;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environmental, health and safety regulations or preferences, and general economic, social and business conditions;</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and safety risks associated with the use, storage, transportation and disposal of potentially hazardous materials such as EO and Co-60;</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outcome of current and future legal proceedings and liability claims, including litigation related to the use, emissions and releases of EO from our facilities in California, Georgia, Illinois and New Mexico and the possibility that additional claims will be made in the future relating to these or other facilities;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allegations of our failure to properly perform services and potential product liability claims, recalls, penalties and reputational harm;</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extensive regulatory requirements to which we are subject, the related costs, and any failures to receive or maintain, or delays in receiving, required clearances or approvals;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industry trends;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we face;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changes, including inflationary trends, that impact our long-term supply contracts with variable price clauses and increase our cost of revenues;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continuity hazards, including supply chain disruptions and other risks associated with our operations;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doing business internationally, including global and regional economic and political instability and compliance with numerous and sometimes inconsistent laws and regulations in multiple jurisdictions;</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capacity at existing facilities, build new facilities in a timely and cost-effective manner and renew leases for our leased facilities;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health events or environmental events;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breaches, unauthorized data disclosures, and our dependence on information technology systems;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40"/>
          </w:cols>
          <w:pgMar w:left="320" w:top="455"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8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pursue strategic transactions, find suitable acquisition targets, or integrate strategic acquisitions into our business successfully;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internal controls over financial reporting;</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intellectual property to maintain our competitive position and the risk of claims from third parties that we have infringed or misappropriated, or are infringing or misappropriating, their intellectual property rights;</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rapidly evolving data privacy and security laws and regulations in various jurisdictions and any ineffective compliance efforts with such laws and regulations;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profitability in the future;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on our goodwill and other intangible assets with indefinite lives, as well as other long-lived assets and intangible assets with definite lives;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unionization efforts and labor regulations in countries in which we operate;</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to our tax positions in U.S. or non-U.S. jurisdictions or the interpretation and application of recent U.S. tax legislation or other changes in U.S. or non-U.S. taxation of our operations; and</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1"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significant leverage and how this significant leverage could adversely affect our ability to raise additional capital, limit our ability to react to challenges confronting our Company or broader changes in our industry or the economy, limit our flexibility in operating our business through restrictions contained in our debt agreements and/or prevent us from meeting our obligations under our existing and future indebtedness.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These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or any other person that the future plans, estimates or expectations contemplated by us will be achieved.</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You should carefully consider the above factors, as well as the factors discussed elsewhere in this prospectus supplement and accompanying prospectus, as well as in the documents referred to in “Where You Can Find More Information” and “Incorporation by Reference.” If any of these trends, risks or uncertainties actually occur or continue,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common stock as of the date of this prospectus supplement by each of the selling stockholders covered by this prospectus supplement.</w:t>
      </w:r>
    </w:p>
    <w:p>
      <w:pPr>
        <w:spacing w:after="0" w:line="16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We have based the calculation of the percentage of beneficial ownership on 283,214,342 shares of common stock outstanding as of July 29, 2024. Except as disclosed in the footnotes to this table and subject to applicable community property laws, we believe that each stockholder identified in the table possesses sole voting and investment power over all shares of common stock shown as beneficially owned by the stockholder.</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2160" w:type="dxa"/>
            <w:vAlign w:val="bottom"/>
            <w:gridSpan w:val="4"/>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1740" w:type="dxa"/>
            <w:vAlign w:val="bottom"/>
            <w:gridSpan w:val="4"/>
          </w:tcPr>
          <w:p>
            <w:pPr>
              <w:jc w:val="center"/>
              <w:ind w:left="149"/>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160" w:type="dxa"/>
            <w:vAlign w:val="bottom"/>
            <w:gridSpan w:val="4"/>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 the</w:t>
            </w:r>
          </w:p>
        </w:tc>
        <w:tc>
          <w:tcPr>
            <w:tcW w:w="1740" w:type="dxa"/>
            <w:vAlign w:val="bottom"/>
            <w:gridSpan w:val="4"/>
          </w:tcPr>
          <w:p>
            <w:pPr>
              <w:jc w:val="center"/>
              <w:ind w:left="149"/>
              <w:spacing w:after="0" w:line="149" w:lineRule="exact"/>
              <w:rPr>
                <w:sz w:val="20"/>
                <w:szCs w:val="20"/>
                <w:color w:val="auto"/>
              </w:rPr>
            </w:pPr>
            <w:r>
              <w:rPr>
                <w:rFonts w:ascii="Times New Roman" w:cs="Times New Roman" w:eastAsia="Times New Roman" w:hAnsi="Times New Roman"/>
                <w:sz w:val="14"/>
                <w:szCs w:val="14"/>
                <w:b w:val="1"/>
                <w:bCs w:val="1"/>
                <w:color w:val="auto"/>
              </w:rPr>
              <w:t>Owned After the</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1220" w:type="dxa"/>
            <w:vAlign w:val="bottom"/>
            <w:tcBorders>
              <w:bottom w:val="single" w:sz="8" w:color="auto"/>
            </w:tcBorders>
            <w:gridSpan w:val="2"/>
          </w:tcPr>
          <w:p>
            <w:pPr>
              <w:jc w:val="center"/>
              <w:ind w:left="384"/>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460" w:type="dxa"/>
            <w:vAlign w:val="bottom"/>
            <w:tcBorders>
              <w:bottom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2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0" w:type="dxa"/>
            <w:vAlign w:val="bottom"/>
          </w:tcPr>
          <w:p>
            <w:pPr>
              <w:spacing w:after="0"/>
              <w:rPr>
                <w:sz w:val="10"/>
                <w:szCs w:val="10"/>
                <w:color w:val="auto"/>
              </w:rPr>
            </w:pPr>
          </w:p>
        </w:tc>
        <w:tc>
          <w:tcPr>
            <w:tcW w:w="6620" w:type="dxa"/>
            <w:vAlign w:val="bottom"/>
          </w:tcPr>
          <w:p>
            <w:pPr>
              <w:spacing w:after="0"/>
              <w:rPr>
                <w:sz w:val="10"/>
                <w:szCs w:val="10"/>
                <w:color w:val="auto"/>
              </w:rPr>
            </w:pPr>
          </w:p>
        </w:tc>
        <w:tc>
          <w:tcPr>
            <w:tcW w:w="122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Shares</w:t>
            </w:r>
          </w:p>
        </w:tc>
        <w:tc>
          <w:tcPr>
            <w:tcW w:w="340" w:type="dxa"/>
            <w:vAlign w:val="bottom"/>
          </w:tcPr>
          <w:p>
            <w:pPr>
              <w:spacing w:after="0"/>
              <w:rPr>
                <w:sz w:val="10"/>
                <w:szCs w:val="10"/>
                <w:color w:val="auto"/>
              </w:rPr>
            </w:pPr>
          </w:p>
        </w:tc>
        <w:tc>
          <w:tcPr>
            <w:tcW w:w="92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Number</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w:t>
            </w:r>
            <w:r>
              <w:rPr>
                <w:rFonts w:ascii="Times New Roman" w:cs="Times New Roman" w:eastAsia="Times New Roman" w:hAnsi="Times New Roman"/>
                <w:sz w:val="10"/>
                <w:szCs w:val="10"/>
                <w:b w:val="1"/>
                <w:bCs w:val="1"/>
                <w:color w:val="auto"/>
              </w:rPr>
              <w:t>(1)</w:t>
            </w:r>
          </w:p>
        </w:tc>
        <w:tc>
          <w:tcPr>
            <w:tcW w:w="12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46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Offered</w:t>
            </w:r>
          </w:p>
        </w:tc>
        <w:tc>
          <w:tcPr>
            <w:tcW w:w="34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840" w:type="dxa"/>
            <w:vAlign w:val="bottom"/>
            <w:tcBorders>
              <w:bottom w:val="single" w:sz="8" w:color="CCEEFF"/>
            </w:tcBorders>
            <w:gridSpan w:val="2"/>
            <w:vMerge w:val="continue"/>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Held</w:t>
            </w:r>
          </w:p>
        </w:tc>
        <w:tc>
          <w:tcPr>
            <w:tcW w:w="36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Hereby</w:t>
            </w:r>
          </w:p>
        </w:tc>
        <w:tc>
          <w:tcPr>
            <w:tcW w:w="34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Held</w:t>
            </w:r>
          </w:p>
        </w:tc>
        <w:tc>
          <w:tcPr>
            <w:tcW w:w="3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20" w:type="dxa"/>
            <w:vAlign w:val="bottom"/>
            <w:shd w:val="clear" w:color="auto" w:fill="CCEEFF"/>
          </w:tcPr>
          <w:p>
            <w:pPr>
              <w:spacing w:after="0"/>
              <w:rPr>
                <w:sz w:val="18"/>
                <w:szCs w:val="18"/>
                <w:color w:val="auto"/>
              </w:rPr>
            </w:pPr>
          </w:p>
        </w:tc>
        <w:tc>
          <w:tcPr>
            <w:tcW w:w="6620" w:type="dxa"/>
            <w:vAlign w:val="bottom"/>
            <w:shd w:val="clear" w:color="auto" w:fill="CCEEFF"/>
          </w:tcPr>
          <w:p>
            <w:pPr>
              <w:ind w:left="140"/>
              <w:spacing w:after="0" w:line="210" w:lineRule="exact"/>
              <w:rPr>
                <w:sz w:val="20"/>
                <w:szCs w:val="20"/>
                <w:color w:val="auto"/>
              </w:rPr>
            </w:pPr>
            <w:r>
              <w:rPr>
                <w:rFonts w:ascii="Times New Roman" w:cs="Times New Roman" w:eastAsia="Times New Roman" w:hAnsi="Times New Roman"/>
                <w:sz w:val="17"/>
                <w:szCs w:val="17"/>
                <w:color w:val="auto"/>
              </w:rPr>
              <w:t>Investment funds and entities affiliated with Warburg Pincus</w:t>
            </w:r>
            <w:r>
              <w:rPr>
                <w:rFonts w:ascii="Times New Roman" w:cs="Times New Roman" w:eastAsia="Times New Roman" w:hAnsi="Times New Roman"/>
                <w:sz w:val="24"/>
                <w:szCs w:val="24"/>
                <w:color w:val="auto"/>
                <w:vertAlign w:val="superscript"/>
              </w:rPr>
              <w:t>(2)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88,822,952</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31.36%</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9"/>
        </w:trPr>
        <w:tc>
          <w:tcPr>
            <w:tcW w:w="220" w:type="dxa"/>
            <w:vAlign w:val="bottom"/>
          </w:tcPr>
          <w:p>
            <w:pPr>
              <w:spacing w:after="0"/>
              <w:rPr>
                <w:sz w:val="24"/>
                <w:szCs w:val="24"/>
                <w:color w:val="auto"/>
              </w:rPr>
            </w:pPr>
          </w:p>
        </w:tc>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funds and entities affiliated with GTCR</w:t>
            </w:r>
            <w:r>
              <w:rPr>
                <w:rFonts w:ascii="Times New Roman" w:cs="Times New Roman" w:eastAsia="Times New Roman" w:hAnsi="Times New Roman"/>
                <w:sz w:val="26"/>
                <w:szCs w:val="26"/>
                <w:color w:val="auto"/>
                <w:vertAlign w:val="superscript"/>
              </w:rPr>
              <w:t>(3)</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59,215,301</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20.91%</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Represents beneficial ownership of less than 1%</w:t>
            </w: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right="140" w:hanging="424"/>
        <w:spacing w:after="0" w:line="282"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shown in the table above include shares held in the selling stockholder’s name or jointly with others, or in the name of a bank, nominee or trustee for the selling stockholder’s account.</w:t>
      </w:r>
    </w:p>
    <w:p>
      <w:pPr>
        <w:spacing w:after="0" w:line="67" w:lineRule="exact"/>
        <w:rPr>
          <w:rFonts w:ascii="Times New Roman" w:cs="Times New Roman" w:eastAsia="Times New Roman" w:hAnsi="Times New Roman"/>
          <w:sz w:val="18"/>
          <w:szCs w:val="18"/>
          <w:color w:val="auto"/>
        </w:rPr>
      </w:pPr>
    </w:p>
    <w:p>
      <w:pPr>
        <w:ind w:left="540" w:right="240" w:hanging="424"/>
        <w:spacing w:after="0" w:line="282"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71,083,263 shares held of record by Bull Holdco L.P., a Delaware limited partnership (“Bull Holdco”) and (ii) 17,739,689 shares held of record by Bull Co-Invest L.P., a Delaware limited partnership (“Bull Co-Invest”).</w:t>
      </w:r>
    </w:p>
    <w:p>
      <w:pPr>
        <w:spacing w:after="0" w:line="53" w:lineRule="exact"/>
        <w:rPr>
          <w:rFonts w:ascii="Times New Roman" w:cs="Times New Roman" w:eastAsia="Times New Roman" w:hAnsi="Times New Roman"/>
          <w:sz w:val="18"/>
          <w:szCs w:val="18"/>
          <w:color w:val="auto"/>
        </w:rPr>
      </w:pPr>
    </w:p>
    <w:p>
      <w:pPr>
        <w:ind w:left="560" w:right="1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August 5, 2021, the WP XI Funds (as defined below) contributed their shares of common stock (the “Contributed Shares”) to Bull Holdco, pursuant to the terms of a Contribution and Exchange Agreement among such persons and Bull Holdco. The WP XI Funds (as defined below) share limited partnership ownership in Bull Holdco on a pro rata basis in accordance with their respective numbers of Contributed Shares. WP Bull Holdco GP LLC, a Delaware limited liability company, is the general partner of Bull Holdco, and WP XI (as defined below) is the sole member of WP Bull Holdco GP LLC.</w:t>
      </w:r>
    </w:p>
    <w:p>
      <w:pPr>
        <w:spacing w:after="0" w:line="75" w:lineRule="exact"/>
        <w:rPr>
          <w:rFonts w:ascii="Times New Roman" w:cs="Times New Roman" w:eastAsia="Times New Roman" w:hAnsi="Times New Roman"/>
          <w:sz w:val="18"/>
          <w:szCs w:val="18"/>
          <w:color w:val="auto"/>
        </w:rPr>
      </w:pPr>
    </w:p>
    <w:p>
      <w:pPr>
        <w:ind w:left="560"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“Warburg Pincus Sponsors” include Warburg Pincus Private Equity XI, L.P., a Delaware limited partnership (“WP XI”), Warburg Pincus Private Equity XI-B, L.P., a Delaware limited partnership (“WP XI-B”), Warburg Pincus Private Equity XI-C, L.P., a Cayman Islands exempted limited partnership (“WP XI-C”), WP XI Partners, L.P., a Delaware limited partnership (“WP XI Partners”), Warburg Pincus XI Partners, L.P., a Delaware limited partnership (“Warburg Pincus XI Partners”) and Bull Co-Invest. Warburg Pincus XI, L.P., a Delaware limited partnership (“WP XI GP”), is the general partner of each of (i) WP XI, (ii) WP XI-B, (iii) WP XI Partners and (iv) Warburg Pincus XI Partners. WP Global LLC, a Delaware limited liability company (“WP Global”), is the general partner of WP XI GP. Warburg Pincus Partners II, L.P., a Delaware limited partnership (“WPP II”), is the managing member of WP Global. Warburg Pincus Partners GP LLC, a Delaware limited liability company (“WPP GP LLC”), is the general partner of WPP II. Warburg Pincus &amp; Co., a New York general partnership (“WP”), is the managing member of WPP GP LLC. Warburg Pincus (Cayman) XI, L.P., a Cayman Islands exempted limited partnership (“WP XI Cayman GP”), is the general partner of WP XI-C (WP XI-C and, together with WP XI, WP XI-B, WP XI Partners and Warburg Pincus XI Partners, the “WP XI Funds”). Warburg Pincus XI-C, LLC, a Delaware limited liability company (“WP XI-C LLC”), is the general partner of WP XI Cayman GP. Warburg Pincus Partners II (Cayman), L.P., a Cayman Islands exempted limited partnership (“WPP II Cayman”), is the managing member of WP XI-C LLC. Warburg Pincus (Bermuda) Private Equity GP Ltd., a Bermuda exempted</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40"/>
          </w:cols>
          <w:pgMar w:left="320" w:top="455"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100"/>
        <w:spacing w:after="0" w:line="261" w:lineRule="auto"/>
        <w:rPr>
          <w:sz w:val="20"/>
          <w:szCs w:val="20"/>
          <w:color w:val="auto"/>
        </w:rPr>
      </w:pPr>
      <w:r>
        <w:rPr>
          <w:rFonts w:ascii="Times New Roman" w:cs="Times New Roman" w:eastAsia="Times New Roman" w:hAnsi="Times New Roman"/>
          <w:sz w:val="18"/>
          <w:szCs w:val="18"/>
          <w:color w:val="auto"/>
        </w:rPr>
        <w:t>company (“WP Bermuda GP”), is the general partner of WPP II Cayman. WP Bull Manager LLC, a Delaware limited Liability company (“WP Bull Manager”), is the general partner of Bull Co-Invest. WP is managing member of WP Bull Manager. Warburg Pincus LLC, a New York limited liability company (“WP LLC”), is the manager of the WP XI Funds. The address of the Warburg Pincus Sponsors is 450 Lexington Avenue, New York, New York 10017.</w:t>
      </w:r>
    </w:p>
    <w:p>
      <w:pPr>
        <w:spacing w:after="0" w:line="85" w:lineRule="exact"/>
        <w:rPr>
          <w:sz w:val="20"/>
          <w:szCs w:val="20"/>
          <w:color w:val="auto"/>
        </w:rPr>
      </w:pPr>
    </w:p>
    <w:p>
      <w:pPr>
        <w:ind w:left="540" w:hanging="424"/>
        <w:spacing w:after="0" w:line="253"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46,997,881 shares held of record by GTCR Fund XI/A LP, (ii) 11,840,751 shares held of record by GTCR Fund XI/C LP and (iii) 376,669 shares held of record by GTCR Co-Invest XI LP (collectively, the “GTCR Stockholders”). GTCR Partners XI/A&amp;C LP is the general partner of each of GTCR Fund XI/A LP and GTCR Fund XI/C LP. GTCR Investment XI LLC is the general partner of each of GTCR Co-Invest XI LP and GTCR Partners XI/A&amp;C LP. GTCR Investment XI LLC is managed by a board of managers (the “GTCR Board of Managers”) consisting of Mark M. Anderson, Aaron D. Cohen, Sean L. Cunningham, David A. Donnini, Constantine S. Mihas and Collin E. Roche, and no single person has voting or dispositive authority over the shares. Each of GTCR Partners XI/A&amp;C LP, GTCR Investment XI LLC and the GTCR Board of Managers may be deemed to share beneficial ownership of the shares held of record by the GTCR Stockholders, and each of the individual members of the GTCR Board of Managers disclaims beneficial ownership of the shares held of record by the GTCR Stockholders except to the extent of his pecuniary interest therein. The address for each of the GTCR Stockholders, GTCR Partners XI/A&amp;C LP and GTCR Investment XI LLC is 300 North LaSalle Street, Suite 5600, Chicago, Illinois, 60654.</w:t>
      </w:r>
    </w:p>
    <w:p>
      <w:pPr>
        <w:spacing w:after="0" w:line="12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0980"/>
          </w:cols>
          <w:pgMar w:left="320" w:top="455" w:right="5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FOR NON-U.S. HOLDERS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following discussion describes the material U.S. federal income tax considerations that are likely to be relevant to the purchase, ownership, and disposition of shares of our common stock. This discussion deals only with shares of our common stock held as capital assets by investors who purchased shares of our common stock in this offering. This discussion does not cover all aspects of U.S. federal taxation that may be relevant to the purchase, ownership or disposition of shares of our common stock by prospective investors in light of their specific facts and circumstances. In particular, this discussion does not address all of the tax considerations that may be relevant to persons in special tax situations, including banks, insurance companies or other financial institutions, dealers in securities, persons that will hold (actually or constructively) more than 5% of our common stock, certain former citizens or residents of the United States, a person that is a “controlled foreign corporation,” a person that is a “passive foreign investment company,” persons holding shares of our common stock as part of a hedge, straddle, conversion or other integrated financial transaction, entities that are treated as partnerships for U.S. federal income tax purposes (or partners therein) or persons that are otherwise subject to special treatment under the Internal Revenue Code of 1986, as amended (the “Code”). This section does not address any other U.S. federal tax considerations (such as estate tax, gift taxes or the Medicare tax on net investment income) or any state, local or non-U.S. tax considerations. Except with respect to the discussion in “—Information Reporting and Backup Withholding,” this section addresses only Non-U.S. Holders (as defined below).</w:t>
      </w:r>
    </w:p>
    <w:p>
      <w:pPr>
        <w:spacing w:after="0" w:line="190"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You should consult your own tax advisors about the tax consequences of the purchase, ownership and disposition of shares of our common stock in light of your own particular circumstances, including the tax consequences under state, local, non-U.S. and other tax laws and the possible effects of any changes in applicable tax laws.</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For purposes of this discussion, a “U.S. Holder” means a beneficial owner of shares of our common stock that is an individual citizen or resident of the United States, a domestic corporation or otherwise subject to U.S. federal income tax on a net basis with respect to income from our common stock. A “Non-U.S. Holder” means any beneficial owner of shares of our common stock that is not a U.S. Holder and is not an entity that is treated as a partnership for U.S. federal income tax purposes.</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This discussion is based on the tax laws of the United States, including the Code, existing and proposed regulations, and administrative and judicial interpretations, all as currently in effect. Such authorities may be repealed, revoked, modified or subject to differing interpretations, possibly on a retroactive basis, so as to result in U.S. federal income tax consequences different from those discussed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 distribution of cash or property with respect to shares of our common stock generally will be treated as a dividend to the extent paid out of our current or accumulated earnings and profits, as determined under U.S. federal income tax principles. If such a distribution exceeds our current and accumulated earnings and profits, the excess will be first treated as a tax-free return of the Non-U.S. Holder’s investment, up to the Non-U.S. Holder’s tax basis in the shares of our common stock, and thereafter as a capital gain subject to the tax treatment described below in “—Sale, Exchange or Other Taxable Disposition of Common Stock.”</w:t>
      </w:r>
    </w:p>
    <w:p>
      <w:pPr>
        <w:spacing w:after="0" w:line="183"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Dividends paid to a Non-U.S. Holder generally will be subject to withholding of U.S. federal income tax at a 30% rate, or such lower rate as may be specified by an applicable tax treaty.</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Even if a Non-U.S. Holder is eligible for a lower treaty rate, a withholding agent generally will be required to withhold at a 30% rate (rather than the lower treaty rate) unless the Non-U.S. Holder has furnished a valid Internal Revenue Service (“IRS”) Form W-8BEN or W-8BEN-E, or other documentary evidence establishing the Non-U.S. Holder’s entitlement to the lower treaty rate with respect to such dividend payments, and the withholding agent does not have actual knowledge or reason to know to the contrary.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under the U.S. tax rules known as the Foreign Account Tax Compliance Act (“FATCA”), a Non-U.S. Holder will generally be subject to a 30% U.S. withholding tax on dividends in respect of our common stock if the Non-U.S. Holder is not FATCA compliant or holds its common stock through a foreign financial institution that is not FATCA compliant. In order to be treated as FATCA compliant, a Non-U.S. Holder must provide certain documentation (usually an IRS Form W-8BEN or W-8BEN-E) containing information about its identity, its FATCA status and, if required, its direct and indirect U.S. owners. These requirements may be modified by the adoption or implementation of a particular intergovernmental agreement between the United States and another country or by future U.S. Treasury Regulations. Documentation that Non-U.S. Holders provide in order to be treated as FATCA compliant may be reported to the IRS and other tax authorities, including information about a Non-U.S. Holder’s identity, its FATCA status and, if applicable, its direct and indirect U.S. owners.</w:t>
      </w:r>
    </w:p>
    <w:p>
      <w:pPr>
        <w:spacing w:after="0" w:line="19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If a Non-U.S. Holder is eligible for a reduced rate of U.S. federal withholding tax pursuant to an applicable income tax treaty or otherwise, the Non-U.S. Holder may obtain a refund of any excess amounts withheld by timely filing an appropriate claim for refund with the IRS.</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Investors should consult their own tax advisors about how these information reporting and withholding tax rules may apply to their investment in shares of our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 Exchange or Other Taxable Disposition of Common Stock</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Non-U.S. Holders generally will not be subject to U.S. federal income tax with respect to gain recognized on a sale, exchange or other taxable disposition of shares of our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Information returns are required to be filed with the IRS with respect to payments made to certain U.S. and Non-U.S. Holders in connection with distributions or the sale or other disposition of our common stock. In addition, certain U.S. Holders may be subject to backup withholding tax in respect of such payments if they do not provide their taxpayer identification numbers to the applicable withholding agent, fail to certify that they are not subject to backup withholding tax or otherwise fail to comply with applicable backup withholding tax rules. Non-U.S. Holders may be required to comply with applicable certification procedures to establish that they are Non-U.S. Holders in order to avoid the application of certain information reporting requirements or backup withholding tax. Any amount paid as backup withholding may be creditable against the holder’s U.S. federal income tax liability or allowed as a refund, provided that the required information is timely furnished to the IRS.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00"/>
          </w:cols>
          <w:pgMar w:left="320" w:top="455"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do not currently expect to pay any dividends on our common stock. Instead, we intend to use any future earnings for the operation and growth of our business and the repayment of indebtedness.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Future cash dividends, if any, will be at the discretion of our board of directors and will depend upon, among other things, our financial condition, earnings, capital requirements, level of indebtedness, statutory and contractual restrictions applicable to the payment of dividends and other considerations that our board of directors may deem relevant. The timing and amount of future dividend payments will be at the discretion of our board of directors.</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Because we are a holding company and have no direct operations, we will only be able to pay dividends from our available cash on hand and any funds we receive from our subsidiaries. The agreements governing our existing indebtedness contain negative covenants that limit, among other things, our ability to pay cash dividends on our common stock, and the terms of any future loan agreement into which we may enter or any additional debt securities we may issue are likely to contain similar restrictions on the payment of dividends. In addition, Delaware law imposes requirements that may restrict our ability to pay dividends. See “Risk Factors—Risks Related to this Offering and Ownership of Our Common Stock—We do not anticipate paying any dividends on our common stock in the foreseeable future, and, consequently, your ability to achieve a return on your investment will depend on appreciation in the price of our common stock.”</w:t>
      </w:r>
    </w:p>
    <w:p>
      <w:pPr>
        <w:spacing w:after="0" w:line="189"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For a discussion of the application of withholding taxes on dividends, see “Material U.S. Federal Income Tax Considerations for Non-U.S. Holders.”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060"/>
          </w:cols>
          <w:pgMar w:left="320" w:top="455" w:right="5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the selling stockholders and Citigroup Global Markets Inc. (the “underwriter”) have entered into an underwriting agreement with respect to the shares of our common stock being offered by the selling stockholders. Subject to certain conditions, the underwriter has agreed to purchase an aggregate of        shares of our common stock from the selling stockholders.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underwriter is committed to take and pay for all of the shares of our common stock being offered by the selling stockholders, if any are taken.</w:t>
      </w:r>
    </w:p>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underwriter proposes to offer the common stock from time to time for sale in one or more transactions on Nasdaq, in the over-the-counter market, through negotiated transactions or otherwise at market prices prevailing at the time of sale, at prices related to prevailing market prices or at negotiated prices, subject to receipt and acceptance by the underwriter and subject to its right to reject any order in whole or in part. The underwriter may offer shares of common stock for sale at different prices at the same time. In connection with the sale of the common stock, the underwriter may be deemed to have received compensation in the form of underwriting discounts. The underwriter may effect such transactions by selling the common stock to or through dealers, and such dealers may receive compensation in the form of discounts, concessions or commissions from the underwriter and/or purchasers of the common stock for whom they may act as an agent or to whom they may sell as principal. The difference between the price at which the underwriter purchases the common stock and the price at which the underwriter resells such shares may be deemed underwriting compensation.</w:t>
      </w:r>
    </w:p>
    <w:p>
      <w:pPr>
        <w:spacing w:after="0" w:line="188"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estimate that the total expenses of this offering, including registration, filing and listing fees, printing fees and legal and accounting expenses, but excluding the underwriting discounts and commissions, will be approximately $510,500.</w:t>
      </w:r>
    </w:p>
    <w:p>
      <w:pPr>
        <w:spacing w:after="0" w:line="16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have agreed that, subject to certain exceptions, we will not, without the prior written consent of the underwriter for a period of 45 days after the date of this prospectus supplement, (i) offer, pledge, sell, contract to sell, sell any option or contract to purchase, purchase any option or contract to sell, grant any option, right or warrant to purchase, lend, or otherwise transfer or dispose of, directly or indirectly, or publicly file with, the SEC a registration statement under the Securities Act relating to, any shares of common stock or any securities convertible into or exercisable or exchangeable for common stock, or publicly disclose the intention to undertake any of the foregoing or (ii) enter into any swap or other agreement that transfers, in whole or in part, any of the economic consequences of ownership of common stock or any such other securities.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executive officers, directors and the selling stockholders have entered into lock-up agreements with the underwriter pursuant to which each of them, subject to certain exceptions, for a period of 45 days after the date of this prospectus supplement, may not, without the prior written consent of the underwriter, (i)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(ii) enter into any hedging, swap, or other agreement or transaction that transfers, in whole or in part, any of the economic consequences of ownership of the common stock or such other securities; (iii) make any demand for or exercise any right with respect to the registration of any shares of our common stock or any security convertible into or exercisable or exchangeable for our common stock, except as those demands or exercises do not involve any public disclosure or filing; or (iv) publicly disclose the intention to undertake any of the foregoing.</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lock-up restrictions described in the immediately preceding paragraph are subject to certain exceptions including, without limitation:</w:t>
      </w:r>
    </w:p>
    <w:p>
      <w:pPr>
        <w:spacing w:after="0" w:line="27" w:lineRule="exact"/>
        <w:rPr>
          <w:sz w:val="20"/>
          <w:szCs w:val="20"/>
          <w:color w:val="auto"/>
        </w:rPr>
      </w:pPr>
    </w:p>
    <w:p>
      <w:pPr>
        <w:jc w:val="both"/>
        <w:ind w:left="120" w:right="60" w:hanging="4"/>
        <w:spacing w:after="0" w:line="265" w:lineRule="auto"/>
        <w:tabs>
          <w:tab w:leader="none" w:pos="33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transfers as part of a sale of lock-up securities in open market transactions after the closing of this offering, (ii) transfers to us in connection with the vesting, settlement, or exercise of restricted stock units, shares of restricted stock, options, warrants or other rights to purchase shares of common stock,</w:t>
      </w:r>
    </w:p>
    <w:p>
      <w:pPr>
        <w:ind w:left="440" w:hanging="324"/>
        <w:spacing w:after="0"/>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pursuant to an order of a court or regulatory agency related to the lock-up party’s ownership of the</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lock-up securities; and (iv) transfers by pledging, hypothecating or otherwise granting a security interest in any lock-up securities as collateral and transfer such lock-up securities upon foreclosure, among others.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and the selling stockholders have agreed to indemnify the underwriter against certain liabilities, including liabilities under the Securities Act.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under the symbol “SHC.”</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this offering, the underwriter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 of a greater number of shares of common stock than it is required to purchase in this offering, and purchasing shares of common stock on the open market to cover positions created by short sales.</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 commences these activities, it may discontinue them at any time. The underwriter may carry out these transactions on Nasdaq, in the over-the-counter market or otherwise.</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underwriter and its affiliates are full service financial institutions engaged in various activities, which may include sales and trading, commercial and investment banking, advisory, investment management, investment research, principal investment, hedging, market-making, brokerage and other financial and non-financial activities and services.</w:t>
      </w:r>
    </w:p>
    <w:p>
      <w:pPr>
        <w:spacing w:after="0" w:line="176"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The underwriter and its affiliates may have provided in the past to us and our affiliates and may provide from time to time in the future certain commercial banking, financial advisory, investment banking and other services for us and such affiliates in the ordinary course of their business, for which they may have received and may from time to time in the future receive customary fees and commissions. In addition, from time to time, the underwriter and its affiliates may effect transactions for their own account or the account of customers, and hold on behalf of themselves or their customers, long or short positions in our debt or equity securities or loans, and may do so in the future. The underwriter and/or its affiliates are lenders, and/or act as agents or arrangers, under our senior secured first lien credit facility.</w:t>
      </w:r>
    </w:p>
    <w:p>
      <w:pPr>
        <w:spacing w:after="0" w:line="187"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 and its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 and its affiliates may also communicate independent investment recommendations, market color or trading ideas and/or publish or express independent research views in respect of such securities or instruments and may at any time hold, or recommend to clients that they should acquire, long and/or short positions in such assets, securities and instruments.</w:t>
      </w:r>
    </w:p>
    <w:p>
      <w:pPr>
        <w:spacing w:after="0" w:line="189"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the selling stockholders or the underwriter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40"/>
          </w:cols>
          <w:pgMar w:left="320" w:top="455"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supplement. This prospectus supplement does not constitute an offer to sell or a solicitation of an offer to buy any securities offered by this prospectus supplement in any jurisdiction in which such an offer or a solicitation is unlawful.</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European Economic Area</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Member State”), no shares have been offered or will be offered pursuant to this offering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Regulation, except that offers of shares may be made to the public in that Relevant Member State at any time under the following exemptions under the Prospectus Regulation:</w:t>
      </w:r>
    </w:p>
    <w:p>
      <w:pPr>
        <w:spacing w:after="0" w:line="89" w:lineRule="exact"/>
        <w:rPr>
          <w:sz w:val="20"/>
          <w:szCs w:val="20"/>
          <w:color w:val="auto"/>
        </w:rPr>
      </w:pPr>
    </w:p>
    <w:p>
      <w:pPr>
        <w:ind w:left="540" w:hanging="424"/>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130" w:lineRule="exact"/>
        <w:rPr>
          <w:rFonts w:ascii="Times New Roman" w:cs="Times New Roman" w:eastAsia="Times New Roman" w:hAnsi="Times New Roman"/>
          <w:sz w:val="18"/>
          <w:szCs w:val="18"/>
          <w:color w:val="auto"/>
        </w:rPr>
      </w:pPr>
    </w:p>
    <w:p>
      <w:pPr>
        <w:ind w:left="540" w:right="320" w:hanging="424"/>
        <w:spacing w:after="0" w:line="282"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540" w:right="300" w:hanging="424"/>
        <w:spacing w:after="0" w:line="266"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 provided that no such offer of shares shall require the company or the underwriter to publish a prospectus pursuant to Article 3 of the Prospectus Regulation or supplement a prospectus pursuant to Article 23 of the Prospectus Regulation.</w:t>
      </w:r>
    </w:p>
    <w:p>
      <w:pPr>
        <w:spacing w:after="0" w:line="176"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Each person in a Relevant Member State (other than a Relevant Member State where there is a permitted public offer) who initially acquires any shares or to whom any offer is made will be deemed to have represented, acknowledged and agreed to and with the company and the underwriter that it is a qualified investor within the meaning of the Prospectus Regulation.</w:t>
      </w:r>
    </w:p>
    <w:p>
      <w:pPr>
        <w:spacing w:after="0" w:line="176"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Member State to qualified investors, in circumstances in which the prior consent of the underwriter has been obtained to each such proposed offer or resale.</w:t>
      </w:r>
    </w:p>
    <w:p>
      <w:pPr>
        <w:spacing w:after="0" w:line="183"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company, the underwriter and their affiliates will rely upon the truth and accuracy of the foregoing representations, acknowledgements and agreements.</w:t>
      </w:r>
    </w:p>
    <w:p>
      <w:pPr>
        <w:spacing w:after="0" w:line="162"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For the purposes of this provision, the expression an “offer to the public” in relation to any shares in any Relevant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(as amended).</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United Kingdom</w:t>
      </w:r>
    </w:p>
    <w:p>
      <w:pPr>
        <w:spacing w:after="0" w:line="11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An offer to the public of any shares may not be made in the United Kingdom, except that an offer to the public in the United Kingdom of any shares may be made at any time under the following exemptions under the UK Prospectus Regulation:</w:t>
      </w:r>
    </w:p>
    <w:p>
      <w:pPr>
        <w:spacing w:after="0" w:line="67"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UK Prospectus Regulation;</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UK Prospectus Regulation), subject to obtaining the prior consent of the representatives for any such offer; or</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060"/>
          </w:cols>
          <w:pgMar w:left="320" w:top="455" w:right="5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(as amended, “FSMA”);</w:t>
      </w:r>
    </w:p>
    <w:p>
      <w:pPr>
        <w:spacing w:after="0" w:line="225"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provided that no such offer of Shares shall result in a requirement for the company or the underwriter to publish a prospectus pursuant to section 85 of the FSMA or a supplemental prospectus pursuant to Article 23 of the UK Prospectus Regulation and each person who initially acquires any shares or to whom any offer is made will be deemed to have represented, acknowledged and agreed to the company and the underwriter that it is a qualified investor within the meaning of Article 2 of the UK Prospectus Regulation.</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1(4) of the UK Prospectus Regulation, each such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the United Kingdom to qualified investors, in circumstances in which the prior consent of the underwriter has been obtained to each such proposed offer or resale.</w:t>
      </w:r>
    </w:p>
    <w:p>
      <w:pPr>
        <w:spacing w:after="0" w:line="183"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company, the underwriter and their affiliates will rely upon the truth and accuracy of the foregoing representations, acknowledgements and agreements.</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addition, in the United Kingdom, this document is being distributed only to, and is directed only at, and any offer subsequently made may only be directed at persons who are “qualified investors” (as defined in the UK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FSMA.</w:t>
      </w:r>
    </w:p>
    <w:p>
      <w:pPr>
        <w:spacing w:after="0" w:line="187"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of Prospective Investors in Switzerland</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prospectus supplement is not intended to constitute an offer or solicitation to purchase or invest in the shares. The shares may not be publicly offered, directly or indirectly, in Switzerland within the meaning of the Swiss Financial Services Act (“FinSA”) and no application has or will be made to admit the shares to trading on any trading venue (exchange or multilateral trading facility) in Switzerland. Neither this prospectus supplement nor any other offering or marketing material relating to the shares constitutes a prospectus pursuant to the FinSA, and neither this prospectus supplement nor any other offering or marketing material relating to the shares may be publicly distributed or otherwise made publicly available in Switzerland.</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Dubai International Financial Centre</w:t>
      </w:r>
    </w:p>
    <w:p>
      <w:pPr>
        <w:spacing w:after="0" w:line="11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relates to an Exempt Offer in accordance with the Markets Rules 2012 of the Dubai Financial Services Authority (“DFSA”). This prospectus supplement is intended for distribution only to persons of a type specified in the Markets Rules 2012 of the DFSA. It must not be delivered to, or relied on by,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any other person. The DFSA has no responsibility for reviewing or verifying any documents in connection with Exempt Offers. The DFSA has not approved this prospectus supplement nor taken steps to verify the information set forth herein and has no responsibility for the prospectus.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w:t>
      </w:r>
    </w:p>
    <w:p>
      <w:pPr>
        <w:spacing w:after="0" w:line="183"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In relation to its use in the DIFC, this prospectus supplement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Australia</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prospectus:</w:t>
      </w:r>
    </w:p>
    <w:p>
      <w:pPr>
        <w:spacing w:after="0" w:line="131" w:lineRule="exact"/>
        <w:rPr>
          <w:sz w:val="20"/>
          <w:szCs w:val="20"/>
          <w:color w:val="auto"/>
        </w:rPr>
      </w:pPr>
    </w:p>
    <w:p>
      <w:pPr>
        <w:ind w:left="1080" w:right="46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constitute a disclosure document or a prospectus under Chapter 6D.2 of the Corporations Act 2001 (Cth) (the “Corporations Act”);</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81"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only be provided in Australia to select investors who are able to demonstrate that they fall within one or more of the categories of investors, available under section 708 of the Corporations Act.</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80"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sale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Hong Kong</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Japan</w:t>
      </w:r>
    </w:p>
    <w:p>
      <w:pPr>
        <w:spacing w:after="0" w:line="11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shares have not been and will not be registered pursuant to Article 4, Paragraph 1 of the Financial Instruments and Exchange Law of Japan.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Singapore</w:t>
      </w:r>
    </w:p>
    <w:p>
      <w:pPr>
        <w:spacing w:after="0" w:line="11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underwriter has acknowledged that this prospectus supplement has not been registered as a prospectus with the Monetary Authority of Singapore. Accordingly, the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the shares, whether directly or indirectly, to any person in Singapore other than:</w:t>
      </w:r>
    </w:p>
    <w:p>
      <w:pPr>
        <w:spacing w:after="0" w:line="93" w:lineRule="exact"/>
        <w:rPr>
          <w:sz w:val="20"/>
          <w:szCs w:val="20"/>
          <w:color w:val="auto"/>
        </w:rPr>
      </w:pPr>
    </w:p>
    <w:p>
      <w:pPr>
        <w:ind w:left="540" w:right="160" w:hanging="424"/>
        <w:spacing w:after="0" w:line="282"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67" w:lineRule="exact"/>
        <w:rPr>
          <w:rFonts w:ascii="Times New Roman" w:cs="Times New Roman" w:eastAsia="Times New Roman" w:hAnsi="Times New Roman"/>
          <w:sz w:val="18"/>
          <w:szCs w:val="18"/>
          <w:color w:val="auto"/>
        </w:rPr>
      </w:pPr>
    </w:p>
    <w:p>
      <w:pPr>
        <w:ind w:left="540" w:hanging="424"/>
        <w:spacing w:after="0" w:line="282"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w:t>
      </w:r>
    </w:p>
    <w:p>
      <w:pPr>
        <w:spacing w:after="0" w:line="131" w:lineRule="exact"/>
        <w:rPr>
          <w:sz w:val="20"/>
          <w:szCs w:val="20"/>
          <w:color w:val="auto"/>
        </w:rPr>
      </w:pPr>
    </w:p>
    <w:p>
      <w:pPr>
        <w:ind w:left="540" w:right="80" w:hanging="424"/>
        <w:spacing w:after="0" w:line="282"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540" w:right="80" w:hanging="424"/>
        <w:spacing w:after="0" w:line="282"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81" w:lineRule="exact"/>
        <w:rPr>
          <w:sz w:val="20"/>
          <w:szCs w:val="20"/>
          <w:color w:val="auto"/>
        </w:rPr>
      </w:pPr>
    </w:p>
    <w:p>
      <w:pPr>
        <w:ind w:left="540" w:right="120" w:hanging="424"/>
        <w:spacing w:after="0" w:line="282"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276(4)(i)(B) of the SFA;</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540" w:right="500" w:hanging="424"/>
        <w:spacing w:after="0" w:line="282"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Canada</w:t>
      </w:r>
    </w:p>
    <w:p>
      <w:pPr>
        <w:spacing w:after="0" w:line="119"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The shares may be sold only to purchasers purchasing, or deemed to be purchasing, as principal that are accredited investors, as defined in National Instrument 45-106 Prospectus Exemptions or subsection 73.3(1) of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3"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 is not required to comply with the disclosure requirements of NI 33-105 regarding underwriter conflicts of interest in connection with this offering.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100"/>
          </w:cols>
          <w:pgMar w:left="320" w:top="45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Cleary Gottlieb Steen &amp; Hamilton LLP, New York, New York will pass upon the legality of the shares of common stock to be issued in this offering. Certain legal matters will be passed upon for the underwriter by Simpson Thacher &amp; Bartlett LLP, New York, New York.</w:t>
      </w:r>
    </w:p>
    <w:p>
      <w:pPr>
        <w:spacing w:after="0" w:line="9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0580"/>
          </w:cols>
          <w:pgMar w:left="320" w:top="455"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Sotera Health Company appearing in Sotera Health Company’s Annual Report on Form 10-K for the year ended December 31, 2023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140"/>
          </w:cols>
          <w:pgMar w:left="320" w:top="455"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have filed a Form S-3 with the SEC under the Securities Act with respect to the common stock offered by this prospectus supplement and the accompanying prospectus. You should review the information and exhibits in the registration statement for further information about us and the securities that are being offered by this prospectus supplement and the accompanying prospectus. Statements in this prospectus supplement and the accompanying prospectus concerning any document we filed as an exhibit to the registration statement or that we otherwise filed with the SEC are not intended to be comprehensive and are qualified by reference to those filings. You should review the complete document to evaluate those statements.</w:t>
      </w:r>
    </w:p>
    <w:p>
      <w:pPr>
        <w:spacing w:after="0" w:line="183"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including the filings that are incorporated by reference into this prospectus supplement, are available to the public over the Internet at the SEC’s website at www.sec.gov. Copies of certain information filed by us with the SEC are also available on our website at www.investors.soterahealth.com. Information accessible on or through our website is not a part of this prospectus supplement.</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040"/>
          </w:cols>
          <w:pgMar w:left="320" w:top="455" w:right="5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rules of the SEC allow us to incorporate by reference into this prospectus supplement the information we file with the SEC. This means that we are disclosing important information to you by referring to other documents. The information incorporated by reference is considered to be part of this prospectus supplement, except for any information superseded by information contained directly in this prospectus supplement. We incorporate by reference the documents listed below (other than any portions thereof, which under the Exchange Act, and applicable SEC rules, are not deemed “filed” under the Exchange Act):</w:t>
      </w:r>
    </w:p>
    <w:p>
      <w:pPr>
        <w:spacing w:after="0" w:line="89"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with the SEC on February 27, 2024;</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w:t>
      </w:r>
      <w:hyperlink r:id="rId58">
        <w:r>
          <w:rPr>
            <w:rFonts w:ascii="Times New Roman" w:cs="Times New Roman" w:eastAsia="Times New Roman" w:hAnsi="Times New Roman"/>
            <w:sz w:val="18"/>
            <w:szCs w:val="18"/>
            <w:u w:val="single" w:color="auto"/>
            <w:color w:val="0000EE"/>
          </w:rPr>
          <w:t>March 31,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9">
        <w:r>
          <w:rPr>
            <w:rFonts w:ascii="Times New Roman" w:cs="Times New Roman" w:eastAsia="Times New Roman" w:hAnsi="Times New Roman"/>
            <w:sz w:val="18"/>
            <w:szCs w:val="18"/>
            <w:u w:val="single" w:color="auto"/>
            <w:color w:val="0000EE"/>
          </w:rPr>
          <w:t>June 30, 2024</w:t>
        </w:r>
      </w:hyperlink>
      <w:r>
        <w:rPr>
          <w:rFonts w:ascii="Times New Roman" w:cs="Times New Roman" w:eastAsia="Times New Roman" w:hAnsi="Times New Roman"/>
          <w:sz w:val="18"/>
          <w:szCs w:val="18"/>
          <w:color w:val="auto"/>
        </w:rPr>
        <w:t>, filed with the SEC on May 2, 2024 and August 5, 2024, respectively;</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dated </w:t>
      </w:r>
      <w:hyperlink r:id="rId60">
        <w:r>
          <w:rPr>
            <w:rFonts w:ascii="Times New Roman" w:cs="Times New Roman" w:eastAsia="Times New Roman" w:hAnsi="Times New Roman"/>
            <w:sz w:val="18"/>
            <w:szCs w:val="18"/>
            <w:u w:val="single" w:color="auto"/>
            <w:color w:val="0000EE"/>
          </w:rPr>
          <w:t>March 1, 2024</w:t>
        </w:r>
      </w:hyperlink>
      <w:r>
        <w:rPr>
          <w:rFonts w:ascii="Times New Roman" w:cs="Times New Roman" w:eastAsia="Times New Roman" w:hAnsi="Times New Roman"/>
          <w:sz w:val="18"/>
          <w:szCs w:val="18"/>
          <w:color w:val="auto"/>
        </w:rPr>
        <w:t xml:space="preserve">, </w:t>
      </w:r>
      <w:hyperlink r:id="rId61">
        <w:r>
          <w:rPr>
            <w:rFonts w:ascii="Times New Roman" w:cs="Times New Roman" w:eastAsia="Times New Roman" w:hAnsi="Times New Roman"/>
            <w:sz w:val="18"/>
            <w:szCs w:val="18"/>
            <w:u w:val="single" w:color="auto"/>
            <w:color w:val="0000EE"/>
          </w:rPr>
          <w:t>May 23, 2024</w:t>
        </w:r>
      </w:hyperlink>
      <w:r>
        <w:rPr>
          <w:rFonts w:ascii="Times New Roman" w:cs="Times New Roman" w:eastAsia="Times New Roman" w:hAnsi="Times New Roman"/>
          <w:sz w:val="18"/>
          <w:szCs w:val="18"/>
          <w:color w:val="auto"/>
        </w:rPr>
        <w:t xml:space="preserve">, </w:t>
      </w:r>
      <w:hyperlink r:id="rId62">
        <w:r>
          <w:rPr>
            <w:rFonts w:ascii="Times New Roman" w:cs="Times New Roman" w:eastAsia="Times New Roman" w:hAnsi="Times New Roman"/>
            <w:sz w:val="18"/>
            <w:szCs w:val="18"/>
            <w:u w:val="single" w:color="auto"/>
            <w:color w:val="0000EE"/>
          </w:rPr>
          <w:t>May 30,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3">
        <w:r>
          <w:rPr>
            <w:rFonts w:ascii="Times New Roman" w:cs="Times New Roman" w:eastAsia="Times New Roman" w:hAnsi="Times New Roman"/>
            <w:sz w:val="18"/>
            <w:szCs w:val="18"/>
            <w:u w:val="single" w:color="auto"/>
            <w:color w:val="0000EE"/>
          </w:rPr>
          <w:t>July 31,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March 4, 2024, May 24, 2024, May 30, 2024 and August 1, 2024, respectively.</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w:t>
      </w:r>
      <w:hyperlink r:id="rId64">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xml:space="preserve">, filed with the SEC on April 11, 2024 and supplemented on </w:t>
      </w:r>
      <w:hyperlink r:id="rId65">
        <w:r>
          <w:rPr>
            <w:rFonts w:ascii="Times New Roman" w:cs="Times New Roman" w:eastAsia="Times New Roman" w:hAnsi="Times New Roman"/>
            <w:sz w:val="18"/>
            <w:szCs w:val="18"/>
            <w:u w:val="single" w:color="auto"/>
            <w:color w:val="0000EE"/>
          </w:rPr>
          <w:t>May 8,2024</w:t>
        </w:r>
      </w:hyperlink>
      <w:r>
        <w:rPr>
          <w:rFonts w:ascii="Times New Roman" w:cs="Times New Roman" w:eastAsia="Times New Roman" w:hAnsi="Times New Roman"/>
          <w:sz w:val="18"/>
          <w:szCs w:val="18"/>
          <w:color w:val="auto"/>
        </w:rPr>
        <w:t xml:space="preserve">, as amended (solely to the extent specifically incorporated by reference into our Annual Report on </w:t>
      </w:r>
      <w:hyperlink r:id="rId6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w:t>
      </w:r>
    </w:p>
    <w:p>
      <w:pPr>
        <w:spacing w:after="0" w:line="176" w:lineRule="exact"/>
        <w:rPr>
          <w:rFonts w:ascii="Times New Roman" w:cs="Times New Roman" w:eastAsia="Times New Roman" w:hAnsi="Times New Roman"/>
          <w:sz w:val="18"/>
          <w:szCs w:val="18"/>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If we have incorporated by reference any statement or information in this prospectus supplement and we subsequently modify that statement or information with information contained in this prospectus supplement, the statement or information previously incorporated in this prospectus supplement is also modified or superseded in the same manner.</w:t>
      </w:r>
    </w:p>
    <w:p>
      <w:pPr>
        <w:spacing w:after="0" w:line="176" w:lineRule="exact"/>
        <w:rPr>
          <w:rFonts w:ascii="Times New Roman" w:cs="Times New Roman" w:eastAsia="Times New Roman" w:hAnsi="Times New Roman"/>
          <w:sz w:val="18"/>
          <w:szCs w:val="18"/>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a copy of this prospectus supplement is delivered, upon written or oral request of such person, a copy of any or all of the documents referred to above which have been incorporated by reference in this prospectus supplement and the accompanying prospectus. You should direct requests for those documents to Sotera Health Company, 9100 South Hills Blvd, Suite 300 Broadview Heights, Ohio 44147.</w:t>
      </w:r>
    </w:p>
    <w:p>
      <w:pPr>
        <w:spacing w:after="0" w:line="180" w:lineRule="exact"/>
        <w:rPr>
          <w:rFonts w:ascii="Times New Roman" w:cs="Times New Roman" w:eastAsia="Times New Roman" w:hAnsi="Times New Roman"/>
          <w:sz w:val="18"/>
          <w:szCs w:val="18"/>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Exhibits to any documents incorporated by reference in this prospectus supplement will not be sent, however, unless those exhibits have been specifically referenced in this prospectus supplement or the accompanying prospectus.</w:t>
      </w:r>
    </w:p>
    <w:p>
      <w:pPr>
        <w:spacing w:after="0" w:line="94" w:lineRule="exact"/>
        <w:rPr>
          <w:rFonts w:ascii="Times New Roman" w:cs="Times New Roman" w:eastAsia="Times New Roman" w:hAnsi="Times New Roman"/>
          <w:sz w:val="18"/>
          <w:szCs w:val="18"/>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060"/>
          </w:cols>
          <w:pgMar w:left="320" w:top="455" w:right="5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97155</wp:posOffset>
            </wp:positionV>
            <wp:extent cx="1560195" cy="514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156019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2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Sotera Health Company (the “Company” or “we”) may offer, issue and sell an indeterminate amount of our common stock, par value $0.01 per share (“common stock”), from time to time in one or more offerings. In addition, this prospectus relates to the resale of common stock of the Company that may be offered and sold from time to time in one or more offerings by the selling stockholders named in this prospectus. This prospectus describes some of the general terms that may apply to an offering of our common stock. The Company will not receive any of the proceeds from the sale of the common stock by the selling stockholders.</w:t>
      </w:r>
    </w:p>
    <w:p>
      <w:pPr>
        <w:spacing w:after="0" w:line="183" w:lineRule="exact"/>
        <w:rPr>
          <w:sz w:val="20"/>
          <w:szCs w:val="20"/>
          <w:color w:val="auto"/>
        </w:rPr>
      </w:pPr>
    </w:p>
    <w:p>
      <w:pPr>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The common stock may be offered in amounts, at prices and on other terms to be determined at the time of the offering and described in an accompanying prospectus supplement. You should read this prospectus, any related prospectus supplement and any documents incorporated by reference carefully before you invest in our common stock.</w:t>
      </w:r>
    </w:p>
    <w:p>
      <w:pPr>
        <w:spacing w:after="0" w:line="176"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We or the selling stockholders may offer and sell common stock through one or more underwriters, dealers or agents, through underwriting syndicates managed or co-managed by one or more underwriters, or directly to purchasers, on a continuous or delayed basis. To the extent that any selling stockholder resells shares of our common stock, the selling stockholder may be required to provide you with this prospectus and a prospectus supplement identifying and containing specific information about the selling stockholder and the terms on which the common stock is offered. The prospectus supplement for each offering of common stock will describe in detail the plan of distribution for that offering.</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This prospectus is not an offer to sell our common stock, and it is not soliciting an offer to buy our common stock, in any state or other jurisdiction where the offer or sale is not permitted.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(“Nasdaq”) under the symbol “SHC.”</w:t>
      </w:r>
    </w:p>
    <w:p>
      <w:pPr>
        <w:spacing w:after="0" w:line="212" w:lineRule="exact"/>
        <w:rPr>
          <w:sz w:val="20"/>
          <w:szCs w:val="20"/>
          <w:color w:val="auto"/>
        </w:rPr>
      </w:pPr>
    </w:p>
    <w:p>
      <w:pPr>
        <w:jc w:val="both"/>
        <w:ind w:left="120" w:right="120" w:firstLine="44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our common stock involves a number of risks. Before you make your investment decision, you should consider the risk factors described in any applicable prospectus supplement and in the documents we file from time to time with the Securities and Exchange Commission (the “SEC”).</w:t>
      </w:r>
    </w:p>
    <w:p>
      <w:pPr>
        <w:spacing w:after="0" w:line="176"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these securities or determined if this prospectus or any accompanying prospectus supplement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207010</wp:posOffset>
            </wp:positionV>
            <wp:extent cx="1474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February 27, 2024.</w:t>
      </w:r>
    </w:p>
    <w:p>
      <w:pPr>
        <w:sectPr>
          <w:pgSz w:w="11900" w:h="16838" w:orient="portrait"/>
          <w:cols w:equalWidth="0" w:num="1">
            <w:col w:w="11120"/>
          </w:cols>
          <w:pgMar w:left="320" w:top="455" w:right="45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87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34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2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62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0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SOTERA HEALTH COMPANY</w:t>
            </w:r>
          </w:p>
        </w:tc>
        <w:tc>
          <w:tcPr>
            <w:tcW w:w="5580" w:type="dxa"/>
            <w:vAlign w:val="bottom"/>
            <w:gridSpan w:val="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840" w:type="dxa"/>
            <w:vAlign w:val="bottom"/>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0" w:type="dxa"/>
            <w:vAlign w:val="bottom"/>
          </w:tcPr>
          <w:p>
            <w:pPr>
              <w:spacing w:after="0"/>
              <w:rPr>
                <w:sz w:val="17"/>
                <w:szCs w:val="17"/>
                <w:color w:val="auto"/>
              </w:rPr>
            </w:pPr>
          </w:p>
        </w:tc>
        <w:tc>
          <w:tcPr>
            <w:tcW w:w="86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7040" w:type="dxa"/>
            <w:vAlign w:val="bottom"/>
            <w:gridSpan w:val="8"/>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20" w:type="dxa"/>
            <w:vAlign w:val="bottom"/>
          </w:tcPr>
          <w:p>
            <w:pPr>
              <w:spacing w:after="0"/>
              <w:rPr>
                <w:sz w:val="17"/>
                <w:szCs w:val="17"/>
                <w:color w:val="auto"/>
              </w:rPr>
            </w:pPr>
          </w:p>
        </w:tc>
        <w:tc>
          <w:tcPr>
            <w:tcW w:w="86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COMMON STOCK</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20" w:type="dxa"/>
            <w:vAlign w:val="bottom"/>
          </w:tcPr>
          <w:p>
            <w:pPr>
              <w:spacing w:after="0"/>
              <w:rPr>
                <w:sz w:val="17"/>
                <w:szCs w:val="17"/>
                <w:color w:val="auto"/>
              </w:rPr>
            </w:pPr>
          </w:p>
        </w:tc>
        <w:tc>
          <w:tcPr>
            <w:tcW w:w="294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STOCKHOLDERS</w:t>
            </w:r>
          </w:p>
        </w:tc>
        <w:tc>
          <w:tcPr>
            <w:tcW w:w="5680" w:type="dxa"/>
            <w:vAlign w:val="bottom"/>
            <w:gridSpan w:val="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120" w:type="dxa"/>
            <w:vAlign w:val="bottom"/>
          </w:tcPr>
          <w:p>
            <w:pPr>
              <w:spacing w:after="0"/>
              <w:rPr>
                <w:sz w:val="17"/>
                <w:szCs w:val="17"/>
                <w:color w:val="auto"/>
              </w:rPr>
            </w:pPr>
          </w:p>
        </w:tc>
        <w:tc>
          <w:tcPr>
            <w:tcW w:w="22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6400" w:type="dxa"/>
            <w:vAlign w:val="bottom"/>
            <w:gridSpan w:val="6"/>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2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BY REFERENCE</w:t>
            </w:r>
          </w:p>
        </w:tc>
        <w:tc>
          <w:tcPr>
            <w:tcW w:w="980" w:type="dxa"/>
            <w:vAlign w:val="bottom"/>
            <w:tcBorders>
              <w:top w:val="single" w:sz="8" w:color="0000EE"/>
            </w:tcBorders>
            <w:gridSpan w:val="3"/>
          </w:tcPr>
          <w:p>
            <w:pPr>
              <w:spacing w:after="0"/>
              <w:rPr>
                <w:sz w:val="17"/>
                <w:szCs w:val="17"/>
                <w:color w:val="auto"/>
              </w:rPr>
            </w:pPr>
          </w:p>
        </w:tc>
        <w:tc>
          <w:tcPr>
            <w:tcW w:w="4820" w:type="dxa"/>
            <w:vAlign w:val="bottom"/>
            <w:gridSpan w:val="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20" w:type="dxa"/>
            <w:vAlign w:val="bottom"/>
          </w:tcPr>
          <w:p>
            <w:pPr>
              <w:spacing w:after="0"/>
              <w:rPr>
                <w:sz w:val="17"/>
                <w:szCs w:val="17"/>
                <w:color w:val="auto"/>
              </w:rPr>
            </w:pPr>
          </w:p>
        </w:tc>
        <w:tc>
          <w:tcPr>
            <w:tcW w:w="14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7160" w:type="dxa"/>
            <w:vAlign w:val="bottom"/>
            <w:gridSpan w:val="9"/>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120" w:type="dxa"/>
            <w:vAlign w:val="bottom"/>
          </w:tcPr>
          <w:p>
            <w:pPr>
              <w:spacing w:after="0"/>
              <w:rPr>
                <w:sz w:val="17"/>
                <w:szCs w:val="17"/>
                <w:color w:val="auto"/>
              </w:rPr>
            </w:pPr>
          </w:p>
        </w:tc>
        <w:tc>
          <w:tcPr>
            <w:tcW w:w="86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We and the selling stockholders have not authorized anyone to provide you with information different from that contained or incorporated by reference in this prospectus, any amendment or supplement to this prospectus or in any free writing prospectus prepared by us or on our behalf. We do not accept any responsibility for, nor can we provide any assurance as to the reliability of, any information other than the information contained or incorporated by reference in this prospectus, any amendment or supplement to this prospectus or in any free writing prospectus prepared by us or on our behalf. We and the selling stockholders are not making an offer to sell these securities in any jurisdiction where the offer or sale is not permitted.</w:t>
      </w:r>
    </w:p>
    <w:p>
      <w:pPr>
        <w:spacing w:after="0" w:line="182"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You should assume that the information appearing in this prospectus, any accompanying prospectus supplement or in any free writing prospectus prepared by us is accurate only as of their respective dates or on the date or dates that are specified in such documents, and that any information in documents that we have incorporated by reference is accurate only as of the date of such document incorporated by reference. Our business, financial condition, liquidity, results of operations and prospects may have changed since those dates. Information contained in our website does not constitute part of this prospectus.</w:t>
      </w:r>
    </w:p>
    <w:p>
      <w:pPr>
        <w:spacing w:after="0" w:line="179"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You should carefully read both this prospectus, any accompanying prospectus supplement and any free writing prospectus prepared by or on behalf of us, together with the additional information described under the heading “Where You Can Find More Information.”</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Unless expressly indicated or the context requires otherwise, the terms “Sotera Health,” “Company,” “we,” “us,” and “our” in this document refer to Sotera Health Company, a Delaware corporation, and, where appropriate, its subsidiaries on a consolidated basis.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using an automatic shelf registration process as a “well-known seasoned issuer” as defined in Rule 405 of the Securities Act of 1933, as amended (the “Securities Act”). Under this shelf registration process, we and/or the selling stockholders named in this prospectus may periodically offer and sell the common stock described in this prospectus in one or more offerings. This prospectus only provides a general description of our common stock that we and/or the selling stockholders may offer. Each time we and/or any selling stockholders offer common stock, to the extent applicable, we and/or any selling stockholders may be required to provide you with this prospectus, and in certain cases, a prospectus supplement that will contain specific information about the terms of that offering. The prospectus supplement may also add, delete, update or change information, including information about us, contained in this prospectus. Therefore, before making your investment decision, you should carefully read:</w:t>
      </w:r>
    </w:p>
    <w:p>
      <w:pPr>
        <w:spacing w:after="0" w:line="97"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prospectus supplement; and</w:t>
      </w:r>
    </w:p>
    <w:p>
      <w:pPr>
        <w:spacing w:after="0" w:line="130" w:lineRule="exact"/>
        <w:rPr>
          <w:rFonts w:ascii="Times New Roman" w:cs="Times New Roman" w:eastAsia="Times New Roman" w:hAnsi="Times New Roman"/>
          <w:sz w:val="18"/>
          <w:szCs w:val="18"/>
          <w:color w:val="auto"/>
        </w:rPr>
      </w:pPr>
    </w:p>
    <w:p>
      <w:pPr>
        <w:ind w:left="5600" w:right="2400" w:hanging="4944"/>
        <w:spacing w:after="0" w:line="454" w:lineRule="auto"/>
        <w:tabs>
          <w:tab w:leader="none" w:pos="108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referred to in “Where You Can Find More Information” and “Incorporation by Reference.” i</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SOTERA HEALTH COMPANY</w:t>
      </w:r>
    </w:p>
    <w:p>
      <w:pPr>
        <w:spacing w:after="0" w:line="229" w:lineRule="exact"/>
        <w:rPr>
          <w:sz w:val="20"/>
          <w:szCs w:val="20"/>
          <w:color w:val="auto"/>
        </w:rPr>
      </w:pPr>
    </w:p>
    <w:p>
      <w:pPr>
        <w:ind w:left="120" w:right="40" w:firstLine="440"/>
        <w:spacing w:after="0" w:line="238" w:lineRule="auto"/>
        <w:rPr>
          <w:sz w:val="20"/>
          <w:szCs w:val="20"/>
          <w:color w:val="auto"/>
        </w:rPr>
      </w:pPr>
      <w:r>
        <w:rPr>
          <w:rFonts w:ascii="Times New Roman" w:cs="Times New Roman" w:eastAsia="Times New Roman" w:hAnsi="Times New Roman"/>
          <w:sz w:val="18"/>
          <w:szCs w:val="18"/>
          <w:color w:val="auto"/>
        </w:rPr>
        <w:t>We are a leading global provider of mission-critical end-to-end sterilization solutions, lab testing and advisory services for the healthcare industry. We are driven by our mission: Safeguarding Global Health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We provide end-to-end sterilization as well as microbiological and analytical lab testing and advisory services to help ensure that medical, pharmaceutical and food products are safe for healthcare practitioners, patients and consumers in the United States and around the world. Our customers include over 40 of the top 50 medical device companies and nine of the top ten global pharmaceutical companies (based on revenue). Our services are an essential aspect of our customers’ manufacturing process and supply chains, helping to ensure sterilized medical products reach healthcare practitioners and patients. Most of these services are necessary for our customers to satisfy applicable government requirements.</w:t>
      </w:r>
    </w:p>
    <w:p>
      <w:pPr>
        <w:spacing w:after="0" w:line="20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are a trusted partner to approximately 5,000 customers in over 50 countries. We give our customers confidence that their products meet regulatory, safety and effectiveness requirements. With our industry-recognized scientific and technological expertise, we help to ensure the safety of millions of patients and healthcare practitioners around the world every year. Across our 63 facilities worldwide, we have over 3,000 employees who are dedicated to safety and quality.</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Sotera Health Company was incorporated in Delaware in November 2017 as the parent company for Sterigenics, Nordion and Nelson Labs. Our corporate headquarters and principal executive offices are located at 9100 South Hills Boulevard, Suite 300, Broadview Heights, Ohio 44147. Our telephone number is (440) 262-1410.</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and any documents incorporated by reference may contain or incorporate by reference “forward-looking statements” within the meaning of the Private Securities Litigation Reform Act of 1995. Forward-looking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or achievements, or industry results, to differ materially from historical results or any future results, performance or achievements expressed, suggested or implied by such forward-looking statements. Such risks and uncertainties include, but are not limited to:</w:t>
      </w:r>
    </w:p>
    <w:p>
      <w:pPr>
        <w:spacing w:after="0" w:line="94" w:lineRule="exact"/>
        <w:rPr>
          <w:sz w:val="20"/>
          <w:szCs w:val="20"/>
          <w:color w:val="auto"/>
        </w:rPr>
      </w:pPr>
    </w:p>
    <w:p>
      <w:pPr>
        <w:ind w:left="1080" w:right="34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in the availability or supply of, or increases in the price of, ethylene oxide (“EO”), Cobalt-60 (“Co-60”) or our other direct materials, services and supplies, including as a result of geopolitical instability and/or sanctions against Russia by the United States, Canada, United Kingdom and European Union;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environmental, health and safety regulations or preferences, and general economic, social and business conditions;</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and safety risks associated with the use, storage, transportation and disposal of potentially hazardous materials such as EO and Co-60;</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outcome of current and future legal proceedings and liability claims, including litigation related to the use, emissions and releases of EO from our facilities in Illinois, Georgia and New Mexico and the possibility that other claims will be made in the future relating to these or other facilities;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allegations of our failure to properly perform services and potential product liability claims, recalls, penalties and reputational harm;</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extensive regulatory requirements to which we are subject, the related costs, and any failures to receive or maintain, or delays in receiving, required clearances or approvals;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industry trends;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we face;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changes, including inflationary trends, that impact our long-term supply contracts with variable price clauses and increase our cost of revenues;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continuity hazards, including supply chain disruptions and other risks associated with our operations;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doing business internationally, including global and regional economic and political instability and compliance with numerous and sometimes inconsistent laws and regulations in multiple jurisdictions;</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capacity at existing facilities, build new facilities in a timely and cost-effective manner and renew leases for our leased facilities;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health events or environmental events;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breaches, unauthorized data disclosures, our dependence on information technology systems;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55"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8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pursue strategic transactions, find suitable acquisition targets, or integrate strategic acquisitions into our business successfully;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internal controls over financial reporting;</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intellectual property to maintain our competitive position and the risk of claims from third parties that we have infringed or misappropriated, or are infringing or misappropriating, their intellectual property rights;</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rapidly evolving data privacy and security laws and regulations in various jurisdictions and any ineffective compliance efforts with such laws and regulations;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profitability in the future;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on our goodwill and other intangible assets with indefinite lives, as well as other long-lived assets and intangible assets with definite lives;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unionization efforts and labor regulations in countries in which we operate;</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to our tax positions in U.S. or non-U.S. jurisdictions or the interpretation and application of recent U.S. tax legislation or other changes in U.S. or non-U.S. taxation of our operations; and</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1"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significant leverage and how this significant leverage could adversely affect our ability to raise additional capital, limit our ability to react to challenges confronting our Company or broader changes in our industry or the economy, limit our flexibility in operating our business through restrictions contained in our debt agreements and/or prevent us from meeting our obligations under our existing and future indebtedness.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These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or any other person that the future plans, estimates or expectations contemplated by us will be achieved.</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You should carefully consider the above factors, as well as the factors discussed elsewhere in this prospectus, as well as in the documents referred to in “Where You Can Find More Information” and “Incorporation by Reference.” If any of these trends, risks or uncertainties actually occur or continue,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Investing in our securities involves risks. Before deciding to invest in our securities, you should carefully consider the discussion of risks and uncertainties under the heading “Risk Factors” contained in any applicable prospectus supplement and in the documents referred to in “Where You Can Find More Information” and “Incorporation by Reference,” together with all of the other information included in this prospectus. The occurrence of any of these risks, as well as other risks and uncertainties, could cause you to lose all or part of your investment in the offered securities.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60"/>
          </w:cols>
          <w:pgMar w:left="320" w:top="455" w:right="5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set forth in a prospectus supplement, we intend to use the net proceeds from any sale of our common stock described in this prospectus for our general corporate purposes.</w:t>
      </w:r>
    </w:p>
    <w:p>
      <w:pPr>
        <w:spacing w:after="0" w:line="162"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Unless otherwise set forth in a prospectus supplement, we will not receive any proceeds from any sale of our common stock by the selling stockholders.</w:t>
      </w:r>
    </w:p>
    <w:p>
      <w:pPr>
        <w:spacing w:after="0" w:line="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55" w:right="6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have one class of securities, common stock, par value $0.01 per share, registered pursuant to Section 12 of the Securities Exchange Act of 1934, as amended (the “Exchange Act”).</w:t>
      </w:r>
    </w:p>
    <w:p>
      <w:pPr>
        <w:spacing w:after="0" w:line="16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following descriptions are summaries of the material terms of our amended and restated certificate of incorporation and amended and restated bylaws. These descriptions summarize the general terms of our common stock and contain all information which we consider to be material but may not contain all of the information that is important to you. To understand them fully, you should read our amended and restated certificate of incorporation and amended and restated bylaws, copies of which are filed with the Securities and Exchange Commission as exhibits to our Annual Report on Form 10-K. The summary below is subject to, and qualified in its entirety by, reference to the provisions of our amended and restated certificate of incorporation and amended and restated bylaws. The terms of these securities may also be affected by the Delaware General Corporation Law (“DGCL”).</w:t>
      </w:r>
    </w:p>
    <w:p>
      <w:pPr>
        <w:spacing w:after="0" w:line="189"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We may periodically issue shares of our common stock or other securities that can be exercised, converted or exchanged into shares of our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Authorized Capitalization</w:t>
      </w:r>
    </w:p>
    <w:p>
      <w:pPr>
        <w:spacing w:after="0" w:line="121" w:lineRule="exact"/>
        <w:rPr>
          <w:sz w:val="20"/>
          <w:szCs w:val="20"/>
          <w:color w:val="auto"/>
        </w:rPr>
      </w:pPr>
    </w:p>
    <w:p>
      <w:pPr>
        <w:ind w:left="120" w:right="60" w:firstLine="440"/>
        <w:spacing w:after="0" w:line="312" w:lineRule="auto"/>
        <w:rPr>
          <w:sz w:val="20"/>
          <w:szCs w:val="20"/>
          <w:color w:val="auto"/>
        </w:rPr>
      </w:pPr>
      <w:r>
        <w:rPr>
          <w:rFonts w:ascii="Times New Roman" w:cs="Times New Roman" w:eastAsia="Times New Roman" w:hAnsi="Times New Roman"/>
          <w:sz w:val="17"/>
          <w:szCs w:val="17"/>
          <w:color w:val="auto"/>
        </w:rPr>
        <w:t>We are authorized to issue 1,200,000,000 shares of common stock, par value $0.01 per share, of which 282,832,200 shares were outstanding as of February 20, 2024, and 120,000,000 shares of preferred stock, par value $0.01 per share, of which no shares were outstanding as of February 20, 2024.</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Holders of common stock are entitled to one vote for each share held on all matters submitted to a vote of stockholders,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restrictions described below under the caption “—Anti-Takeover Effects of Provisions of Our Amended and Restated Certificate of Incorporation, Our Amended and Restated Bylaws and Delaware Law.” The holders of common stock do not have cumulative voting rights in the election of directors. Accordingly, holders of a majority of the shares of common stock entitled to vote in any election of directors may elect all of the directors standing for election. Except for the election of directors, if a quorum is present, an action on a matter is approved if it receives the affirmative vote of the holders of a majority of the voting power of the shares of capital stock present in person or represented by proxy at the meeting and entitled to vote on the matter, unless otherwise required by applicable law, the DGCL, our amended and restated certificate of incorporation or amended and restated bylaws. The election of directors is determined by a plurality of the votes cast in respect of the shares present in person or represented by proxy at the meeting and entitled to vote, meaning that the nominees with the greatest number of votes cast, even if less than a majority, will be elected. The rights, preferences and privileges of holders of common stock are subject to, and may be impacted by, the rights of the holders of shares of any series of preferred stock that we may designate and issue in the future.</w:t>
      </w:r>
    </w:p>
    <w:p>
      <w:pPr>
        <w:spacing w:after="0" w:line="192" w:lineRule="exact"/>
        <w:rPr>
          <w:sz w:val="20"/>
          <w:szCs w:val="20"/>
          <w:color w:val="auto"/>
        </w:rPr>
      </w:pPr>
    </w:p>
    <w:p>
      <w:pPr>
        <w:ind w:left="120" w:right="3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Subject to preferences that may be applicable to any then-outstanding preferred stock, holders of our common stock are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ratably those dividends, if any, as may be declared by the board of directors out of legally available funds.</w:t>
      </w:r>
    </w:p>
    <w:p>
      <w:pPr>
        <w:spacing w:after="0" w:line="158" w:lineRule="exact"/>
        <w:rPr>
          <w:sz w:val="20"/>
          <w:szCs w:val="20"/>
          <w:color w:val="auto"/>
        </w:rPr>
      </w:pPr>
    </w:p>
    <w:p>
      <w:pPr>
        <w:ind w:left="120" w:right="2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Liquidation, Dissolution, and Winding Up</w:t>
      </w:r>
      <w:r>
        <w:rPr>
          <w:rFonts w:ascii="Times New Roman" w:cs="Times New Roman" w:eastAsia="Times New Roman" w:hAnsi="Times New Roman"/>
          <w:sz w:val="18"/>
          <w:szCs w:val="18"/>
          <w:color w:val="auto"/>
        </w:rPr>
        <w:t>. Upon our liquidation, dissolution or winding up, the holders of our common stock will be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equally and ratably in the net assets legally available for distribution to stockholders after the payment of all of our debts and other liabilities, subject to the prior rights of any preferred stock then outstanding.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No Preemptive or Similar Rights</w:t>
      </w:r>
      <w:r>
        <w:rPr>
          <w:rFonts w:ascii="Times New Roman" w:cs="Times New Roman" w:eastAsia="Times New Roman" w:hAnsi="Times New Roman"/>
          <w:sz w:val="18"/>
          <w:szCs w:val="18"/>
          <w:color w:val="auto"/>
        </w:rPr>
        <w:t>. Holders of our common stock have no preemptive or conversion rights or other subscription rights, and there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redemption or sinking fund provisions applicable to our common stock.</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Assessment</w:t>
      </w:r>
      <w:r>
        <w:rPr>
          <w:rFonts w:ascii="Times New Roman" w:cs="Times New Roman" w:eastAsia="Times New Roman" w:hAnsi="Times New Roman"/>
          <w:sz w:val="18"/>
          <w:szCs w:val="18"/>
          <w:color w:val="auto"/>
        </w:rPr>
        <w:t>. All outstanding shares of our common stock are fully paid and nonassessable.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Subject to limitations prescribed by Delaware law and the Nasdaq, our board of directors may issue preferred stock, without stockholder approval, in such series and with such designations, preferences, conversion or other rights, voting powers and qualifications, limitations or restrictions thereof, as the board of directors deems appropriate. Our board of directors could, without stockholder approval, issue preferred stock with voting, conversion and other rights that could adversely affect the voting power and impact other rights of the holders of the common stock. Our board of directors may issue preferred stock as an anti-takeover measure without any further action by the holders of common stock. The issuance of preferred stock, while providing flexibility in connection with possible acquisitions and other corporate purposes, may have the effect of delaying, deferring or preventing a change of control of our company by increasing the number of shares necessary to gain control of the company.</w:t>
      </w:r>
    </w:p>
    <w:p>
      <w:pPr>
        <w:spacing w:after="0" w:line="293"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Effects of Provisions of Our Amended and Restated Certificate of Incorporation, Our Amended and Restated Bylaws and Delaware Law</w:t>
      </w:r>
    </w:p>
    <w:p>
      <w:pPr>
        <w:spacing w:after="0" w:line="5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Delaware law contains, and our amended and restated certificate of incorporation and amended and restated bylaws contain, a number of provisions relating to corporate governance and to the rights of stockholders. Certain of these provisions may be deemed to have a potential “anti-takeover” effect in that such provisions may delay, defer or prevent a change of control or an unsolicited acquisition proposal that a stockholder might consider favorable, including a proposal that might result in the payment of a premium over the market price for the shares held by the stockholders. These provisions include:</w:t>
      </w:r>
    </w:p>
    <w:p>
      <w:pPr>
        <w:spacing w:after="0" w:line="181" w:lineRule="exact"/>
        <w:rPr>
          <w:sz w:val="20"/>
          <w:szCs w:val="20"/>
          <w:color w:val="auto"/>
        </w:rPr>
      </w:pPr>
    </w:p>
    <w:p>
      <w:pPr>
        <w:ind w:left="120" w:right="2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Classified board of directors; removal of directors</w:t>
      </w:r>
      <w:r>
        <w:rPr>
          <w:rFonts w:ascii="Times New Roman" w:cs="Times New Roman" w:eastAsia="Times New Roman" w:hAnsi="Times New Roman"/>
          <w:sz w:val="18"/>
          <w:szCs w:val="18"/>
          <w:color w:val="auto"/>
        </w:rPr>
        <w:t>. Our amended and restated certificate of incorporation provides that our board of directors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divided into three classes of directors, with the classes to be as nearly equal in number as possible, and with staggered three-year terms. As a result, approximately one-third of our board of directors will be elected each year.</w:t>
      </w:r>
    </w:p>
    <w:p>
      <w:pPr>
        <w:spacing w:after="0" w:line="17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addition, our amended and restated certificate of incorporation provides that our directors may be removed only for cause by the affirmative vote of the holders of at least 75% of the voting power of our outstanding common stock; provided that for so long as investment funds and entities affiliated with either Warburg Pincus LLC (“Warburg Pincus”) or GTCR, LLC (“GTCR”), collectively, hold at least 50% of the outstanding shares of our common stock, a director designated by investment funds and entities affiliated with either Warburg Pincus or GTCR, respectively, may be removed with or without cause by the affirmative vote of the holders of at least a majority of the votes that all the stockholders would be entitled to cast in any annual election of directors or class of directors and with the consent of Warburg Pincus or GTCR, respectively.</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Any vacancy on our board of directors, including a vacancy resulting from an enlargement of our board of directors, may be filled only by vote of a majority of our directors then in office; provided that for so long as investment funds and entities affiliated with either Warburg Pincus or GTCR have the right to designate at least one director for election to our board of directors, any vacancies will be filled in accordance with the designation provisions set forth in our stockholders’ agreement dated November 19, 2020, among Sotera Health and certain of our stockholders party thereto (the “Stockholders’ Agreement”).</w:t>
      </w:r>
    </w:p>
    <w:p>
      <w:pPr>
        <w:spacing w:after="0" w:line="183"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classification of our board of directors and the limitations on the removal of directors and filling of vacancies could make it more difficult for a third party to acquire, or discourage a third party from seeking to acquire, control of our company.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i w:val="1"/>
          <w:iCs w:val="1"/>
          <w:color w:val="auto"/>
        </w:rPr>
        <w:t>Advance notice requirements for stockholder proposals and director nominations</w:t>
      </w:r>
      <w:r>
        <w:rPr>
          <w:rFonts w:ascii="Times New Roman" w:cs="Times New Roman" w:eastAsia="Times New Roman" w:hAnsi="Times New Roman"/>
          <w:sz w:val="17"/>
          <w:szCs w:val="17"/>
          <w:color w:val="auto"/>
        </w:rPr>
        <w:t>. Our amended and restated bylaws provide advance notice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procedures for stockholders seeking to bring business before our annual meeting of stockholders or to nominate candidates for election as directors at our annual meeting of stockholders, other than nominations made by or at the direction of the board of directors or pursuant to the Stockholders’ Agreement.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17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Amendment of certificate of incorporation and bylaws provisions</w:t>
      </w:r>
      <w:r>
        <w:rPr>
          <w:rFonts w:ascii="Times New Roman" w:cs="Times New Roman" w:eastAsia="Times New Roman" w:hAnsi="Times New Roman"/>
          <w:sz w:val="18"/>
          <w:szCs w:val="18"/>
          <w:color w:val="auto"/>
        </w:rPr>
        <w:t>. Our amended and restated certificate of incorporation provides that approval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holding a majority of the then-outstanding voting power of our capital stock, so long as investment funds and entities affiliated with either Warburg Pincus or GTCR, collectively, hold at least a majority of our outstanding capital stock, is required for stockholders to amend or adopt certain provisions of our amended and restated certificate of incorporation and any provision of our amended and restated bylaws, and at all other times by the affirmative vote of at least 66 2/3% of the voting power of our outstanding common stock. So long as investment funds and entities affiliated with either Warburg Pincus or GTCR have the right to designate three directors for election to our board of directors, at least 75% of the board must approve any amendments to the amended and restated certificate of incorporation or amended and restated bylaws.</w:t>
      </w:r>
    </w:p>
    <w:p>
      <w:pPr>
        <w:spacing w:after="0" w:line="183"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Authorized but unissued or undesignated capital stock</w:t>
      </w:r>
      <w:r>
        <w:rPr>
          <w:rFonts w:ascii="Times New Roman" w:cs="Times New Roman" w:eastAsia="Times New Roman" w:hAnsi="Times New Roman"/>
          <w:sz w:val="18"/>
          <w:szCs w:val="18"/>
          <w:color w:val="auto"/>
        </w:rPr>
        <w:t>. Our authorized capital stock consists of 1,200,000,000 shares of common stock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1,200,000 shares of preferred stock. A large quantity of authorized but unissued shares may deter potential takeover attempts because of the ability of our board of directors to authorize the issuance of some or all of these shares to a friendly party, or to the public or in connection with a stockholder rights plan, which would make it more difficult for a potential acquirer to obtain control of us. This possibility may encourage persons seeking to acquire control of us to negotiate first with our board of directors. The authorized but unissued stock may be issued by the board of directors in one or more transactions. In this regard, our amended and restated certificate of incorporation grants the board of directors broad power to establish the rights and preferences of authorized and unissued preferred stock. The issuance of shares of preferred stock pursuant to the board of directors’ authority described above could decrease the amount of earnings and assets available for distribution to holders of common stock and adversely affect the rights and powers, including voting rights, of such holders and may have the effect of delaying, deferring or preventing a change in control.</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Stockholder action; special meeting of stockholders</w:t>
      </w:r>
      <w:r>
        <w:rPr>
          <w:rFonts w:ascii="Times New Roman" w:cs="Times New Roman" w:eastAsia="Times New Roman" w:hAnsi="Times New Roman"/>
          <w:sz w:val="18"/>
          <w:szCs w:val="18"/>
          <w:color w:val="auto"/>
        </w:rPr>
        <w:t>. Our amended and restated certificate of incorporation provides that our stockholders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able to take action by written consent for any matter and may only take action at annual or special meetings. For so long as investment funds and entities affiliated with either Warburg Pincus or GTCR, collectively, hold a majority of our outstanding capital stock, however, a meeting and vote of stockholders may be dispensed with, and the action may be taken without prior notice and without such meeting and vote if a written consent is signed by the holders of outstanding stock having not less than the minimum number of votes that would be necessary to authorize or take such action at the meeting of stockholders. Our amended and restated certificate of incorporation further provides that, except as otherwise required by law, special meetings of our stockholders may be called only by the majority of the board of directors or by the chairman of our board of directors or our chief executive officer, thus limiting the ability of a stockholder to call a special meeting. For so long as investment funds and entities affiliated with either Warburg Pincus or GTCR, collectively, hold a majority of our outstanding capital stock, however, special meetings of our stockholders may be called by the affirmative vote of the holders of a majority of our outstanding voting stock. These provisions might delay the ability of our stockholders to force consideration of a proposal or for stockholders controlling a majority of our capital stock to take any action, including the removal of directors.</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jc w:val="both"/>
        <w:ind w:left="120" w:right="20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No cumulative voting</w:t>
      </w:r>
      <w:r>
        <w:rPr>
          <w:rFonts w:ascii="Times New Roman" w:cs="Times New Roman" w:eastAsia="Times New Roman" w:hAnsi="Times New Roman"/>
          <w:sz w:val="18"/>
          <w:szCs w:val="18"/>
          <w:color w:val="auto"/>
        </w:rPr>
        <w:t>. The DGCL provides that stockholders are not entitled to cumulate votes in the election of directors unless a corporation’s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 of incorporation provides otherwise. Our amended and restated certificate of incorporation does not provide for cumulative voting. Without cumulative voting, a minority stockholder may not be able to gain as many seats on our board of directors as the stockholder would be able to gain if cumulative voting were permitted. The absence of cumulative voting makes it more difficult for a minority stockholder to gain a seat on our board of directors to influence our board of directors’ decision regarding a takeover.</w:t>
      </w:r>
    </w:p>
    <w:p>
      <w:pPr>
        <w:spacing w:after="0" w:line="183" w:lineRule="exact"/>
        <w:rPr>
          <w:sz w:val="20"/>
          <w:szCs w:val="20"/>
          <w:color w:val="auto"/>
        </w:rPr>
      </w:pPr>
    </w:p>
    <w:p>
      <w:pPr>
        <w:ind w:left="120" w:right="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Supermajority voting on board actions</w:t>
      </w:r>
      <w:r>
        <w:rPr>
          <w:rFonts w:ascii="Times New Roman" w:cs="Times New Roman" w:eastAsia="Times New Roman" w:hAnsi="Times New Roman"/>
          <w:sz w:val="18"/>
          <w:szCs w:val="18"/>
          <w:color w:val="auto"/>
        </w:rPr>
        <w:t>. For so long as investment funds and entities affiliated with either Warburg Pincus or GTCR have the right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(individually) to designate at least three directors for election to our board of directors, the following actions may only be effected with the affirmative vote of 75% of our board of directors:</w:t>
      </w:r>
    </w:p>
    <w:p>
      <w:pPr>
        <w:spacing w:after="0" w:line="81"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acquisitions, mergers, other business combination transactions and dispositions;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modification or repeal of any provision of the certificate of incorporation or bylaws;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size and composition of the board of directors or the compensation of its committees, other than in accordance with the Stockholders’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of the chief executive officer or designation of a new chief executive officer;</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ordinary course compensation arrangements, entering into, or modifying, any compensation arrangements with an executive officer or any of an executive officer’s affiliates or associates;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additional shares of Company or subsidiaries’ capital stock, subject to certain limited exceptions;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certain indebtedness.</w:t>
      </w:r>
    </w:p>
    <w:p>
      <w:pPr>
        <w:spacing w:after="0" w:line="223"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Delaware Anti-Takeover Statute</w:t>
      </w:r>
      <w:r>
        <w:rPr>
          <w:rFonts w:ascii="Times New Roman" w:cs="Times New Roman" w:eastAsia="Times New Roman" w:hAnsi="Times New Roman"/>
          <w:sz w:val="18"/>
          <w:szCs w:val="18"/>
          <w:color w:val="auto"/>
        </w:rPr>
        <w:t>. We are not subject to the provisions of Section 203 of the DGCL. In general, Section 203 prohibits a publicly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held Delaware corporation from engaging in a “business combination” with an “interested shareholder” for a three-year period following the time that the person becomes an interested shareholder, unless the business combination is approved in a prescribed manner. A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combination” includes, among other things, a merger, asset or stock sale or other transaction resulting in a financial benefit to the interested shareholder. An “interested shareholder” is a person who, together with affiliates and associates, owns, or did own within three years prior to the determination of interested shareholder status, 15% or more of the corporation’s voting stock.</w:t>
      </w:r>
    </w:p>
    <w:p>
      <w:pPr>
        <w:spacing w:after="0" w:line="18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Section 203, a business combination between a corporation and an interested shareholder is prohibited unless it satisfies one of the following conditions: (1) before the shareholder became an interested shareholder, the board of directors approved either the business combination or the transaction which resulted in the shareholder becoming an interested shareholder; (2) upon consummation of the transaction which resulted in the shareholder becoming an interested shareholder, the interested shareholder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(3) at or after the time the shareholder became an interested shareholder, the business combination was approved by the board of directors and authorized at an annual or special meeting of the shareholders by the affirmative vote of at least two-thirds of the outstanding voting stock which is not owned by the interested shareholder.</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 Delaware corporation may “opt out” of these provisions with an express provision in its original certificate of incorporation or an express provision in its certificate of incorporation or bylaws resulting from a shareholders’ amendment approved by at least a majority of the outstanding voting shares.</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have opted out of Section 203; however, our amended and restated certificate of incorporation contains similar provisions providing that we may not engage in certain “business combinations” with any “interested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shareholder” for a three-year period following the time that the shareholder became an interested shareholder, unless:</w:t>
      </w:r>
    </w:p>
    <w:p>
      <w:pPr>
        <w:spacing w:after="0" w:line="131" w:lineRule="exact"/>
        <w:rPr>
          <w:sz w:val="20"/>
          <w:szCs w:val="20"/>
          <w:color w:val="auto"/>
        </w:rPr>
      </w:pPr>
    </w:p>
    <w:p>
      <w:pPr>
        <w:ind w:left="1080" w:right="3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our board of directors approved either the business combination or the transaction which resulted in the shareholder becoming an interested shareholder;</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shareholder becoming an interested shareholder, the interested shareholder owned at least 85% of our voting stock outstanding at the time the transaction commenced, excluding certain shares; or</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and by the affirmative vote of holders of at least 66 2/3% of our outstanding voting stock that is not owned by the interested shareholder.</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Under certain circumstances, this provision will make it more difficult for a person who would be an “interested shareholder” to effect various business combinations with us for a three-year period. This provision may encourage companies interested in acquiring us to negotiate in advance with our board of directors because the shareholder approval requirement would be avoided if our board of directors approves either the business combination or the transaction which results in the shareholder becoming an interested shareholder. These provisions also may have the effect of preventing changes in our board of directors and may make it more difficult to accomplish transactions which shareholders may otherwise deem to be in their best interests.</w:t>
      </w:r>
    </w:p>
    <w:p>
      <w:pPr>
        <w:spacing w:after="0" w:line="18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Warburg and GTCR, and any of their respective direct or indirect transferees and any group as to which such persons are a party, do not constitute “interested shareholders” for purposes of this provision.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w:t>
      </w:r>
    </w:p>
    <w:p>
      <w:pPr>
        <w:spacing w:after="0" w:line="121"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current or former directors, officers or other employees or stockholders to us or our stockholders,</w:t>
      </w:r>
    </w:p>
    <w:p>
      <w:pPr>
        <w:spacing w:after="0" w:line="2" w:lineRule="exact"/>
        <w:rPr>
          <w:sz w:val="20"/>
          <w:szCs w:val="20"/>
          <w:color w:val="auto"/>
        </w:rPr>
      </w:pPr>
    </w:p>
    <w:p>
      <w:pPr>
        <w:ind w:left="120" w:hanging="4"/>
        <w:spacing w:after="0" w:line="251" w:lineRule="auto"/>
        <w:tabs>
          <w:tab w:leader="none" w:pos="3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directors or officers or other employees or stockholders arising pursuant to, any action to interpret, apply, enforce any right, obligation or remedy under, any provision of the DGCL our amended and restated certificate of incorporation or amended and restated bylaws, (4) any action asserting a claim that is governed by the internal affairs doctrine or (5) any other action asserting an “internal corporate claim” under the DGCL shall be the Court of Chancery of the State of Delaware (or any state or federal court located within the State of Delaware if the Court of Chancery does not have jurisdiction). Notwithstanding the foregoing, our amended and restated certificate of incorporation provides that the Delaware Forum Provision will not apply to suits brought to enforce a duty or liability created by the Exchange Act. 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w:t>
      </w:r>
    </w:p>
    <w:p>
      <w:pPr>
        <w:spacing w:after="0" w:line="193"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Additionally, our amended and restated certificate of incorporation provides that unless the Company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Any person or entity purchasing or otherwise acquiring any interest in shares of capital stock of the Company are deemed to have notice of and consented to this provision. The Supreme Court of Delaware has held that this type of exclusive federal forum provision is enforceable. There may be uncertainty, however, as to whether courts of other jurisdictions would enforce such provision, if applicable.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 and Indemnification of Officers and Directors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for indemnification of directors and officers to the fullest extent permitted by law, including payment of expenses in advance of resolution of any such matter. Our amended and restated certificate of incorporation eliminates the potential personal monetary liability of our directors to us or our stockholders for breaches of their duties as directors except as otherwise required under the DGCL. 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of corporations, then the personal liability of our directors will be further limited to the greatest extent permitted by the DGCL.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Computershare Trust Company, N.A. acts as transfer agent and registrar for our common stock. The transfer agent and registrar’s address is 118 Fernwood Avenue, Edison, New Jersey 08837.</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Exchange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under the symbol “SHC.”</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common stock as of the date of this prospectus by each of the selling stockholders covered by this prospectus, including the number of shares of our common stock owned, the number of shares that may be offered by this prospectus and the number and percentage of outstanding shares that will be owned after the offering, assuming all shares covered by this prospectus are sold. The information concerning beneficial ownership has been provided by the selling stockholders. Information concerning the selling stockholders may change from time to time, and any changed information will be set forth if and when required in prospectus supplements or other appropriate forms permitted to be used by the SEC. Such selling stockholders may be parties to registration rights agreements with us, or we otherwise may have agreed or agree to register their shares of common stock for resale.</w:t>
      </w:r>
    </w:p>
    <w:p>
      <w:pPr>
        <w:spacing w:after="0" w:line="18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do not know when or in what amounts the selling stockholders may offer shares of our common stock for sale. The selling stockholders may choose not to sell any or all of the shares offered by this prospectus. Because the selling stockholders may offer all or some of the shares, we cannot accurately report the number of the shares that will be held by the selling stockholders after completion of the offering.</w:t>
      </w:r>
    </w:p>
    <w:p>
      <w:pPr>
        <w:spacing w:after="0" w:line="176"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We have based the calculation of the percentage of beneficial ownership on 282,832,200 shares of common stock outstanding, as of February 20, 2024. For purposes of calculating each person’s percentage ownership, common stock issuable pursuant to options exercisable within 60 days of the date of this prospectus and common stock issuable in connection with outstanding Restricted Stock Units (“RSUs”), which will vest within 60 days of this prospectus, are included as outstanding and beneficially owned for that person or group, and are deemed outstanding for purposes of computing the percentage ownership of that person only. Except as disclosed in the footnotes to this table and subject to applicable community property laws, we believe that each stockholder identified in the table possesses sole voting and investment power over all shares of common stock shown as beneficially owned by the stockholder.</w:t>
      </w:r>
    </w:p>
    <w:p>
      <w:pPr>
        <w:spacing w:after="0" w:line="188"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in the table or footnotes below, the address for each beneficial owner is c/o Sotera Health, 9100 South Hills Blvd, Suite 300 Broadview Heights, Ohio 44147.</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60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72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160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6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72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6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0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60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72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60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48"/>
        </w:trPr>
        <w:tc>
          <w:tcPr>
            <w:tcW w:w="5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w:t>
            </w:r>
            <w:r>
              <w:rPr>
                <w:rFonts w:ascii="Times New Roman" w:cs="Times New Roman" w:eastAsia="Times New Roman" w:hAnsi="Times New Roman"/>
                <w:sz w:val="10"/>
                <w:szCs w:val="10"/>
                <w:b w:val="1"/>
                <w:bCs w:val="1"/>
                <w:color w:val="auto"/>
              </w:rPr>
              <w:t>(1)</w:t>
            </w:r>
          </w:p>
        </w:tc>
        <w:tc>
          <w:tcPr>
            <w:tcW w:w="160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w:t>
            </w:r>
          </w:p>
        </w:tc>
        <w:tc>
          <w:tcPr>
            <w:tcW w:w="172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w:t>
            </w:r>
          </w:p>
        </w:tc>
        <w:tc>
          <w:tcPr>
            <w:tcW w:w="160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10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w:t>
            </w:r>
          </w:p>
        </w:tc>
        <w:tc>
          <w:tcPr>
            <w:tcW w:w="0" w:type="dxa"/>
            <w:vAlign w:val="bottom"/>
          </w:tcPr>
          <w:p>
            <w:pPr>
              <w:spacing w:after="0"/>
              <w:rPr>
                <w:sz w:val="1"/>
                <w:szCs w:val="1"/>
                <w:color w:val="auto"/>
              </w:rPr>
            </w:pPr>
          </w:p>
        </w:tc>
      </w:tr>
      <w:tr>
        <w:trPr>
          <w:trHeight w:val="173"/>
        </w:trPr>
        <w:tc>
          <w:tcPr>
            <w:tcW w:w="5080" w:type="dxa"/>
            <w:vAlign w:val="bottom"/>
            <w:vMerge w:val="continue"/>
          </w:tcPr>
          <w:p>
            <w:pPr>
              <w:spacing w:after="0"/>
              <w:rPr>
                <w:sz w:val="15"/>
                <w:szCs w:val="15"/>
                <w:color w:val="auto"/>
              </w:rPr>
            </w:pPr>
          </w:p>
        </w:tc>
        <w:tc>
          <w:tcPr>
            <w:tcW w:w="160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172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160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0" w:type="dxa"/>
            <w:vAlign w:val="bottom"/>
          </w:tcPr>
          <w:p>
            <w:pPr>
              <w:spacing w:after="0"/>
              <w:rPr>
                <w:sz w:val="1"/>
                <w:szCs w:val="1"/>
                <w:color w:val="auto"/>
              </w:rPr>
            </w:pPr>
          </w:p>
        </w:tc>
      </w:tr>
      <w:tr>
        <w:trPr>
          <w:trHeight w:val="196"/>
        </w:trPr>
        <w:tc>
          <w:tcPr>
            <w:tcW w:w="50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5% Stockholders:</w:t>
            </w:r>
          </w:p>
        </w:tc>
        <w:tc>
          <w:tcPr>
            <w:tcW w:w="9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0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Investment funds and entities affiliated with Warburg</w:t>
            </w: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80" w:type="dxa"/>
            <w:vAlign w:val="bottom"/>
          </w:tcPr>
          <w:p>
            <w:pPr>
              <w:ind w:left="540"/>
              <w:spacing w:after="0" w:line="235" w:lineRule="exact"/>
              <w:rPr>
                <w:sz w:val="20"/>
                <w:szCs w:val="20"/>
                <w:color w:val="auto"/>
              </w:rPr>
            </w:pPr>
            <w:r>
              <w:rPr>
                <w:rFonts w:ascii="Times New Roman" w:cs="Times New Roman" w:eastAsia="Times New Roman" w:hAnsi="Times New Roman"/>
                <w:sz w:val="18"/>
                <w:szCs w:val="18"/>
                <w:color w:val="auto"/>
              </w:rPr>
              <w:t>Pincus</w:t>
            </w:r>
            <w:r>
              <w:rPr>
                <w:rFonts w:ascii="Times New Roman" w:cs="Times New Roman" w:eastAsia="Times New Roman" w:hAnsi="Times New Roman"/>
                <w:sz w:val="26"/>
                <w:szCs w:val="26"/>
                <w:color w:val="auto"/>
                <w:vertAlign w:val="superscript"/>
              </w:rPr>
              <w:t>(2)</w:t>
            </w: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105,417,315</w:t>
            </w:r>
          </w:p>
        </w:tc>
        <w:tc>
          <w:tcPr>
            <w:tcW w:w="17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37.27%</w:t>
            </w:r>
          </w:p>
        </w:tc>
        <w:tc>
          <w:tcPr>
            <w:tcW w:w="16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Investment funds and entities affiliated with GTCR</w:t>
            </w:r>
            <w:r>
              <w:rPr>
                <w:rFonts w:ascii="Times New Roman" w:cs="Times New Roman" w:eastAsia="Times New Roman" w:hAnsi="Times New Roman"/>
                <w:sz w:val="25"/>
                <w:szCs w:val="25"/>
                <w:color w:val="auto"/>
                <w:vertAlign w:val="superscript"/>
              </w:rPr>
              <w:t>(3)</w:t>
            </w:r>
          </w:p>
        </w:tc>
        <w:tc>
          <w:tcPr>
            <w:tcW w:w="16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70,278,209</w:t>
            </w:r>
          </w:p>
        </w:tc>
        <w:tc>
          <w:tcPr>
            <w:tcW w:w="17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24.85%</w:t>
            </w:r>
          </w:p>
        </w:tc>
        <w:tc>
          <w:tcPr>
            <w:tcW w:w="16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Selling Stockholders:</w:t>
            </w: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Michael B. Petras, Jr.</w:t>
            </w:r>
            <w:r>
              <w:rPr>
                <w:rFonts w:ascii="Times New Roman" w:cs="Times New Roman" w:eastAsia="Times New Roman" w:hAnsi="Times New Roman"/>
                <w:sz w:val="25"/>
                <w:szCs w:val="25"/>
                <w:color w:val="auto"/>
                <w:vertAlign w:val="superscript"/>
              </w:rPr>
              <w:t>(4)</w:t>
            </w:r>
          </w:p>
        </w:tc>
        <w:tc>
          <w:tcPr>
            <w:tcW w:w="16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8,587,855</w:t>
            </w:r>
          </w:p>
        </w:tc>
        <w:tc>
          <w:tcPr>
            <w:tcW w:w="17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3.04%</w:t>
            </w:r>
          </w:p>
        </w:tc>
        <w:tc>
          <w:tcPr>
            <w:tcW w:w="16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08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Michael P. Rutz</w:t>
            </w:r>
            <w:r>
              <w:rPr>
                <w:rFonts w:ascii="Times New Roman" w:cs="Times New Roman" w:eastAsia="Times New Roman" w:hAnsi="Times New Roman"/>
                <w:sz w:val="25"/>
                <w:szCs w:val="25"/>
                <w:color w:val="auto"/>
                <w:vertAlign w:val="superscript"/>
              </w:rPr>
              <w:t>(5)</w:t>
            </w: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709,336</w:t>
            </w:r>
          </w:p>
        </w:tc>
        <w:tc>
          <w:tcPr>
            <w:tcW w:w="17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Ann R. Klee</w:t>
            </w:r>
            <w:r>
              <w:rPr>
                <w:rFonts w:ascii="Times New Roman" w:cs="Times New Roman" w:eastAsia="Times New Roman" w:hAnsi="Times New Roman"/>
                <w:sz w:val="25"/>
                <w:szCs w:val="25"/>
                <w:color w:val="auto"/>
                <w:vertAlign w:val="superscript"/>
              </w:rPr>
              <w:t>(6)</w:t>
            </w:r>
          </w:p>
        </w:tc>
        <w:tc>
          <w:tcPr>
            <w:tcW w:w="16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76,773</w:t>
            </w:r>
          </w:p>
        </w:tc>
        <w:tc>
          <w:tcPr>
            <w:tcW w:w="17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hanging="424"/>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27" w:lineRule="exact"/>
        <w:rPr>
          <w:sz w:val="20"/>
          <w:szCs w:val="20"/>
          <w:color w:val="auto"/>
        </w:rPr>
      </w:pPr>
    </w:p>
    <w:p>
      <w:pPr>
        <w:ind w:left="540" w:right="140" w:hanging="424"/>
        <w:spacing w:after="0" w:line="250"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shown in the table above include shares held in the selling stockholder’s name or jointly with others, or in the name of a bank, nominee or trustee for the selling stockholder’s account.</w:t>
      </w:r>
    </w:p>
    <w:p>
      <w:pPr>
        <w:ind w:left="540" w:right="240" w:hanging="424"/>
        <w:spacing w:after="0" w:line="260"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84,363,406 shares held of record by Bull Holdco L.P., a Delaware limited partnership (“Bull Holdco”) and (ii) 21,053,909 shares held of record by Bull Co-Invest L.P., a Delaware limited partnership (“Bull Co-Invest”).</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320" w:top="455"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80"/>
        <w:spacing w:after="0" w:line="258" w:lineRule="auto"/>
        <w:rPr>
          <w:sz w:val="20"/>
          <w:szCs w:val="20"/>
          <w:color w:val="auto"/>
        </w:rPr>
      </w:pPr>
      <w:r>
        <w:rPr>
          <w:rFonts w:ascii="Times New Roman" w:cs="Times New Roman" w:eastAsia="Times New Roman" w:hAnsi="Times New Roman"/>
          <w:sz w:val="18"/>
          <w:szCs w:val="18"/>
          <w:color w:val="auto"/>
        </w:rPr>
        <w:t>Effective August 5, 2021, the WP XI Funds (as defined below) contributed their shares of common stock (the “Contributed Shares”) to Bull Holdco, pursuant to the terms of a Contribution and Exchange Agreement among such persons and Bull Holdco. The WP XI Funds (as defined below) share limited partnership ownership in Bull Holdco on a pro rata basis in accordance with their respective numbers of Contributed Shares. WP Bull Holdco GP LLC, a Delaware limited liability company, is the general partner of Bull Holdco, and WP XI (as defined below) is the sole member of WP Bull Holdco GP LLC.</w:t>
      </w:r>
    </w:p>
    <w:p>
      <w:pPr>
        <w:spacing w:after="0" w:line="75" w:lineRule="exact"/>
        <w:rPr>
          <w:sz w:val="20"/>
          <w:szCs w:val="20"/>
          <w:color w:val="auto"/>
        </w:rPr>
      </w:pPr>
    </w:p>
    <w:p>
      <w:pPr>
        <w:ind w:left="560" w:right="20"/>
        <w:spacing w:after="0" w:line="251" w:lineRule="auto"/>
        <w:rPr>
          <w:sz w:val="20"/>
          <w:szCs w:val="20"/>
          <w:color w:val="auto"/>
        </w:rPr>
      </w:pPr>
      <w:r>
        <w:rPr>
          <w:rFonts w:ascii="Times New Roman" w:cs="Times New Roman" w:eastAsia="Times New Roman" w:hAnsi="Times New Roman"/>
          <w:sz w:val="18"/>
          <w:szCs w:val="18"/>
          <w:color w:val="auto"/>
        </w:rPr>
        <w:t>The “Warburg Pincus Sponsors” include Warburg Pincus Private Equity XI, L.P., a Delaware limited partnership (“WP XI”), Warburg Pincus Private Equity XI-B, L.P., a Delaware limited partnership (“WP XI-B”), Warburg Pincus Private Equity XI-C, L.P., a Cayman Islands exempted limited partnership (“WP XI-C”), WP XI Partners, L.P., a Delaware limited partnership (“WP XI Partners”), Warburg Pincus XI Partners, L.P., a Delaware limited partnership (“Warburg Pincus XI Partners”) and Bull Co-Invest. Warburg Pincus XI, L.P., a Delaware limited partnership (“WP XI GP”), is the general partner of each of (i) WP XI, (ii) WP XI-B, (iii) WP XI Partners and (iv) Warburg Pincus XI Partners. WP Global LLC, a Delaware limited liability company (“WP Global”), is the general partner of WP XI GP. Warburg Pincus Partners II, L.P., a Delaware limited partnership (“WPP II”), is the managing member of WP Global. Warburg Pincus Partners GP LLC, a Delaware limited liability company (“WPP GP LLC”), is the general partner of WPP II. Warburg Pincus &amp; Co., a New York general partnership (“WP”), is the managing member of WPP GP LLC. Warburg Pincus (Cayman) XI, L.P., a Cayman Islands exempted limited partnership (“WP XI Cayman GP”), is the general partner of WP XI-C (WP XI-C and, together with WP XI, WP XI-B, WP XI Partners and Warburg Pincus XI Partners, the “WP XI Funds”). Warburg Pincus XI-C, LLC, a Delaware limited liability company (“WP XI-C LLC”), is the general partner of WP XI Cayman GP. Warburg Pincus Partners II (Cayman), L.P., a Cayman Islands exempted limited partnership (“WPP II Cayman”), is the managing member of WP XI-C LLC. Warburg Pincus (Bermuda) Private Equity GP Ltd., a Bermuda exempted company (“WP Bermuda GP”), is the general partner of WPP II Cayman. WP Bull Manager LLC, a Delaware limited Liability company (“WP Bull Manager”), is the general partner of Bull Co-Invest. WP is managing member of WP Bull Manager. Warburg Pincus LLC, a New York limited liability company (“WP LLC”), is the manager of the WP XI Funds. The address of the Warburg Pincus Sponsors is 450 Lexington Avenue, New York, New York 10017.</w:t>
      </w:r>
    </w:p>
    <w:p>
      <w:pPr>
        <w:spacing w:after="0" w:line="11" w:lineRule="exact"/>
        <w:rPr>
          <w:sz w:val="20"/>
          <w:szCs w:val="20"/>
          <w:color w:val="auto"/>
        </w:rPr>
      </w:pPr>
    </w:p>
    <w:p>
      <w:pPr>
        <w:ind w:left="540" w:right="80" w:hanging="424"/>
        <w:spacing w:after="0" w:line="250"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55,778,268 shares held of record by GTCR Fund XI/A LP, (ii) 14,052,901 shares held of record by GTCR Fund XI/C LP and (iii) 447,040 shares held of record by GTCR Co-Invest XI LP (collectively, the “GTCR Stockholders”). GTCR Partners XI/A&amp;C LP is the general partner of each of GTCR Fund XI/A LP and GTCR Fund XI/C LP. GTCR Investment XI LLC is the general partner of each of GTCR Co-Invest XI LP and GTCR Partners XI/A&amp;C LP. GTCR Investment XI LLC is managed by a board of managers (the “GTCR Board of Managers”) consisting of Mark M. Anderson, Aaron D. Cohen, Sean L. Cunningham, Benjamin J. Daverman, David A. Donnini, Constantine S. Mihas and Collin E. Roche, and no single person has voting or dispositive authority over the shares. Each of GTCR Partners XI/A&amp;C LP, GTCR Investment XI LLC and the GTCR Board of Managers may be deemed to share beneficial ownership of the shares held of record by the GTCR Stockholders, and each of the individual members of the GTCR Board of Managers disclaims beneficial ownership of the shares held of record by the GTCR Stockholders except to the extent of his pecuniary interest therein. The address for each of the GTCR Stockholders, GTCR Partners XI/A&amp;C LP and GTCR Investment XI LLC is 300 North LaSalle Street, Suite 5600, Chicago, Illinois, 60654.</w:t>
      </w:r>
    </w:p>
    <w:p>
      <w:pPr>
        <w:spacing w:after="0" w:line="3"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Petras is the grantor and trustee of estate planning trusts (the “Petras Trusts”). As a result, Mr. Petras may have voting and investment control over, and may be deemed to be the beneficial owner of, an aggregate of 6,377,185 shares of common stock owned by the Petras Trusts. Also includes 152,199 shares of common stock, 133,469 shares of common stock issuable in connection with outstanding RSUs, which will vest within 60 days of February 27, 2024, and 1,925,002 shares underlying options that are currently exercisable or exercisable within 60 days of February 27, 2024.</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547,161 shares of common stock, of which 139,536 shares are restricted and remain subject to vesting, 17,795 shares of common stock issuable in connection with outstanding RSUs, which will vest within 60 days of February 27, 2024, and 144,380 shares underlying options that are currently exercisable or exercisable within 60 days of February 27, 2024.</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76,773 shares of common stock, of which 8,638 shares are restricted and remain subject to vesting.</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We and/or the selling stockholders may offer and sell the securities covered by this prospectus from time to time, in one or more or any combination of the following transactions:</w:t>
      </w:r>
    </w:p>
    <w:p>
      <w:pPr>
        <w:spacing w:after="0" w:line="67"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broker-dealers or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effected after the date the registration statement of which this prospectus is a part is filed with the SEC;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securities at a stipulated price per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a limited number of purchasers or to a single purchaser;</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within the meaning of Rule 415(a)(4) under the Securities Act, to or through a market maker or into an existing trading market, on an exchange or otherwise;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including in a block trade in which a broker-dealer will attempt to sell the offered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purchases by a broker-dealer as principal and resale by the broker-dealer for its account pursuant to this prospectus;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by applicable law.</w:t>
      </w:r>
    </w:p>
    <w:p>
      <w:pPr>
        <w:spacing w:after="0" w:line="225"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We and/or selling stockholders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or borrowed from us, the selling stockholders or others to settle those sales or to close out any related open borrowings of stock and may use securities received from us, the selling stockholders or others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to the registration statement of which this prospectus forms a part).</w:t>
      </w:r>
    </w:p>
    <w:p>
      <w:pPr>
        <w:spacing w:after="0" w:line="18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At any time a particular offering of securities covered by this prospectus is made, a revised prospectus or prospectus supplement, if required, will set forth the amount of securities covered by this prospectus being offered and terms of the offering, including:</w:t>
      </w:r>
    </w:p>
    <w:p>
      <w:pPr>
        <w:spacing w:after="0" w:line="67" w:lineRule="exact"/>
        <w:rPr>
          <w:sz w:val="20"/>
          <w:szCs w:val="20"/>
          <w:color w:val="auto"/>
        </w:rPr>
      </w:pPr>
    </w:p>
    <w:p>
      <w:pPr>
        <w:ind w:left="1080" w:right="3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brokers or agents and the amounts of securities underwritten or purchased by each of them; and</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public offering price of the securities, if a fixed price offering, and the proceeds to us or any selling stockholders and, to the extent required, any discounts, commissions or concessions allowed or reallowed or paid to dealers.</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Any such required prospectus or prospectus supplement, and, if necessary, a post-effective amendment to the registration statement of which this prospectus is a part, will be filed with the SEC to reflect the disclosure of additional information with respect to the distribution of our common stock covered by this prospectus.</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320" w:top="455" w:right="5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Underwriters or the third parties described above may offer and sell the offered securities from time to time in one or more transactions, including negotiated transactions, at a fixed public offering price or at varying prices determined at the time of sale. If underwriters are used in the sale of any securities, the securities will be acquired by the underwriters for their own account and may be resold from time to time in one or more transactions described above. The securities may be offered to the public either through underwriting syndicates represented by managing underwriters or directly by underwriters. The obligations of the underwriters to purchase the securities will be subject to the conditions set forth in the applicable underwriting agreement. The underwriters will be obligated to purchase all of the offered securities if they purchase any of the offered securities.</w:t>
      </w:r>
    </w:p>
    <w:p>
      <w:pPr>
        <w:spacing w:after="0" w:line="187"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and/or the selling stockholders may sell the securities at prices then prevailing or related to the then current market price or at negotiated prices. The offering price of the securities from time to time will be determined by us or the selling stockholders, as applicable, and, at the time of the determination, may be higher or lower than the market price of the securities on any securities exchanges on which the securities may be listed.</w:t>
      </w:r>
    </w:p>
    <w:p>
      <w:pPr>
        <w:spacing w:after="0" w:line="17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To facilitate a securities offering, certain persons participating in the offering may engage in transactions that stabilize, maintain or otherwise affect the price of the securities. Specifically, in connection with underwritten offerings of the offered securities and in accordance with applicable law and industry practice, the underwriters may over-allot and may bid for, and purchase, the securities in the open market. The applicable prospectus supplement will describe any such activities. Should any of these activities be undertaken, they may be discontinued at any time.</w:t>
      </w:r>
    </w:p>
    <w:p>
      <w:pPr>
        <w:spacing w:after="0" w:line="180"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selling stockholders and any agents, underwriters and other third parties described above that participate in the distribution of the offered securities may be underwriters as defined in the Securities Act, and any discounts or commissions they receive from us and any profit on their resale of the securities may be treated as underwriting discounts and commissions under the Securities Act. We or the selling stockholders may have agreements with the agents, underwriters and those other third parties to indemnify them against specified civil liabilities, including liabilities under the Securities Act, or to contribute to payments they may be required to make in respect of those liabilities. Agents, underwriters and those other third parties may engage in transactions with or perform services for us in the ordinary course of their businesses.</w:t>
      </w:r>
    </w:p>
    <w:p>
      <w:pPr>
        <w:spacing w:after="0" w:line="187"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To comply with applicable state securities laws, the securities covered by this prospectus will be sold, if necessary, in such jurisdictions only through registered or licensed brokers or dealers. In addition, the securities may not be sold in some states absent registration or pursuant to an exemption from applicable state securities laws.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including the filings that are incorporated by reference into this prospectus, are available to the public over the Internet at the SEC’s website at www.sec.gov. Copies of certain information filed by us with the SEC are also available on our website at www.investors.soterahealth.com. Information accessible on or through our website is not a part of this prospectus.</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40"/>
          </w:cols>
          <w:pgMar w:left="320" w:top="455" w:right="5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The rules of the SEC allow us to incorporate by reference into this prospectus the information we file with the SEC. This means that we are disclosing important information to you by referring to other documents. The information incorporated by reference is considered to be part of this prospectus, except for any information superseded by information contained directly in this prospectus. We incorporate by reference the documents listed below (other than any portions thereof, which under the Exchange Act, and applicable SEC rules, are not deemed “filed” under the Exchange Act):</w:t>
      </w:r>
    </w:p>
    <w:p>
      <w:pPr>
        <w:spacing w:after="0" w:line="89"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with the SEC on February 27, 2024;</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w:t>
      </w:r>
      <w:hyperlink r:id="rId91">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xml:space="preserve">, filed with the SEC on April 13, 2023 (solely to the extent specifically incorporated by reference into our Annual Report on </w:t>
      </w:r>
      <w:hyperlink r:id="rId92">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2022); and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additional documents that we file with the SEC under Sections 13(a), 13(c), 14 or 15(d) of the Securities and Exchange Act of 1934 between the date of this prospectus and the end of the offering of the securities described in this prospectus. Those documents include Annual Reports on Form 10-K, Quarterly Reports on Form 10-Q, and Current Reports on Form 8-K mailed to our stockholders.</w:t>
      </w:r>
    </w:p>
    <w:p>
      <w:pPr>
        <w:spacing w:after="0" w:line="176" w:lineRule="exact"/>
        <w:rPr>
          <w:rFonts w:ascii="Times New Roman" w:cs="Times New Roman" w:eastAsia="Times New Roman" w:hAnsi="Times New Roman"/>
          <w:sz w:val="18"/>
          <w:szCs w:val="18"/>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we have incorporated by reference any statement or information in this prospectus and we subsequently modify that statement or information with information contained in this prospectus, the statement or information previously incorporated in this prospectus is also modified or superseded in the same manner.</w:t>
      </w:r>
    </w:p>
    <w:p>
      <w:pPr>
        <w:spacing w:after="0" w:line="176" w:lineRule="exact"/>
        <w:rPr>
          <w:rFonts w:ascii="Times New Roman" w:cs="Times New Roman" w:eastAsia="Times New Roman" w:hAnsi="Times New Roman"/>
          <w:sz w:val="18"/>
          <w:szCs w:val="18"/>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a copy of this prospectus is delivered, upon written or oral request of such person, a copy of any or all of the documents referred to above which have been incorporated by reference in this prospectus. You should direct requests for those documents to Sotera Health Company, 9100 South Hills Blvd, Suite 300 Broadview Heights, Ohio 44147.</w:t>
      </w:r>
    </w:p>
    <w:p>
      <w:pPr>
        <w:spacing w:after="0" w:line="176" w:lineRule="exact"/>
        <w:rPr>
          <w:rFonts w:ascii="Times New Roman" w:cs="Times New Roman" w:eastAsia="Times New Roman" w:hAnsi="Times New Roman"/>
          <w:sz w:val="18"/>
          <w:szCs w:val="18"/>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Exhibits to any documents incorporated by reference in this prospectus will not be sent, however, unless those exhibits have been specifically referenced in this prospectus.</w:t>
      </w:r>
    </w:p>
    <w:p>
      <w:pPr>
        <w:spacing w:after="0" w:line="94" w:lineRule="exact"/>
        <w:rPr>
          <w:rFonts w:ascii="Times New Roman" w:cs="Times New Roman" w:eastAsia="Times New Roman" w:hAnsi="Times New Roman"/>
          <w:sz w:val="18"/>
          <w:szCs w:val="18"/>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320" w:top="455" w:right="5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Cleary Gottlieb Steen &amp; Hamilton LLP, New York, New York will pass upon the legality of the shares of common stock covered by this prospectus. Any underwriters will be advised about legal matters by their own counsel, which will be named in an accompanying prospectus supplement. Certain legal matters with respect to any selling stockholder will be passed upon by their own counsel, which will be named in an accompanying prospectus supplement.</w:t>
      </w:r>
    </w:p>
    <w:p>
      <w:pPr>
        <w:spacing w:after="0" w:line="1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360"/>
          </w:cols>
          <w:pgMar w:left="320" w:top="455" w:right="12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Sotera Health Company appearing in Sotera Health Company’s Annual Report on Form 10-K for the year ended December 31, 2023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200" w:lineRule="exact"/>
        <w:rPr>
          <w:sz w:val="20"/>
          <w:szCs w:val="20"/>
          <w:color w:val="auto"/>
        </w:rPr>
      </w:pPr>
    </w:p>
    <w:p>
      <w:pPr>
        <w:spacing w:after="0" w:line="27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55"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740"/>
        <w:spacing w:after="0"/>
        <w:tabs>
          <w:tab w:leader="none" w:pos="5660" w:val="left"/>
        </w:tabs>
        <w:rPr>
          <w:sz w:val="20"/>
          <w:szCs w:val="20"/>
          <w:color w:val="auto"/>
        </w:rPr>
      </w:pPr>
      <w:r>
        <w:rPr>
          <w:rFonts w:ascii="Times New Roman" w:cs="Times New Roman" w:eastAsia="Times New Roman" w:hAnsi="Times New Roman"/>
          <w:sz w:val="29"/>
          <w:szCs w:val="29"/>
          <w:b w:val="1"/>
          <w:bCs w:val="1"/>
          <w:color w:val="auto"/>
        </w:rPr>
        <w:t xml:space="preserve">       </w:t>
      </w:r>
      <w:r>
        <w:rPr>
          <w:sz w:val="20"/>
          <w:szCs w:val="20"/>
          <w:color w:val="auto"/>
        </w:rPr>
        <w:tab/>
      </w:r>
      <w:r>
        <w:rPr>
          <w:rFonts w:ascii="Times New Roman" w:cs="Times New Roman" w:eastAsia="Times New Roman" w:hAnsi="Times New Roman"/>
          <w:sz w:val="28"/>
          <w:szCs w:val="28"/>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344170</wp:posOffset>
            </wp:positionV>
            <wp:extent cx="1251585" cy="4286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125158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410210</wp:posOffset>
            </wp:positionV>
            <wp:extent cx="1474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243840</wp:posOffset>
            </wp:positionV>
            <wp:extent cx="1474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100" w:right="3699" w:hanging="295"/>
        <w:spacing w:after="0" w:line="647" w:lineRule="auto"/>
        <w:tabs>
          <w:tab w:leader="none" w:pos="5056" w:val="left"/>
        </w:tabs>
        <w:numPr>
          <w:ilvl w:val="0"/>
          <w:numId w:val="38"/>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color w:val="auto"/>
        </w:rPr>
        <w:t>      , 2024 Citigroup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1288415</wp:posOffset>
            </wp:positionV>
            <wp:extent cx="6995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1348740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lowerLetter"/>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1)"/>
      <w:numFmt w:val="lowerLetter"/>
      <w:start w:val="1"/>
    </w:lvl>
  </w:abstractNum>
  <w:abstractNum w:abstractNumId="5">
    <w:nsid w:val="721DA317"/>
    <w:multiLevelType w:val="hybridMultilevel"/>
    <w:lvl w:ilvl="0">
      <w:lvlJc w:val="left"/>
      <w:lvlText w:val="(%1)"/>
      <w:numFmt w:val="lowerLetter"/>
      <w:start w:val="4"/>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1)"/>
      <w:numFmt w:val="decimal"/>
      <w:start w:val="3"/>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1)"/>
      <w:numFmt w:val="decimal"/>
      <w:start w:val="3"/>
    </w:lvl>
  </w:abstractNum>
  <w:abstractNum w:abstractNumId="15">
    <w:nsid w:val="54E49EB4"/>
    <w:multiLevelType w:val="hybridMultilevel"/>
    <w:lvl w:ilvl="0">
      <w:lvlJc w:val="left"/>
      <w:lvlText w:val="(%1)"/>
      <w:numFmt w:val="lowerRoman"/>
      <w:start w:val="1"/>
    </w:lvl>
  </w:abstractNum>
  <w:abstractNum w:abstractNumId="16">
    <w:nsid w:val="71F32454"/>
    <w:multiLevelType w:val="hybridMultilevel"/>
    <w:lvl w:ilvl="0">
      <w:lvlJc w:val="left"/>
      <w:lvlText w:val="(%1)"/>
      <w:numFmt w:val="lowerRoman"/>
      <w:start w:val="3"/>
    </w:lvl>
  </w:abstractNum>
  <w:abstractNum w:abstractNumId="17">
    <w:nsid w:val="2CA88611"/>
    <w:multiLevelType w:val="hybridMultilevel"/>
    <w:lvl w:ilvl="0">
      <w:lvlJc w:val="left"/>
      <w:lvlText w:val="%1."/>
      <w:numFmt w:val="lowerLetter"/>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1)"/>
      <w:numFmt w:val="lowerLetter"/>
      <w:start w:val="1"/>
    </w:lvl>
  </w:abstractNum>
  <w:abstractNum w:abstractNumId="22">
    <w:nsid w:val="1E7FF521"/>
    <w:multiLevelType w:val="hybridMultilevel"/>
    <w:lvl w:ilvl="0">
      <w:lvlJc w:val="left"/>
      <w:lvlText w:val="(%1)"/>
      <w:numFmt w:val="lowerLetter"/>
      <w:start w:val="1"/>
    </w:lvl>
  </w:abstractNum>
  <w:abstractNum w:abstractNumId="23">
    <w:nsid w:val="7C3DBD3D"/>
    <w:multiLevelType w:val="hybridMultilevel"/>
    <w:lvl w:ilvl="0">
      <w:lvlJc w:val="left"/>
      <w:lvlText w:val="(%1)"/>
      <w:numFmt w:val="lowerRoman"/>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1)"/>
      <w:numFmt w:val="decimal"/>
      <w:start w:val="3"/>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decimal"/>
      <w:start w:val="3"/>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jpe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3" Type="http://schemas.openxmlformats.org/officeDocument/2006/relationships/image" Target="media/image74.png"/><Relationship Id="rId94" Type="http://schemas.openxmlformats.org/officeDocument/2006/relationships/image" Target="media/image75.png"/><Relationship Id="rId95" Type="http://schemas.openxmlformats.org/officeDocument/2006/relationships/image" Target="media/image76.png"/><Relationship Id="rId96" Type="http://schemas.openxmlformats.org/officeDocument/2006/relationships/image" Target="media/image77.png"/><Relationship Id="rId97" Type="http://schemas.openxmlformats.org/officeDocument/2006/relationships/image" Target="media/image78.png"/><Relationship Id="rId98" Type="http://schemas.openxmlformats.org/officeDocument/2006/relationships/image" Target="media/image79.jpeg"/><Relationship Id="rId99" Type="http://schemas.openxmlformats.org/officeDocument/2006/relationships/image" Target="media/image80.png"/><Relationship Id="rId100"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png"/><Relationship Id="rId57" Type="http://schemas.openxmlformats.org/officeDocument/2006/relationships/hyperlink" Target="http://www.sec.gov/ix?doc=/Archives/edgar/data/0001822479/000182247924000011/shc-20231231.htm" TargetMode="External"/><Relationship Id="rId58" Type="http://schemas.openxmlformats.org/officeDocument/2006/relationships/hyperlink" Target="http://www.sec.gov/ix?doc=/Archives/edgar/data/1822479/000182247924000020/shc-20240331.htm" TargetMode="External"/><Relationship Id="rId59" Type="http://schemas.openxmlformats.org/officeDocument/2006/relationships/hyperlink" Target="http://www.sec.gov/Archives/edgar/data/1822479/000182247924000041/shc-20240630.htm" TargetMode="External"/><Relationship Id="rId60" Type="http://schemas.openxmlformats.org/officeDocument/2006/relationships/hyperlink" Target="http://www.sec.gov/Archives/edgar/data/1822479/000119312524058025/d786395d8k.htm" TargetMode="External"/><Relationship Id="rId61" Type="http://schemas.openxmlformats.org/officeDocument/2006/relationships/hyperlink" Target="http://www.sec.gov/Archives/edgar/data/1822479/000182247924000027/shc-20240523.htm" TargetMode="External"/><Relationship Id="rId62" Type="http://schemas.openxmlformats.org/officeDocument/2006/relationships/hyperlink" Target="http://www.sec.gov/Archives/edgar/data/1822479/000182247924000029/shc-20240530.htm" TargetMode="External"/><Relationship Id="rId63" Type="http://schemas.openxmlformats.org/officeDocument/2006/relationships/hyperlink" Target="http://www.sec.gov/Archives/edgar/data/1822479/000182247924000036/shc-20240731.htm" TargetMode="External"/><Relationship Id="rId64" Type="http://schemas.openxmlformats.org/officeDocument/2006/relationships/hyperlink" Target="http://www.sec.gov/Archives/edgar/data/1822479/000119312524093193/d733616ddef14a.htm" TargetMode="External"/><Relationship Id="rId65" Type="http://schemas.openxmlformats.org/officeDocument/2006/relationships/hyperlink" Target="http://www.sec.gov/Archives/edgar/data/1822479/000119312524134226/d814267ddefr14a.htm" TargetMode="External"/><Relationship Id="rId66" Type="http://schemas.openxmlformats.org/officeDocument/2006/relationships/hyperlink" Target="http://www.sec.gov/ix?doc=/Archives/edgar/data/1822479/000182247924000011/shc-20231231.htm" TargetMode="External"/><Relationship Id="rId91" Type="http://schemas.openxmlformats.org/officeDocument/2006/relationships/hyperlink" Target="http://www.sec.gov/ix?doc=/Archives/edgar/data/1822479/000119312523099939/d425483ddef14a.htm" TargetMode="External"/><Relationship Id="rId92" Type="http://schemas.openxmlformats.org/officeDocument/2006/relationships/hyperlink" Target="http://www.sec.gov/ix?doc=/Archives/edgar/data/1822479/000182247923000015/shc-2022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2024-09-04T17:51:29Z</dcterms:created>
  <dcterms:modified xsi:type="dcterms:W3CDTF">2024-09-04T17:51:29Z</dcterms:modified>
</cp:coreProperties>
</file>