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-1633855</wp:posOffset>
            </wp:positionH>
            <wp:positionV relativeFrom="paragraph">
              <wp:posOffset>-744855</wp:posOffset>
            </wp:positionV>
            <wp:extent cx="6732905" cy="966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96621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-744855</wp:posOffset>
            </wp:positionV>
            <wp:extent cx="6732905" cy="9662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9662160"/>
                    </a:xfrm>
                    <a:prstGeom prst="rect">
                      <a:avLst/>
                    </a:prstGeom>
                    <a:noFill/>
                  </pic:spPr>
                </pic:pic>
              </a:graphicData>
            </a:graphic>
          </wp:anchor>
        </w:drawing>
      </w:r>
    </w:p>
    <w:p>
      <w:pPr>
        <w:spacing w:after="0" w:line="1063"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00" w:type="dxa"/>
            <w:vAlign w:val="bottom"/>
            <w:gridSpan w:val="7"/>
          </w:tcPr>
          <w:p>
            <w:pPr>
              <w:ind w:left="60"/>
              <w:spacing w:after="0"/>
              <w:rPr>
                <w:sz w:val="20"/>
                <w:szCs w:val="20"/>
                <w:color w:val="auto"/>
              </w:rPr>
            </w:pPr>
            <w:r>
              <w:rPr>
                <w:rFonts w:ascii="Arial" w:cs="Arial" w:eastAsia="Arial" w:hAnsi="Arial"/>
                <w:sz w:val="12"/>
                <w:szCs w:val="12"/>
                <w:color w:val="auto"/>
                <w:w w:val="98"/>
              </w:rPr>
              <w:t xml:space="preserve">1. Name and Address of Reporting Person </w:t>
            </w:r>
            <w:r>
              <w:rPr>
                <w:rFonts w:ascii="Arial" w:cs="Arial" w:eastAsia="Arial" w:hAnsi="Arial"/>
                <w:sz w:val="19"/>
                <w:szCs w:val="19"/>
                <w:color w:val="auto"/>
                <w:w w:val="98"/>
                <w:vertAlign w:val="superscript"/>
              </w:rPr>
              <w:t>*</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9"/>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8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6"/>
          </w:tcPr>
          <w:p>
            <w:pPr>
              <w:ind w:left="20"/>
              <w:spacing w:after="0" w:line="132" w:lineRule="exact"/>
              <w:rPr>
                <w:sz w:val="20"/>
                <w:szCs w:val="20"/>
                <w:color w:val="auto"/>
              </w:rPr>
            </w:pPr>
            <w:r>
              <w:rPr>
                <w:rFonts w:ascii="Times New Roman" w:cs="Times New Roman" w:eastAsia="Times New Roman" w:hAnsi="Times New Roman"/>
                <w:sz w:val="15"/>
                <w:szCs w:val="15"/>
                <w:color w:val="0000EE"/>
              </w:rPr>
              <w:t>WARBURG PINCUS &amp; CO.</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9"/>
          </w:tcPr>
          <w:p>
            <w:pPr>
              <w:ind w:left="60"/>
              <w:spacing w:after="0" w:line="132" w:lineRule="exact"/>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color w:val="0000EE"/>
                </w:rPr>
                <w:t xml:space="preserve">Sotera Health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SHC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w w:val="95"/>
              </w:rPr>
              <w:t>Director</w:t>
            </w: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52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780" w:type="dxa"/>
            <w:vAlign w:val="bottom"/>
            <w:gridSpan w:val="9"/>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EEEEEE"/>
            </w:tcBorders>
          </w:tcPr>
          <w:p>
            <w:pPr>
              <w:spacing w:after="0"/>
              <w:rPr>
                <w:sz w:val="6"/>
                <w:szCs w:val="6"/>
                <w:color w:val="auto"/>
              </w:rPr>
            </w:pPr>
          </w:p>
        </w:tc>
        <w:tc>
          <w:tcPr>
            <w:tcW w:w="640" w:type="dxa"/>
            <w:vAlign w:val="bottom"/>
            <w:tcBorders>
              <w:bottom w:val="single" w:sz="8" w:color="EEEEEE"/>
            </w:tcBorders>
          </w:tcPr>
          <w:p>
            <w:pPr>
              <w:spacing w:after="0"/>
              <w:rPr>
                <w:sz w:val="6"/>
                <w:szCs w:val="6"/>
                <w:color w:val="auto"/>
              </w:rPr>
            </w:pPr>
          </w:p>
        </w:tc>
        <w:tc>
          <w:tcPr>
            <w:tcW w:w="520" w:type="dxa"/>
            <w:vAlign w:val="bottom"/>
            <w:tcBorders>
              <w:bottom w:val="single" w:sz="8" w:color="EEEEEE"/>
            </w:tcBorders>
          </w:tcPr>
          <w:p>
            <w:pPr>
              <w:spacing w:after="0"/>
              <w:rPr>
                <w:sz w:val="6"/>
                <w:szCs w:val="6"/>
                <w:color w:val="auto"/>
              </w:rPr>
            </w:pPr>
          </w:p>
        </w:tc>
        <w:tc>
          <w:tcPr>
            <w:tcW w:w="340" w:type="dxa"/>
            <w:vAlign w:val="bottom"/>
            <w:tcBorders>
              <w:bottom w:val="single" w:sz="8" w:color="EEEEEE"/>
            </w:tcBorders>
          </w:tcPr>
          <w:p>
            <w:pPr>
              <w:spacing w:after="0"/>
              <w:rPr>
                <w:sz w:val="6"/>
                <w:szCs w:val="6"/>
                <w:color w:val="auto"/>
              </w:rPr>
            </w:pPr>
          </w:p>
        </w:tc>
        <w:tc>
          <w:tcPr>
            <w:tcW w:w="760" w:type="dxa"/>
            <w:vAlign w:val="bottom"/>
            <w:tcBorders>
              <w:bottom w:val="single" w:sz="8" w:color="EEEEEE"/>
            </w:tcBorders>
          </w:tcPr>
          <w:p>
            <w:pPr>
              <w:spacing w:after="0"/>
              <w:rPr>
                <w:sz w:val="6"/>
                <w:szCs w:val="6"/>
                <w:color w:val="auto"/>
              </w:rPr>
            </w:pPr>
          </w:p>
        </w:tc>
        <w:tc>
          <w:tcPr>
            <w:tcW w:w="40" w:type="dxa"/>
            <w:vAlign w:val="bottom"/>
            <w:tcBorders>
              <w:bottom w:val="single" w:sz="8" w:color="EEEEEE"/>
            </w:tcBorders>
          </w:tcPr>
          <w:p>
            <w:pPr>
              <w:spacing w:after="0"/>
              <w:rPr>
                <w:sz w:val="6"/>
                <w:szCs w:val="6"/>
                <w:color w:val="auto"/>
              </w:rPr>
            </w:pPr>
          </w:p>
        </w:tc>
        <w:tc>
          <w:tcPr>
            <w:tcW w:w="340" w:type="dxa"/>
            <w:vAlign w:val="bottom"/>
            <w:tcBorders>
              <w:bottom w:val="single" w:sz="8" w:color="EEEEEE"/>
            </w:tcBorders>
          </w:tcPr>
          <w:p>
            <w:pPr>
              <w:spacing w:after="0"/>
              <w:rPr>
                <w:sz w:val="6"/>
                <w:szCs w:val="6"/>
                <w:color w:val="auto"/>
              </w:rPr>
            </w:pPr>
          </w:p>
        </w:tc>
        <w:tc>
          <w:tcPr>
            <w:tcW w:w="620" w:type="dxa"/>
            <w:vAlign w:val="bottom"/>
            <w:tcBorders>
              <w:bottom w:val="single" w:sz="8" w:color="EEEEEE"/>
            </w:tcBorders>
          </w:tcPr>
          <w:p>
            <w:pPr>
              <w:spacing w:after="0"/>
              <w:rPr>
                <w:sz w:val="6"/>
                <w:szCs w:val="6"/>
                <w:color w:val="auto"/>
              </w:rPr>
            </w:pPr>
          </w:p>
        </w:tc>
        <w:tc>
          <w:tcPr>
            <w:tcW w:w="200" w:type="dxa"/>
            <w:vAlign w:val="bottom"/>
            <w:tcBorders>
              <w:bottom w:val="single" w:sz="8" w:color="EEEEEE"/>
            </w:tcBorders>
          </w:tcPr>
          <w:p>
            <w:pPr>
              <w:spacing w:after="0"/>
              <w:rPr>
                <w:sz w:val="6"/>
                <w:szCs w:val="6"/>
                <w:color w:val="auto"/>
              </w:rPr>
            </w:pPr>
          </w:p>
        </w:tc>
        <w:tc>
          <w:tcPr>
            <w:tcW w:w="40" w:type="dxa"/>
            <w:vAlign w:val="bottom"/>
            <w:tcBorders>
              <w:bottom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2780" w:type="dxa"/>
            <w:vAlign w:val="bottom"/>
            <w:gridSpan w:val="9"/>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3"/>
            <w:vMerge w:val="restart"/>
          </w:tcPr>
          <w:p>
            <w:pPr>
              <w:ind w:left="280"/>
              <w:spacing w:after="0"/>
              <w:rPr>
                <w:sz w:val="20"/>
                <w:szCs w:val="20"/>
                <w:color w:val="auto"/>
              </w:rPr>
            </w:pPr>
            <w:r>
              <w:rPr>
                <w:rFonts w:ascii="Arial" w:cs="Arial" w:eastAsia="Arial" w:hAnsi="Arial"/>
                <w:sz w:val="12"/>
                <w:szCs w:val="12"/>
                <w:color w:val="auto"/>
              </w:rPr>
              <w:t>Officer (give title</w:t>
            </w:r>
          </w:p>
        </w:tc>
        <w:tc>
          <w:tcPr>
            <w:tcW w:w="220" w:type="dxa"/>
            <w:vAlign w:val="bottom"/>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780" w:type="dxa"/>
            <w:vAlign w:val="bottom"/>
            <w:gridSpan w:val="9"/>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6"/>
            <w:vMerge w:val="restart"/>
          </w:tcPr>
          <w:p>
            <w:pPr>
              <w:ind w:left="140"/>
              <w:spacing w:after="0"/>
              <w:rPr>
                <w:sz w:val="20"/>
                <w:szCs w:val="20"/>
                <w:color w:val="auto"/>
              </w:rPr>
            </w:pPr>
            <w:r>
              <w:rPr>
                <w:rFonts w:ascii="Times New Roman" w:cs="Times New Roman" w:eastAsia="Times New Roman" w:hAnsi="Times New Roman"/>
                <w:sz w:val="16"/>
                <w:szCs w:val="16"/>
                <w:color w:val="0000FF"/>
              </w:rPr>
              <w:t>12/03/2025</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color w:val="auto"/>
                <w:w w:val="95"/>
              </w:rPr>
              <w:t>(First)</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2"/>
                <w:szCs w:val="12"/>
                <w:color w:val="auto"/>
              </w:rPr>
              <w:t>(Middle)</w:t>
            </w:r>
          </w:p>
        </w:tc>
        <w:tc>
          <w:tcPr>
            <w:tcW w:w="1200" w:type="dxa"/>
            <w:vAlign w:val="bottom"/>
            <w:gridSpan w:val="6"/>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below)</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color w:val="auto"/>
              </w:rPr>
              <w:t>below)</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450 LEXINGTON AVENUE</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80" w:type="dxa"/>
            <w:vAlign w:val="bottom"/>
            <w:gridSpan w:val="10"/>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500" w:type="dxa"/>
            <w:vAlign w:val="bottom"/>
          </w:tcPr>
          <w:p>
            <w:pPr>
              <w:spacing w:after="0"/>
              <w:rPr>
                <w:sz w:val="9"/>
                <w:szCs w:val="9"/>
                <w:color w:val="auto"/>
              </w:rPr>
            </w:pPr>
          </w:p>
        </w:tc>
        <w:tc>
          <w:tcPr>
            <w:tcW w:w="318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80" w:type="dxa"/>
            <w:vAlign w:val="bottom"/>
            <w:gridSpan w:val="10"/>
            <w:vMerge w:val="continue"/>
          </w:tcPr>
          <w:p>
            <w:pPr>
              <w:spacing w:after="0"/>
              <w:rPr>
                <w:sz w:val="8"/>
                <w:szCs w:val="8"/>
                <w:color w:val="auto"/>
              </w:rPr>
            </w:pPr>
          </w:p>
        </w:tc>
        <w:tc>
          <w:tcPr>
            <w:tcW w:w="500" w:type="dxa"/>
            <w:vAlign w:val="bottom"/>
          </w:tcPr>
          <w:p>
            <w:pPr>
              <w:spacing w:after="0"/>
              <w:rPr>
                <w:sz w:val="8"/>
                <w:szCs w:val="8"/>
                <w:color w:val="auto"/>
              </w:rPr>
            </w:pPr>
          </w:p>
        </w:tc>
        <w:tc>
          <w:tcPr>
            <w:tcW w:w="31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640" w:type="dxa"/>
            <w:vAlign w:val="bottom"/>
            <w:tcBorders>
              <w:bottom w:val="single" w:sz="8" w:color="EEEEEE"/>
            </w:tcBorders>
          </w:tcPr>
          <w:p>
            <w:pPr>
              <w:spacing w:after="0"/>
              <w:rPr>
                <w:sz w:val="7"/>
                <w:szCs w:val="7"/>
                <w:color w:val="auto"/>
              </w:rPr>
            </w:pPr>
          </w:p>
        </w:tc>
        <w:tc>
          <w:tcPr>
            <w:tcW w:w="52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2220" w:type="dxa"/>
            <w:vAlign w:val="bottom"/>
            <w:gridSpan w:val="5"/>
            <w:vMerge w:val="restart"/>
          </w:tcPr>
          <w:p>
            <w:pPr>
              <w:ind w:left="280"/>
              <w:spacing w:after="0"/>
              <w:rPr>
                <w:sz w:val="20"/>
                <w:szCs w:val="20"/>
                <w:color w:val="auto"/>
              </w:rPr>
            </w:pPr>
            <w:r>
              <w:rPr>
                <w:rFonts w:ascii="Arial" w:cs="Arial" w:eastAsia="Arial" w:hAnsi="Arial"/>
                <w:sz w:val="12"/>
                <w:szCs w:val="12"/>
                <w:color w:val="auto"/>
                <w:w w:val="99"/>
              </w:rPr>
              <w:t>Form filed by One Reporting Person</w:t>
            </w: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gridSpan w:val="6"/>
            <w:vMerge w:val="restart"/>
          </w:tcPr>
          <w:p>
            <w:pPr>
              <w:ind w:left="2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10017</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640" w:type="dxa"/>
            <w:vAlign w:val="bottom"/>
            <w:tcBorders>
              <w:bottom w:val="single" w:sz="8" w:color="EEEEEE"/>
            </w:tcBorders>
          </w:tcPr>
          <w:p>
            <w:pPr>
              <w:spacing w:after="0"/>
              <w:rPr>
                <w:sz w:val="11"/>
                <w:szCs w:val="11"/>
                <w:color w:val="auto"/>
              </w:rPr>
            </w:pPr>
          </w:p>
        </w:tc>
        <w:tc>
          <w:tcPr>
            <w:tcW w:w="520" w:type="dxa"/>
            <w:vAlign w:val="bottom"/>
            <w:tcBorders>
              <w:bottom w:val="single" w:sz="8" w:color="EEEEEE"/>
            </w:tcBorders>
          </w:tcPr>
          <w:p>
            <w:pPr>
              <w:spacing w:after="0"/>
              <w:rPr>
                <w:sz w:val="11"/>
                <w:szCs w:val="11"/>
                <w:color w:val="auto"/>
              </w:rPr>
            </w:pPr>
          </w:p>
        </w:tc>
        <w:tc>
          <w:tcPr>
            <w:tcW w:w="1100" w:type="dxa"/>
            <w:vAlign w:val="bottom"/>
            <w:tcBorders>
              <w:bottom w:val="single" w:sz="8" w:color="EEEEEE"/>
            </w:tcBorders>
            <w:gridSpan w:val="2"/>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62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340" w:type="dxa"/>
            <w:vAlign w:val="bottom"/>
          </w:tcPr>
          <w:p>
            <w:pPr>
              <w:ind w:left="40"/>
              <w:spacing w:after="0"/>
              <w:rPr>
                <w:sz w:val="20"/>
                <w:szCs w:val="20"/>
                <w:color w:val="auto"/>
              </w:rPr>
            </w:pPr>
            <w:r>
              <w:rPr>
                <w:rFonts w:ascii="Arial" w:cs="Arial" w:eastAsia="Arial" w:hAnsi="Arial"/>
                <w:sz w:val="12"/>
                <w:szCs w:val="12"/>
                <w:color w:val="auto"/>
              </w:rPr>
              <w:t>(Zip)</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3"/>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760" w:type="dxa"/>
            <w:vAlign w:val="bottom"/>
            <w:gridSpan w:val="22"/>
          </w:tcPr>
          <w:p>
            <w:pPr>
              <w:ind w:left="68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500" w:type="dxa"/>
            <w:vAlign w:val="bottom"/>
            <w:tcBorders>
              <w:bottom w:val="single" w:sz="8" w:color="808080"/>
            </w:tcBorders>
            <w:gridSpan w:val="3"/>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gridSpan w:val="2"/>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920" w:type="dxa"/>
            <w:vAlign w:val="bottom"/>
            <w:tcBorders>
              <w:bottom w:val="single" w:sz="8" w:color="808080"/>
            </w:tcBorders>
            <w:gridSpan w:val="4"/>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gridSpan w:val="2"/>
          </w:tcPr>
          <w:p>
            <w:pPr>
              <w:spacing w:after="0"/>
              <w:rPr>
                <w:sz w:val="2"/>
                <w:szCs w:val="2"/>
                <w:color w:val="auto"/>
              </w:rPr>
            </w:pPr>
          </w:p>
        </w:tc>
        <w:tc>
          <w:tcPr>
            <w:tcW w:w="1120" w:type="dxa"/>
            <w:vAlign w:val="bottom"/>
            <w:tcBorders>
              <w:bottom w:val="single" w:sz="8" w:color="80808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0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1. Title of Security (Instr. 3)</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w w:val="99"/>
              </w:rPr>
              <w:t>2. Transaction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4"/>
          </w:tcPr>
          <w:p>
            <w:pPr>
              <w:ind w:left="1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2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gridSpan w:val="8"/>
          </w:tcPr>
          <w:p>
            <w:pPr>
              <w:ind w:left="100"/>
              <w:spacing w:after="0"/>
              <w:rPr>
                <w:sz w:val="20"/>
                <w:szCs w:val="20"/>
                <w:color w:val="auto"/>
              </w:rPr>
            </w:pPr>
            <w:r>
              <w:rPr>
                <w:rFonts w:ascii="Arial" w:cs="Arial" w:eastAsia="Arial" w:hAnsi="Arial"/>
                <w:sz w:val="11"/>
                <w:szCs w:val="11"/>
                <w:b w:val="1"/>
                <w:bCs w:val="1"/>
                <w:color w:val="auto"/>
              </w:rPr>
              <w:t>(Month/Day/Year)  if any</w:t>
            </w:r>
          </w:p>
        </w:tc>
        <w:tc>
          <w:tcPr>
            <w:tcW w:w="48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24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Owned Following</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8"/>
              </w:rPr>
              <w:t>(I) (Instr. 4)</w:t>
            </w:r>
          </w:p>
        </w:tc>
        <w:tc>
          <w:tcPr>
            <w:tcW w:w="22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V</w:t>
            </w: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0" w:type="dxa"/>
            <w:vAlign w:val="bottom"/>
            <w:vMerge w:val="continue"/>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2260" w:type="dxa"/>
            <w:vAlign w:val="bottom"/>
            <w:tcBorders>
              <w:bottom w:val="single" w:sz="8" w:color="808080"/>
            </w:tcBorders>
            <w:gridSpan w:val="4"/>
          </w:tcPr>
          <w:p>
            <w:pPr>
              <w:spacing w:after="0"/>
              <w:rPr>
                <w:sz w:val="2"/>
                <w:szCs w:val="2"/>
                <w:color w:val="auto"/>
              </w:rPr>
            </w:pPr>
          </w:p>
        </w:tc>
        <w:tc>
          <w:tcPr>
            <w:tcW w:w="380" w:type="dxa"/>
            <w:vAlign w:val="bottom"/>
            <w:tcBorders>
              <w:bottom w:val="single" w:sz="8" w:color="808080"/>
            </w:tcBorders>
            <w:gridSpan w:val="2"/>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gridSpan w:val="2"/>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74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0000FF"/>
                <w:w w:val="98"/>
              </w:rPr>
              <w:t>Common Stock, $0.01 par value per share</w:t>
            </w: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0000FF"/>
                <w:w w:val="98"/>
              </w:rPr>
              <w:t>12/03/2025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40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9,720,000</w:t>
            </w:r>
            <w:r>
              <w:rPr>
                <w:rFonts w:ascii="Times New Roman" w:cs="Times New Roman" w:eastAsia="Times New Roman" w:hAnsi="Times New Roman"/>
                <w:sz w:val="9"/>
                <w:szCs w:val="9"/>
                <w:color w:val="008000"/>
              </w:rPr>
              <w:t>(1)</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gridSpan w:val="2"/>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16.33</w:t>
            </w:r>
          </w:p>
        </w:tc>
        <w:tc>
          <w:tcPr>
            <w:tcW w:w="6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34,102,952</w:t>
            </w:r>
            <w:r>
              <w:rPr>
                <w:rFonts w:ascii="Times New Roman" w:cs="Times New Roman" w:eastAsia="Times New Roman" w:hAnsi="Times New Roman"/>
                <w:sz w:val="9"/>
                <w:szCs w:val="9"/>
                <w:color w:val="008000"/>
              </w:rPr>
              <w:t>(2)</w:t>
            </w: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gridSpan w:val="4"/>
          </w:tcPr>
          <w:p>
            <w:pPr>
              <w:ind w:left="60"/>
              <w:spacing w:after="0" w:line="180" w:lineRule="exact"/>
              <w:rPr>
                <w:sz w:val="20"/>
                <w:szCs w:val="20"/>
                <w:color w:val="auto"/>
              </w:rPr>
            </w:pPr>
            <w:r>
              <w:rPr>
                <w:rFonts w:ascii="Times New Roman" w:cs="Times New Roman" w:eastAsia="Times New Roman" w:hAnsi="Times New Roman"/>
                <w:sz w:val="16"/>
                <w:szCs w:val="16"/>
                <w:color w:val="0000FF"/>
                <w:w w:val="95"/>
              </w:rPr>
              <w:t>("Common Stock")</w:t>
            </w:r>
          </w:p>
        </w:tc>
        <w:tc>
          <w:tcPr>
            <w:tcW w:w="3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2"/>
          </w:tcPr>
          <w:p>
            <w:pPr>
              <w:ind w:left="80"/>
              <w:spacing w:after="0" w:line="180" w:lineRule="exact"/>
              <w:rPr>
                <w:sz w:val="20"/>
                <w:szCs w:val="20"/>
                <w:color w:val="auto"/>
              </w:rPr>
            </w:pPr>
            <w:r>
              <w:rPr>
                <w:rFonts w:ascii="Times New Roman" w:cs="Times New Roman" w:eastAsia="Times New Roman" w:hAnsi="Times New Roman"/>
                <w:sz w:val="20"/>
                <w:szCs w:val="20"/>
                <w:color w:val="0000FF"/>
                <w:vertAlign w:val="subscript"/>
              </w:rPr>
              <w:t>Footnote</w:t>
            </w:r>
            <w:r>
              <w:rPr>
                <w:rFonts w:ascii="Times New Roman" w:cs="Times New Roman" w:eastAsia="Times New Roman" w:hAnsi="Times New Roman"/>
                <w:sz w:val="8"/>
                <w:szCs w:val="8"/>
                <w:color w:val="008000"/>
              </w:rPr>
              <w:t>(3)(4)(5)(6)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20"/>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0" w:type="dxa"/>
            <w:vAlign w:val="bottom"/>
            <w:gridSpan w:val="17"/>
          </w:tcPr>
          <w:p>
            <w:pPr>
              <w:ind w:left="3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gridSpan w:val="2"/>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gridSpan w:val="2"/>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gridSpan w:val="2"/>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gridSpan w:val="2"/>
          </w:tcPr>
          <w:p>
            <w:pPr>
              <w:spacing w:after="0"/>
              <w:rPr>
                <w:sz w:val="2"/>
                <w:szCs w:val="2"/>
                <w:color w:val="auto"/>
              </w:rPr>
            </w:pPr>
          </w:p>
        </w:tc>
        <w:tc>
          <w:tcPr>
            <w:tcW w:w="1200" w:type="dxa"/>
            <w:vAlign w:val="bottom"/>
            <w:tcBorders>
              <w:bottom w:val="single" w:sz="8" w:color="808080"/>
            </w:tcBorders>
            <w:gridSpan w:val="5"/>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gridSpan w:val="2"/>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4"/>
          </w:tcPr>
          <w:p>
            <w:pPr>
              <w:ind w:left="220"/>
              <w:spacing w:after="0"/>
              <w:rPr>
                <w:sz w:val="20"/>
                <w:szCs w:val="20"/>
                <w:color w:val="auto"/>
              </w:rPr>
            </w:pPr>
            <w:r>
              <w:rPr>
                <w:rFonts w:ascii="Arial" w:cs="Arial" w:eastAsia="Arial" w:hAnsi="Arial"/>
                <w:sz w:val="11"/>
                <w:szCs w:val="11"/>
                <w:b w:val="1"/>
                <w:bCs w:val="1"/>
                <w:color w:val="auto"/>
              </w:rPr>
              <w:t>3A. Deemed</w:t>
            </w:r>
          </w:p>
        </w:tc>
        <w:tc>
          <w:tcPr>
            <w:tcW w:w="14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w:t>
            </w: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900" w:type="dxa"/>
            <w:vAlign w:val="bottom"/>
            <w:gridSpan w:val="6"/>
          </w:tcPr>
          <w:p>
            <w:pPr>
              <w:ind w:left="100"/>
              <w:spacing w:after="0"/>
              <w:rPr>
                <w:sz w:val="20"/>
                <w:szCs w:val="20"/>
                <w:color w:val="auto"/>
              </w:rPr>
            </w:pPr>
            <w:r>
              <w:rPr>
                <w:rFonts w:ascii="Arial" w:cs="Arial" w:eastAsia="Arial" w:hAnsi="Arial"/>
                <w:sz w:val="11"/>
                <w:szCs w:val="11"/>
                <w:b w:val="1"/>
                <w:bCs w:val="1"/>
                <w:color w:val="auto"/>
              </w:rPr>
              <w:t>7. Title and Amount   8. Price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4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60"/>
              <w:spacing w:after="0"/>
              <w:rPr>
                <w:sz w:val="20"/>
                <w:szCs w:val="20"/>
                <w:color w:val="auto"/>
              </w:rPr>
            </w:pPr>
            <w:r>
              <w:rPr>
                <w:rFonts w:ascii="Arial" w:cs="Arial" w:eastAsia="Arial" w:hAnsi="Arial"/>
                <w:sz w:val="11"/>
                <w:szCs w:val="11"/>
                <w:b w:val="1"/>
                <w:bCs w:val="1"/>
                <w:color w:val="auto"/>
              </w:rPr>
              <w:t>Conversion</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4"/>
          </w:tcPr>
          <w:p>
            <w:pPr>
              <w:ind w:left="2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5"/>
          </w:tcPr>
          <w:p>
            <w:pPr>
              <w:ind w:left="2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Derivative</w:t>
            </w: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08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Exercise</w:t>
            </w:r>
          </w:p>
        </w:tc>
        <w:tc>
          <w:tcPr>
            <w:tcW w:w="2000" w:type="dxa"/>
            <w:vAlign w:val="bottom"/>
            <w:gridSpan w:val="6"/>
          </w:tcPr>
          <w:p>
            <w:pPr>
              <w:spacing w:after="0"/>
              <w:rPr>
                <w:sz w:val="20"/>
                <w:szCs w:val="20"/>
                <w:color w:val="auto"/>
              </w:rPr>
            </w:pPr>
            <w:r>
              <w:rPr>
                <w:rFonts w:ascii="Arial" w:cs="Arial" w:eastAsia="Arial" w:hAnsi="Arial"/>
                <w:sz w:val="11"/>
                <w:szCs w:val="11"/>
                <w:b w:val="1"/>
                <w:bCs w:val="1"/>
                <w:color w:val="auto"/>
              </w:rPr>
              <w:t>(Month/Day/Year)  if any</w:t>
            </w:r>
          </w:p>
        </w:tc>
        <w:tc>
          <w:tcPr>
            <w:tcW w:w="72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60" w:type="dxa"/>
            <w:vAlign w:val="bottom"/>
            <w:gridSpan w:val="2"/>
          </w:tcPr>
          <w:p>
            <w:pPr>
              <w:ind w:left="160"/>
              <w:spacing w:after="0"/>
              <w:rPr>
                <w:sz w:val="20"/>
                <w:szCs w:val="20"/>
                <w:color w:val="auto"/>
              </w:rPr>
            </w:pPr>
            <w:r>
              <w:rPr>
                <w:rFonts w:ascii="Arial" w:cs="Arial" w:eastAsia="Arial" w:hAnsi="Arial"/>
                <w:sz w:val="11"/>
                <w:szCs w:val="11"/>
                <w:b w:val="1"/>
                <w:bCs w:val="1"/>
                <w:color w:val="auto"/>
              </w:rPr>
              <w:t>Price of</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22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4"/>
          </w:tcPr>
          <w:p>
            <w:pPr>
              <w:ind w:left="100"/>
              <w:spacing w:after="0"/>
              <w:rPr>
                <w:sz w:val="20"/>
                <w:szCs w:val="20"/>
                <w:color w:val="auto"/>
              </w:rPr>
            </w:pPr>
            <w:r>
              <w:rPr>
                <w:rFonts w:ascii="Arial" w:cs="Arial" w:eastAsia="Arial" w:hAnsi="Arial"/>
                <w:sz w:val="11"/>
                <w:szCs w:val="11"/>
                <w:b w:val="1"/>
                <w:bCs w:val="1"/>
                <w:color w:val="auto"/>
                <w:w w:val="96"/>
              </w:rPr>
              <w:t>Derivative Security</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tcPr>
          <w:p>
            <w:pPr>
              <w:ind w:left="26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900" w:type="dxa"/>
            <w:vAlign w:val="bottom"/>
          </w:tcPr>
          <w:p>
            <w:pPr>
              <w:ind w:left="360"/>
              <w:spacing w:after="0"/>
              <w:rPr>
                <w:sz w:val="20"/>
                <w:szCs w:val="20"/>
                <w:color w:val="auto"/>
              </w:rPr>
            </w:pPr>
            <w:r>
              <w:rPr>
                <w:rFonts w:ascii="Arial" w:cs="Arial" w:eastAsia="Arial" w:hAnsi="Arial"/>
                <w:sz w:val="11"/>
                <w:szCs w:val="11"/>
                <w:b w:val="1"/>
                <w:bCs w:val="1"/>
                <w:color w:val="auto"/>
                <w:w w:val="96"/>
              </w:rPr>
              <w:t>Expiration</w:t>
            </w:r>
          </w:p>
        </w:tc>
        <w:tc>
          <w:tcPr>
            <w:tcW w:w="400" w:type="dxa"/>
            <w:vAlign w:val="bottom"/>
          </w:tcPr>
          <w:p>
            <w:pPr>
              <w:spacing w:after="0"/>
              <w:rPr>
                <w:sz w:val="11"/>
                <w:szCs w:val="11"/>
                <w:color w:val="auto"/>
              </w:rPr>
            </w:pPr>
          </w:p>
        </w:tc>
        <w:tc>
          <w:tcPr>
            <w:tcW w:w="680" w:type="dxa"/>
            <w:vAlign w:val="bottom"/>
            <w:gridSpan w:val="3"/>
          </w:tcPr>
          <w:p>
            <w:pPr>
              <w:ind w:left="260"/>
              <w:spacing w:after="0"/>
              <w:rPr>
                <w:sz w:val="20"/>
                <w:szCs w:val="20"/>
                <w:color w:val="auto"/>
              </w:rPr>
            </w:pPr>
            <w:r>
              <w:rPr>
                <w:rFonts w:ascii="Arial" w:cs="Arial" w:eastAsia="Arial" w:hAnsi="Arial"/>
                <w:sz w:val="11"/>
                <w:szCs w:val="11"/>
                <w:b w:val="1"/>
                <w:bCs w:val="1"/>
                <w:color w:val="auto"/>
                <w:w w:val="96"/>
              </w:rPr>
              <w:t>Number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  Date</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500" w:type="dxa"/>
            <w:vAlign w:val="bottom"/>
            <w:gridSpan w:val="5"/>
          </w:tcPr>
          <w:p>
            <w:pPr>
              <w:ind w:left="260"/>
              <w:spacing w:after="0"/>
              <w:rPr>
                <w:sz w:val="20"/>
                <w:szCs w:val="20"/>
                <w:color w:val="auto"/>
              </w:rPr>
            </w:pPr>
            <w:r>
              <w:rPr>
                <w:rFonts w:ascii="Arial" w:cs="Arial" w:eastAsia="Arial" w:hAnsi="Arial"/>
                <w:sz w:val="11"/>
                <w:szCs w:val="11"/>
                <w:b w:val="1"/>
                <w:bCs w:val="1"/>
                <w:color w:val="auto"/>
              </w:rPr>
              <w:t>of Shares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400" w:type="dxa"/>
            <w:vAlign w:val="bottom"/>
            <w:gridSpan w:val="7"/>
          </w:tcPr>
          <w:p>
            <w:pPr>
              <w:ind w:left="60"/>
              <w:spacing w:after="0"/>
              <w:rPr>
                <w:sz w:val="20"/>
                <w:szCs w:val="20"/>
                <w:color w:val="auto"/>
              </w:rPr>
            </w:pPr>
            <w:r>
              <w:rPr>
                <w:rFonts w:ascii="Arial" w:cs="Arial" w:eastAsia="Arial" w:hAnsi="Arial"/>
                <w:sz w:val="12"/>
                <w:szCs w:val="12"/>
                <w:color w:val="auto"/>
                <w:w w:val="98"/>
              </w:rPr>
              <w:t xml:space="preserve">1. Name and Address of Reporting Person </w:t>
            </w:r>
            <w:r>
              <w:rPr>
                <w:rFonts w:ascii="Arial" w:cs="Arial" w:eastAsia="Arial" w:hAnsi="Arial"/>
                <w:sz w:val="19"/>
                <w:szCs w:val="19"/>
                <w:color w:val="auto"/>
                <w:w w:val="98"/>
                <w:vertAlign w:val="superscript"/>
              </w:rPr>
              <w:t>*</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tcPr>
          <w:p>
            <w:pPr>
              <w:ind w:left="20"/>
              <w:spacing w:after="0" w:line="205"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WARBURG PINCUS &amp; CO.</w:t>
              </w:r>
            </w:hyperlink>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640" w:type="dxa"/>
            <w:vAlign w:val="bottom"/>
            <w:tcBorders>
              <w:top w:val="single" w:sz="8" w:color="0000EE"/>
              <w:bottom w:val="single" w:sz="8" w:color="EEEEEE"/>
            </w:tcBorders>
          </w:tcPr>
          <w:p>
            <w:pPr>
              <w:spacing w:after="0"/>
              <w:rPr>
                <w:sz w:val="13"/>
                <w:szCs w:val="13"/>
                <w:color w:val="auto"/>
              </w:rPr>
            </w:pPr>
          </w:p>
        </w:tc>
        <w:tc>
          <w:tcPr>
            <w:tcW w:w="520" w:type="dxa"/>
            <w:vAlign w:val="bottom"/>
            <w:tcBorders>
              <w:top w:val="single" w:sz="8" w:color="0000EE"/>
              <w:bottom w:val="single" w:sz="8" w:color="EEEEEE"/>
            </w:tcBorders>
          </w:tcPr>
          <w:p>
            <w:pPr>
              <w:spacing w:after="0"/>
              <w:rPr>
                <w:sz w:val="13"/>
                <w:szCs w:val="13"/>
                <w:color w:val="auto"/>
              </w:rPr>
            </w:pPr>
          </w:p>
        </w:tc>
        <w:tc>
          <w:tcPr>
            <w:tcW w:w="340" w:type="dxa"/>
            <w:vAlign w:val="bottom"/>
            <w:tcBorders>
              <w:top w:val="single" w:sz="8" w:color="0000EE"/>
              <w:bottom w:val="single" w:sz="8" w:color="EEEEEE"/>
            </w:tcBorders>
          </w:tcPr>
          <w:p>
            <w:pPr>
              <w:spacing w:after="0"/>
              <w:rPr>
                <w:sz w:val="13"/>
                <w:szCs w:val="13"/>
                <w:color w:val="auto"/>
              </w:rPr>
            </w:pPr>
          </w:p>
        </w:tc>
        <w:tc>
          <w:tcPr>
            <w:tcW w:w="760" w:type="dxa"/>
            <w:vAlign w:val="bottom"/>
            <w:tcBorders>
              <w:top w:val="single" w:sz="8" w:color="0000EE"/>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340" w:type="dxa"/>
            <w:vAlign w:val="bottom"/>
            <w:tcBorders>
              <w:bottom w:val="single" w:sz="8" w:color="EEEEEE"/>
            </w:tcBorders>
          </w:tcPr>
          <w:p>
            <w:pPr>
              <w:spacing w:after="0"/>
              <w:rPr>
                <w:sz w:val="13"/>
                <w:szCs w:val="13"/>
                <w:color w:val="auto"/>
              </w:rPr>
            </w:pPr>
          </w:p>
        </w:tc>
        <w:tc>
          <w:tcPr>
            <w:tcW w:w="620" w:type="dxa"/>
            <w:vAlign w:val="bottom"/>
            <w:tcBorders>
              <w:bottom w:val="single" w:sz="8" w:color="EEEEEE"/>
            </w:tcBorders>
          </w:tcPr>
          <w:p>
            <w:pPr>
              <w:spacing w:after="0"/>
              <w:rPr>
                <w:sz w:val="13"/>
                <w:szCs w:val="13"/>
                <w:color w:val="auto"/>
              </w:rPr>
            </w:pPr>
          </w:p>
        </w:tc>
        <w:tc>
          <w:tcPr>
            <w:tcW w:w="20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80" w:type="dxa"/>
            <w:vAlign w:val="bottom"/>
            <w:tcBorders>
              <w:bottom w:val="single" w:sz="8" w:color="EEEEEE"/>
            </w:tcBorders>
          </w:tcPr>
          <w:p>
            <w:pPr>
              <w:spacing w:after="0"/>
              <w:rPr>
                <w:sz w:val="13"/>
                <w:szCs w:val="13"/>
                <w:color w:val="auto"/>
              </w:rPr>
            </w:pPr>
          </w:p>
        </w:tc>
        <w:tc>
          <w:tcPr>
            <w:tcW w:w="60" w:type="dxa"/>
            <w:vAlign w:val="bottom"/>
            <w:tcBorders>
              <w:bottom w:val="single" w:sz="8" w:color="EEEEEE"/>
            </w:tcBorders>
          </w:tcPr>
          <w:p>
            <w:pPr>
              <w:spacing w:after="0"/>
              <w:rPr>
                <w:sz w:val="13"/>
                <w:szCs w:val="13"/>
                <w:color w:val="auto"/>
              </w:rPr>
            </w:pPr>
          </w:p>
        </w:tc>
        <w:tc>
          <w:tcPr>
            <w:tcW w:w="360" w:type="dxa"/>
            <w:vAlign w:val="bottom"/>
            <w:tcBorders>
              <w:bottom w:val="single" w:sz="8" w:color="EEEEE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24"/>
                <w:szCs w:val="24"/>
                <w:color w:val="auto"/>
              </w:rPr>
            </w:pPr>
          </w:p>
        </w:tc>
        <w:tc>
          <w:tcPr>
            <w:tcW w:w="114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340" w:type="dxa"/>
            <w:vAlign w:val="bottom"/>
          </w:tcPr>
          <w:p>
            <w:pPr>
              <w:spacing w:after="0"/>
              <w:rPr>
                <w:sz w:val="24"/>
                <w:szCs w:val="24"/>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450 LEXINGTON AVENUE</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640" w:type="dxa"/>
            <w:vAlign w:val="bottom"/>
            <w:tcBorders>
              <w:bottom w:val="single" w:sz="8" w:color="EEEEEE"/>
            </w:tcBorders>
          </w:tcPr>
          <w:p>
            <w:pPr>
              <w:spacing w:after="0"/>
              <w:rPr>
                <w:sz w:val="15"/>
                <w:szCs w:val="15"/>
                <w:color w:val="auto"/>
              </w:rPr>
            </w:pPr>
          </w:p>
        </w:tc>
        <w:tc>
          <w:tcPr>
            <w:tcW w:w="520" w:type="dxa"/>
            <w:vAlign w:val="bottom"/>
            <w:tcBorders>
              <w:bottom w:val="single" w:sz="8" w:color="EEEEEE"/>
            </w:tcBorders>
          </w:tcPr>
          <w:p>
            <w:pPr>
              <w:spacing w:after="0"/>
              <w:rPr>
                <w:sz w:val="15"/>
                <w:szCs w:val="15"/>
                <w:color w:val="auto"/>
              </w:rPr>
            </w:pPr>
          </w:p>
        </w:tc>
        <w:tc>
          <w:tcPr>
            <w:tcW w:w="340" w:type="dxa"/>
            <w:vAlign w:val="bottom"/>
            <w:tcBorders>
              <w:bottom w:val="single" w:sz="8" w:color="EEEEEE"/>
            </w:tcBorders>
          </w:tcPr>
          <w:p>
            <w:pPr>
              <w:spacing w:after="0"/>
              <w:rPr>
                <w:sz w:val="15"/>
                <w:szCs w:val="15"/>
                <w:color w:val="auto"/>
              </w:rPr>
            </w:pPr>
          </w:p>
        </w:tc>
        <w:tc>
          <w:tcPr>
            <w:tcW w:w="760" w:type="dxa"/>
            <w:vAlign w:val="bottom"/>
            <w:tcBorders>
              <w:bottom w:val="single" w:sz="8" w:color="EEEEEE"/>
            </w:tcBorders>
          </w:tcPr>
          <w:p>
            <w:pPr>
              <w:spacing w:after="0"/>
              <w:rPr>
                <w:sz w:val="15"/>
                <w:szCs w:val="15"/>
                <w:color w:val="auto"/>
              </w:rPr>
            </w:pPr>
          </w:p>
        </w:tc>
        <w:tc>
          <w:tcPr>
            <w:tcW w:w="40" w:type="dxa"/>
            <w:vAlign w:val="bottom"/>
            <w:tcBorders>
              <w:bottom w:val="single" w:sz="8" w:color="EEEEEE"/>
            </w:tcBorders>
          </w:tcPr>
          <w:p>
            <w:pPr>
              <w:spacing w:after="0"/>
              <w:rPr>
                <w:sz w:val="15"/>
                <w:szCs w:val="15"/>
                <w:color w:val="auto"/>
              </w:rPr>
            </w:pPr>
          </w:p>
        </w:tc>
        <w:tc>
          <w:tcPr>
            <w:tcW w:w="340" w:type="dxa"/>
            <w:vAlign w:val="bottom"/>
            <w:tcBorders>
              <w:bottom w:val="single" w:sz="8" w:color="EEEEEE"/>
            </w:tcBorders>
          </w:tcPr>
          <w:p>
            <w:pPr>
              <w:spacing w:after="0"/>
              <w:rPr>
                <w:sz w:val="15"/>
                <w:szCs w:val="15"/>
                <w:color w:val="auto"/>
              </w:rPr>
            </w:pPr>
          </w:p>
        </w:tc>
        <w:tc>
          <w:tcPr>
            <w:tcW w:w="620" w:type="dxa"/>
            <w:vAlign w:val="bottom"/>
            <w:tcBorders>
              <w:bottom w:val="single" w:sz="8" w:color="EEEEEE"/>
            </w:tcBorders>
          </w:tcPr>
          <w:p>
            <w:pPr>
              <w:spacing w:after="0"/>
              <w:rPr>
                <w:sz w:val="15"/>
                <w:szCs w:val="15"/>
                <w:color w:val="auto"/>
              </w:rPr>
            </w:pPr>
          </w:p>
        </w:tc>
        <w:tc>
          <w:tcPr>
            <w:tcW w:w="200" w:type="dxa"/>
            <w:vAlign w:val="bottom"/>
            <w:tcBorders>
              <w:bottom w:val="single" w:sz="8" w:color="EEEEEE"/>
            </w:tcBorders>
          </w:tcPr>
          <w:p>
            <w:pPr>
              <w:spacing w:after="0"/>
              <w:rPr>
                <w:sz w:val="15"/>
                <w:szCs w:val="15"/>
                <w:color w:val="auto"/>
              </w:rPr>
            </w:pPr>
          </w:p>
        </w:tc>
        <w:tc>
          <w:tcPr>
            <w:tcW w:w="40" w:type="dxa"/>
            <w:vAlign w:val="bottom"/>
            <w:tcBorders>
              <w:bottom w:val="single" w:sz="8" w:color="EEEEEE"/>
            </w:tcBorders>
          </w:tcPr>
          <w:p>
            <w:pPr>
              <w:spacing w:after="0"/>
              <w:rPr>
                <w:sz w:val="15"/>
                <w:szCs w:val="15"/>
                <w:color w:val="auto"/>
              </w:rPr>
            </w:pPr>
          </w:p>
        </w:tc>
        <w:tc>
          <w:tcPr>
            <w:tcW w:w="80" w:type="dxa"/>
            <w:vAlign w:val="bottom"/>
            <w:tcBorders>
              <w:bottom w:val="single" w:sz="8" w:color="EEEEEE"/>
            </w:tcBorders>
          </w:tcPr>
          <w:p>
            <w:pPr>
              <w:spacing w:after="0"/>
              <w:rPr>
                <w:sz w:val="15"/>
                <w:szCs w:val="15"/>
                <w:color w:val="auto"/>
              </w:rPr>
            </w:pPr>
          </w:p>
        </w:tc>
        <w:tc>
          <w:tcPr>
            <w:tcW w:w="60" w:type="dxa"/>
            <w:vAlign w:val="bottom"/>
            <w:tcBorders>
              <w:bottom w:val="single" w:sz="8" w:color="EEEEEE"/>
            </w:tcBorders>
          </w:tcPr>
          <w:p>
            <w:pPr>
              <w:spacing w:after="0"/>
              <w:rPr>
                <w:sz w:val="15"/>
                <w:szCs w:val="15"/>
                <w:color w:val="auto"/>
              </w:rPr>
            </w:pPr>
          </w:p>
        </w:tc>
        <w:tc>
          <w:tcPr>
            <w:tcW w:w="360" w:type="dxa"/>
            <w:vAlign w:val="bottom"/>
            <w:tcBorders>
              <w:bottom w:val="single" w:sz="8" w:color="EEEEE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34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10017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640" w:type="dxa"/>
            <w:vAlign w:val="bottom"/>
            <w:tcBorders>
              <w:bottom w:val="single" w:sz="8" w:color="EEEEEE"/>
            </w:tcBorders>
          </w:tcPr>
          <w:p>
            <w:pPr>
              <w:spacing w:after="0"/>
              <w:rPr>
                <w:sz w:val="11"/>
                <w:szCs w:val="11"/>
                <w:color w:val="auto"/>
              </w:rPr>
            </w:pPr>
          </w:p>
        </w:tc>
        <w:tc>
          <w:tcPr>
            <w:tcW w:w="520" w:type="dxa"/>
            <w:vAlign w:val="bottom"/>
            <w:tcBorders>
              <w:bottom w:val="single" w:sz="8" w:color="EEEEEE"/>
            </w:tcBorders>
          </w:tcPr>
          <w:p>
            <w:pPr>
              <w:spacing w:after="0"/>
              <w:rPr>
                <w:sz w:val="11"/>
                <w:szCs w:val="11"/>
                <w:color w:val="auto"/>
              </w:rPr>
            </w:pPr>
          </w:p>
        </w:tc>
        <w:tc>
          <w:tcPr>
            <w:tcW w:w="1100" w:type="dxa"/>
            <w:vAlign w:val="bottom"/>
            <w:tcBorders>
              <w:bottom w:val="single" w:sz="8" w:color="EEEEEE"/>
            </w:tcBorders>
            <w:gridSpan w:val="2"/>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62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gridSpan w:val="2"/>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60" w:type="dxa"/>
            <w:vAlign w:val="bottom"/>
            <w:tcBorders>
              <w:bottom w:val="single" w:sz="8" w:color="EEEEEE"/>
            </w:tcBorders>
          </w:tcPr>
          <w:p>
            <w:pPr>
              <w:spacing w:after="0"/>
              <w:rPr>
                <w:sz w:val="11"/>
                <w:szCs w:val="11"/>
                <w:color w:val="auto"/>
              </w:rPr>
            </w:pPr>
          </w:p>
        </w:tc>
        <w:tc>
          <w:tcPr>
            <w:tcW w:w="360" w:type="dxa"/>
            <w:vAlign w:val="bottom"/>
            <w:tcBorders>
              <w:bottom w:val="single" w:sz="8" w:color="EEEEEE"/>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14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340" w:type="dxa"/>
            <w:vAlign w:val="bottom"/>
          </w:tcPr>
          <w:p>
            <w:pPr>
              <w:spacing w:after="0"/>
              <w:rPr>
                <w:sz w:val="24"/>
                <w:szCs w:val="24"/>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808080"/>
            </w:tcBorders>
            <w:gridSpan w:val="2"/>
          </w:tcPr>
          <w:p>
            <w:pPr>
              <w:spacing w:after="0"/>
              <w:rPr>
                <w:sz w:val="7"/>
                <w:szCs w:val="7"/>
                <w:color w:val="auto"/>
              </w:rPr>
            </w:pPr>
          </w:p>
        </w:tc>
        <w:tc>
          <w:tcPr>
            <w:tcW w:w="2260" w:type="dxa"/>
            <w:vAlign w:val="bottom"/>
            <w:tcBorders>
              <w:bottom w:val="single" w:sz="8" w:color="808080"/>
            </w:tcBorders>
            <w:gridSpan w:val="4"/>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00" w:type="dxa"/>
            <w:vAlign w:val="bottom"/>
            <w:gridSpan w:val="7"/>
          </w:tcPr>
          <w:p>
            <w:pPr>
              <w:ind w:left="60"/>
              <w:spacing w:after="0"/>
              <w:rPr>
                <w:sz w:val="20"/>
                <w:szCs w:val="20"/>
                <w:color w:val="auto"/>
              </w:rPr>
            </w:pPr>
            <w:r>
              <w:rPr>
                <w:rFonts w:ascii="Arial" w:cs="Arial" w:eastAsia="Arial" w:hAnsi="Arial"/>
                <w:sz w:val="12"/>
                <w:szCs w:val="12"/>
                <w:color w:val="auto"/>
                <w:w w:val="98"/>
              </w:rPr>
              <w:t xml:space="preserve">1. Name and Address of Reporting Person </w:t>
            </w:r>
            <w:r>
              <w:rPr>
                <w:rFonts w:ascii="Arial" w:cs="Arial" w:eastAsia="Arial" w:hAnsi="Arial"/>
                <w:sz w:val="19"/>
                <w:szCs w:val="19"/>
                <w:color w:val="auto"/>
                <w:w w:val="98"/>
                <w:vertAlign w:val="superscript"/>
              </w:rPr>
              <w:t>*</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gridSpan w:val="10"/>
          </w:tcPr>
          <w:p>
            <w:pPr>
              <w:ind w:left="20"/>
              <w:spacing w:after="0" w:line="205"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Warburg Pincus Private Equity XI-C, L.P.</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640" w:type="dxa"/>
            <w:vAlign w:val="bottom"/>
            <w:tcBorders>
              <w:top w:val="single" w:sz="8" w:color="0000EE"/>
              <w:bottom w:val="single" w:sz="8" w:color="EEEEEE"/>
            </w:tcBorders>
          </w:tcPr>
          <w:p>
            <w:pPr>
              <w:spacing w:after="0"/>
              <w:rPr>
                <w:sz w:val="13"/>
                <w:szCs w:val="13"/>
                <w:color w:val="auto"/>
              </w:rPr>
            </w:pPr>
          </w:p>
        </w:tc>
        <w:tc>
          <w:tcPr>
            <w:tcW w:w="520" w:type="dxa"/>
            <w:vAlign w:val="bottom"/>
            <w:tcBorders>
              <w:top w:val="single" w:sz="8" w:color="0000EE"/>
              <w:bottom w:val="single" w:sz="8" w:color="EEEEEE"/>
            </w:tcBorders>
          </w:tcPr>
          <w:p>
            <w:pPr>
              <w:spacing w:after="0"/>
              <w:rPr>
                <w:sz w:val="13"/>
                <w:szCs w:val="13"/>
                <w:color w:val="auto"/>
              </w:rPr>
            </w:pPr>
          </w:p>
        </w:tc>
        <w:tc>
          <w:tcPr>
            <w:tcW w:w="340" w:type="dxa"/>
            <w:vAlign w:val="bottom"/>
            <w:tcBorders>
              <w:top w:val="single" w:sz="8" w:color="0000EE"/>
              <w:bottom w:val="single" w:sz="8" w:color="EEEEEE"/>
            </w:tcBorders>
          </w:tcPr>
          <w:p>
            <w:pPr>
              <w:spacing w:after="0"/>
              <w:rPr>
                <w:sz w:val="13"/>
                <w:szCs w:val="13"/>
                <w:color w:val="auto"/>
              </w:rPr>
            </w:pPr>
          </w:p>
        </w:tc>
        <w:tc>
          <w:tcPr>
            <w:tcW w:w="760" w:type="dxa"/>
            <w:vAlign w:val="bottom"/>
            <w:tcBorders>
              <w:top w:val="single" w:sz="8" w:color="0000EE"/>
              <w:bottom w:val="single" w:sz="8" w:color="EEEEEE"/>
            </w:tcBorders>
          </w:tcPr>
          <w:p>
            <w:pPr>
              <w:spacing w:after="0"/>
              <w:rPr>
                <w:sz w:val="13"/>
                <w:szCs w:val="13"/>
                <w:color w:val="auto"/>
              </w:rPr>
            </w:pPr>
          </w:p>
        </w:tc>
        <w:tc>
          <w:tcPr>
            <w:tcW w:w="40" w:type="dxa"/>
            <w:vAlign w:val="bottom"/>
            <w:tcBorders>
              <w:top w:val="single" w:sz="8" w:color="0000EE"/>
              <w:bottom w:val="single" w:sz="8" w:color="EEEEEE"/>
            </w:tcBorders>
          </w:tcPr>
          <w:p>
            <w:pPr>
              <w:spacing w:after="0"/>
              <w:rPr>
                <w:sz w:val="13"/>
                <w:szCs w:val="13"/>
                <w:color w:val="auto"/>
              </w:rPr>
            </w:pPr>
          </w:p>
        </w:tc>
        <w:tc>
          <w:tcPr>
            <w:tcW w:w="340" w:type="dxa"/>
            <w:vAlign w:val="bottom"/>
            <w:tcBorders>
              <w:top w:val="single" w:sz="8" w:color="0000EE"/>
              <w:bottom w:val="single" w:sz="8" w:color="EEEEEE"/>
            </w:tcBorders>
          </w:tcPr>
          <w:p>
            <w:pPr>
              <w:spacing w:after="0"/>
              <w:rPr>
                <w:sz w:val="13"/>
                <w:szCs w:val="13"/>
                <w:color w:val="auto"/>
              </w:rPr>
            </w:pPr>
          </w:p>
        </w:tc>
        <w:tc>
          <w:tcPr>
            <w:tcW w:w="620" w:type="dxa"/>
            <w:vAlign w:val="bottom"/>
            <w:tcBorders>
              <w:top w:val="single" w:sz="8" w:color="0000EE"/>
              <w:bottom w:val="single" w:sz="8" w:color="EEEEEE"/>
            </w:tcBorders>
          </w:tcPr>
          <w:p>
            <w:pPr>
              <w:spacing w:after="0"/>
              <w:rPr>
                <w:sz w:val="13"/>
                <w:szCs w:val="13"/>
                <w:color w:val="auto"/>
              </w:rPr>
            </w:pPr>
          </w:p>
        </w:tc>
        <w:tc>
          <w:tcPr>
            <w:tcW w:w="20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80" w:type="dxa"/>
            <w:vAlign w:val="bottom"/>
            <w:tcBorders>
              <w:bottom w:val="single" w:sz="8" w:color="EEEEEE"/>
            </w:tcBorders>
          </w:tcPr>
          <w:p>
            <w:pPr>
              <w:spacing w:after="0"/>
              <w:rPr>
                <w:sz w:val="13"/>
                <w:szCs w:val="13"/>
                <w:color w:val="auto"/>
              </w:rPr>
            </w:pPr>
          </w:p>
        </w:tc>
        <w:tc>
          <w:tcPr>
            <w:tcW w:w="60" w:type="dxa"/>
            <w:vAlign w:val="bottom"/>
            <w:tcBorders>
              <w:bottom w:val="single" w:sz="8" w:color="EEEEEE"/>
            </w:tcBorders>
          </w:tcPr>
          <w:p>
            <w:pPr>
              <w:spacing w:after="0"/>
              <w:rPr>
                <w:sz w:val="13"/>
                <w:szCs w:val="13"/>
                <w:color w:val="auto"/>
              </w:rPr>
            </w:pPr>
          </w:p>
        </w:tc>
        <w:tc>
          <w:tcPr>
            <w:tcW w:w="360" w:type="dxa"/>
            <w:vAlign w:val="bottom"/>
            <w:tcBorders>
              <w:bottom w:val="single" w:sz="8" w:color="EEEEE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24"/>
                <w:szCs w:val="24"/>
                <w:color w:val="auto"/>
              </w:rPr>
            </w:pPr>
          </w:p>
        </w:tc>
        <w:tc>
          <w:tcPr>
            <w:tcW w:w="114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340" w:type="dxa"/>
            <w:vAlign w:val="bottom"/>
          </w:tcPr>
          <w:p>
            <w:pPr>
              <w:spacing w:after="0"/>
              <w:rPr>
                <w:sz w:val="24"/>
                <w:szCs w:val="24"/>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WARBURG PINCUS LLC</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450 LEXINGTON AVENUE</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640" w:type="dxa"/>
            <w:vAlign w:val="bottom"/>
            <w:tcBorders>
              <w:bottom w:val="single" w:sz="8" w:color="EEEEEE"/>
            </w:tcBorders>
          </w:tcPr>
          <w:p>
            <w:pPr>
              <w:spacing w:after="0"/>
              <w:rPr>
                <w:sz w:val="11"/>
                <w:szCs w:val="11"/>
                <w:color w:val="auto"/>
              </w:rPr>
            </w:pPr>
          </w:p>
        </w:tc>
        <w:tc>
          <w:tcPr>
            <w:tcW w:w="52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76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62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60" w:type="dxa"/>
            <w:vAlign w:val="bottom"/>
            <w:tcBorders>
              <w:bottom w:val="single" w:sz="8" w:color="EEEEEE"/>
            </w:tcBorders>
          </w:tcPr>
          <w:p>
            <w:pPr>
              <w:spacing w:after="0"/>
              <w:rPr>
                <w:sz w:val="11"/>
                <w:szCs w:val="11"/>
                <w:color w:val="auto"/>
              </w:rPr>
            </w:pPr>
          </w:p>
        </w:tc>
        <w:tc>
          <w:tcPr>
            <w:tcW w:w="360" w:type="dxa"/>
            <w:vAlign w:val="bottom"/>
            <w:tcBorders>
              <w:bottom w:val="single" w:sz="8" w:color="EEEEEE"/>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34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10017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556" w:right="680" w:bottom="1440" w:gutter="0" w:footer="0" w:header="0"/>
          <w:type w:val="continuous"/>
        </w:sectPr>
      </w:pPr>
    </w:p>
    <w:p>
      <w:pPr>
        <w:spacing w:after="0" w:line="77" w:lineRule="exact"/>
        <w:rPr>
          <w:sz w:val="20"/>
          <w:szCs w:val="20"/>
          <w:color w:val="auto"/>
        </w:rPr>
      </w:pPr>
    </w:p>
    <w:p>
      <w:pPr>
        <w:ind w:left="120"/>
        <w:spacing w:after="0"/>
        <w:tabs>
          <w:tab w:leader="none" w:pos="1440" w:val="left"/>
          <w:tab w:leader="none" w:pos="28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40" w:orient="portrait"/>
          <w:cols w:equalWidth="0" w:num="1">
            <w:col w:w="10560"/>
          </w:cols>
          <w:pgMar w:left="660" w:top="556" w:right="68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2708275" cy="995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08275" cy="9959340"/>
                    </a:xfrm>
                    <a:prstGeom prst="rect">
                      <a:avLst/>
                    </a:prstGeom>
                    <a:noFill/>
                  </pic:spPr>
                </pic:pic>
              </a:graphicData>
            </a:graphic>
          </wp:anchor>
        </w:drawing>
        <w:t xml:space="preserve">1. Name and Address of Reporting Person </w:t>
      </w:r>
      <w:r>
        <w:rPr>
          <w:rFonts w:ascii="Arial" w:cs="Arial" w:eastAsia="Arial" w:hAnsi="Arial"/>
          <w:sz w:val="19"/>
          <w:szCs w:val="19"/>
          <w:color w:val="auto"/>
          <w:vertAlign w:val="superscript"/>
        </w:rPr>
        <w:t>*</w:t>
      </w:r>
    </w:p>
    <w:p>
      <w:pPr>
        <w:spacing w:after="0" w:line="5"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16">
        <w:r>
          <w:rPr>
            <w:rFonts w:ascii="Times New Roman" w:cs="Times New Roman" w:eastAsia="Times New Roman" w:hAnsi="Times New Roman"/>
            <w:sz w:val="19"/>
            <w:szCs w:val="19"/>
            <w:u w:val="single" w:color="auto"/>
            <w:color w:val="0000EE"/>
          </w:rPr>
          <w:t>Warburg Pincus (Cayman) XI, L.P.</w:t>
        </w:r>
      </w:hyperlink>
    </w:p>
    <w:p>
      <w:pPr>
        <w:spacing w:after="0" w:line="288" w:lineRule="exact"/>
        <w:rPr>
          <w:sz w:val="20"/>
          <w:szCs w:val="20"/>
          <w:color w:val="auto"/>
        </w:rPr>
      </w:pPr>
    </w:p>
    <w:p>
      <w:pPr>
        <w:ind w:left="100"/>
        <w:spacing w:after="0"/>
        <w:tabs>
          <w:tab w:leader="none" w:pos="1420" w:val="left"/>
          <w:tab w:leader="none" w:pos="27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WARBURG PINCUS LLC</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450 LEXINGTON AVENUE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10017</w:t>
            </w:r>
          </w:p>
        </w:tc>
        <w:tc>
          <w:tcPr>
            <w:tcW w:w="100" w:type="dxa"/>
            <w:vAlign w:val="bottom"/>
          </w:tcPr>
          <w:p>
            <w:pPr>
              <w:spacing w:after="0"/>
              <w:rPr>
                <w:sz w:val="19"/>
                <w:szCs w:val="19"/>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108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1520" w:type="dxa"/>
            <w:vAlign w:val="bottom"/>
            <w:tcBorders>
              <w:bottom w:val="single" w:sz="8" w:color="EEEEEE"/>
            </w:tcBorders>
          </w:tcPr>
          <w:p>
            <w:pPr>
              <w:spacing w:after="0"/>
              <w:rPr>
                <w:sz w:val="11"/>
                <w:szCs w:val="11"/>
                <w:color w:val="auto"/>
              </w:rPr>
            </w:pPr>
          </w:p>
        </w:tc>
        <w:tc>
          <w:tcPr>
            <w:tcW w:w="100" w:type="dxa"/>
            <w:vAlign w:val="bottom"/>
          </w:tcPr>
          <w:p>
            <w:pPr>
              <w:spacing w:after="0"/>
              <w:rPr>
                <w:sz w:val="11"/>
                <w:szCs w:val="11"/>
                <w:color w:val="auto"/>
              </w:rPr>
            </w:pPr>
          </w:p>
        </w:tc>
      </w:tr>
      <w:tr>
        <w:trPr>
          <w:trHeight w:val="28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2"/>
        </w:trPr>
        <w:tc>
          <w:tcPr>
            <w:tcW w:w="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gridSpan w:val="2"/>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r>
        <w:trPr>
          <w:trHeight w:val="255"/>
        </w:trPr>
        <w:tc>
          <w:tcPr>
            <w:tcW w:w="2580" w:type="dxa"/>
            <w:vAlign w:val="bottom"/>
            <w:gridSpan w:val="5"/>
          </w:tcPr>
          <w:p>
            <w:pPr>
              <w:ind w:left="6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5"/>
        </w:trPr>
        <w:tc>
          <w:tcPr>
            <w:tcW w:w="80" w:type="dxa"/>
            <w:vAlign w:val="bottom"/>
          </w:tcPr>
          <w:p>
            <w:pPr>
              <w:spacing w:after="0"/>
              <w:rPr>
                <w:sz w:val="17"/>
                <w:szCs w:val="17"/>
                <w:color w:val="auto"/>
              </w:rPr>
            </w:pPr>
          </w:p>
        </w:tc>
        <w:tc>
          <w:tcPr>
            <w:tcW w:w="2500" w:type="dxa"/>
            <w:vAlign w:val="bottom"/>
            <w:gridSpan w:val="4"/>
          </w:tcPr>
          <w:p>
            <w:pPr>
              <w:ind w:left="20"/>
              <w:spacing w:after="0" w:line="205"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Warburg Pincus XI-C, LLC</w:t>
              </w:r>
            </w:hyperlink>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1080" w:type="dxa"/>
            <w:vAlign w:val="bottom"/>
            <w:tcBorders>
              <w:top w:val="single" w:sz="8" w:color="0000EE"/>
              <w:bottom w:val="single" w:sz="8" w:color="EEEEEE"/>
            </w:tcBorders>
          </w:tcPr>
          <w:p>
            <w:pPr>
              <w:spacing w:after="0"/>
              <w:rPr>
                <w:sz w:val="13"/>
                <w:szCs w:val="13"/>
                <w:color w:val="auto"/>
              </w:rPr>
            </w:pPr>
          </w:p>
        </w:tc>
        <w:tc>
          <w:tcPr>
            <w:tcW w:w="1060" w:type="dxa"/>
            <w:vAlign w:val="bottom"/>
            <w:tcBorders>
              <w:top w:val="single" w:sz="8" w:color="0000EE"/>
              <w:bottom w:val="single" w:sz="8" w:color="EEEEEE"/>
            </w:tcBorders>
          </w:tcPr>
          <w:p>
            <w:pPr>
              <w:spacing w:after="0"/>
              <w:rPr>
                <w:sz w:val="13"/>
                <w:szCs w:val="13"/>
                <w:color w:val="auto"/>
              </w:rPr>
            </w:pPr>
          </w:p>
        </w:tc>
        <w:tc>
          <w:tcPr>
            <w:tcW w:w="340" w:type="dxa"/>
            <w:vAlign w:val="bottom"/>
            <w:tcBorders>
              <w:bottom w:val="single" w:sz="8" w:color="EEEEEE"/>
            </w:tcBorders>
          </w:tcPr>
          <w:p>
            <w:pPr>
              <w:spacing w:after="0"/>
              <w:rPr>
                <w:sz w:val="13"/>
                <w:szCs w:val="13"/>
                <w:color w:val="auto"/>
              </w:rPr>
            </w:pPr>
          </w:p>
        </w:tc>
        <w:tc>
          <w:tcPr>
            <w:tcW w:w="1520" w:type="dxa"/>
            <w:vAlign w:val="bottom"/>
            <w:tcBorders>
              <w:bottom w:val="single" w:sz="8" w:color="EEEEEE"/>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00" w:type="dxa"/>
            <w:vAlign w:val="bottom"/>
            <w:gridSpan w:val="2"/>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WARBURG PINCUS LLC</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450 LEXINGTON AVENUE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108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1520" w:type="dxa"/>
            <w:vAlign w:val="bottom"/>
            <w:tcBorders>
              <w:bottom w:val="single" w:sz="8" w:color="EEEEEE"/>
            </w:tcBorders>
          </w:tcPr>
          <w:p>
            <w:pPr>
              <w:spacing w:after="0"/>
              <w:rPr>
                <w:sz w:val="11"/>
                <w:szCs w:val="11"/>
                <w:color w:val="auto"/>
              </w:rPr>
            </w:pPr>
          </w:p>
        </w:tc>
        <w:tc>
          <w:tcPr>
            <w:tcW w:w="100" w:type="dxa"/>
            <w:vAlign w:val="bottom"/>
          </w:tcPr>
          <w:p>
            <w:pPr>
              <w:spacing w:after="0"/>
              <w:rPr>
                <w:sz w:val="11"/>
                <w:szCs w:val="11"/>
                <w:color w:val="auto"/>
              </w:rPr>
            </w:pPr>
          </w:p>
        </w:tc>
      </w:tr>
      <w:tr>
        <w:trPr>
          <w:trHeight w:val="246"/>
        </w:trPr>
        <w:tc>
          <w:tcPr>
            <w:tcW w:w="11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10017</w:t>
            </w:r>
          </w:p>
        </w:tc>
        <w:tc>
          <w:tcPr>
            <w:tcW w:w="100" w:type="dxa"/>
            <w:vAlign w:val="bottom"/>
          </w:tcPr>
          <w:p>
            <w:pPr>
              <w:spacing w:after="0"/>
              <w:rPr>
                <w:sz w:val="19"/>
                <w:szCs w:val="19"/>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108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1520" w:type="dxa"/>
            <w:vAlign w:val="bottom"/>
            <w:tcBorders>
              <w:bottom w:val="single" w:sz="8" w:color="EEEEEE"/>
            </w:tcBorders>
          </w:tcPr>
          <w:p>
            <w:pPr>
              <w:spacing w:after="0"/>
              <w:rPr>
                <w:sz w:val="11"/>
                <w:szCs w:val="11"/>
                <w:color w:val="auto"/>
              </w:rPr>
            </w:pPr>
          </w:p>
        </w:tc>
        <w:tc>
          <w:tcPr>
            <w:tcW w:w="100" w:type="dxa"/>
            <w:vAlign w:val="bottom"/>
          </w:tcPr>
          <w:p>
            <w:pPr>
              <w:spacing w:after="0"/>
              <w:rPr>
                <w:sz w:val="11"/>
                <w:szCs w:val="11"/>
                <w:color w:val="auto"/>
              </w:rPr>
            </w:pPr>
          </w:p>
        </w:tc>
      </w:tr>
      <w:tr>
        <w:trPr>
          <w:trHeight w:val="28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0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18">
        <w:r>
          <w:rPr>
            <w:rFonts w:ascii="Times New Roman" w:cs="Times New Roman" w:eastAsia="Times New Roman" w:hAnsi="Times New Roman"/>
            <w:sz w:val="19"/>
            <w:szCs w:val="19"/>
            <w:u w:val="single" w:color="auto"/>
            <w:color w:val="0000EE"/>
          </w:rPr>
          <w:t>Warburg Pincus Partners II (Cayman), L.P.</w:t>
        </w:r>
      </w:hyperlink>
    </w:p>
    <w:p>
      <w:pPr>
        <w:spacing w:after="0" w:line="288" w:lineRule="exact"/>
        <w:rPr>
          <w:sz w:val="20"/>
          <w:szCs w:val="20"/>
          <w:color w:val="auto"/>
        </w:rPr>
      </w:pPr>
    </w:p>
    <w:p>
      <w:pPr>
        <w:ind w:left="100"/>
        <w:spacing w:after="0"/>
        <w:tabs>
          <w:tab w:leader="none" w:pos="1420" w:val="left"/>
          <w:tab w:leader="none" w:pos="27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450 LEXINGTON AVENUE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WARBURG PINCUS LLC</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59"/>
        </w:trPr>
        <w:tc>
          <w:tcPr>
            <w:tcW w:w="11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80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10017</w:t>
            </w:r>
          </w:p>
        </w:tc>
      </w:tr>
      <w:tr>
        <w:trPr>
          <w:trHeight w:val="134"/>
        </w:trPr>
        <w:tc>
          <w:tcPr>
            <w:tcW w:w="20" w:type="dxa"/>
            <w:vAlign w:val="bottom"/>
          </w:tcPr>
          <w:p>
            <w:pPr>
              <w:spacing w:after="0"/>
              <w:rPr>
                <w:sz w:val="11"/>
                <w:szCs w:val="11"/>
                <w:color w:val="auto"/>
              </w:rPr>
            </w:pPr>
          </w:p>
        </w:tc>
        <w:tc>
          <w:tcPr>
            <w:tcW w:w="1100" w:type="dxa"/>
            <w:vAlign w:val="bottom"/>
            <w:tcBorders>
              <w:bottom w:val="single" w:sz="8" w:color="EEEEEE"/>
            </w:tcBorders>
          </w:tcPr>
          <w:p>
            <w:pPr>
              <w:spacing w:after="0"/>
              <w:rPr>
                <w:sz w:val="11"/>
                <w:szCs w:val="11"/>
                <w:color w:val="auto"/>
              </w:rPr>
            </w:pPr>
          </w:p>
        </w:tc>
        <w:tc>
          <w:tcPr>
            <w:tcW w:w="1120" w:type="dxa"/>
            <w:vAlign w:val="bottom"/>
            <w:tcBorders>
              <w:bottom w:val="single" w:sz="8" w:color="EEEEEE"/>
            </w:tcBorders>
          </w:tcPr>
          <w:p>
            <w:pPr>
              <w:spacing w:after="0"/>
              <w:rPr>
                <w:sz w:val="11"/>
                <w:szCs w:val="11"/>
                <w:color w:val="auto"/>
              </w:rPr>
            </w:pPr>
          </w:p>
        </w:tc>
        <w:tc>
          <w:tcPr>
            <w:tcW w:w="1800" w:type="dxa"/>
            <w:vAlign w:val="bottom"/>
            <w:tcBorders>
              <w:bottom w:val="single" w:sz="8" w:color="EEEEEE"/>
            </w:tcBorders>
          </w:tcPr>
          <w:p>
            <w:pPr>
              <w:spacing w:after="0"/>
              <w:rPr>
                <w:sz w:val="11"/>
                <w:szCs w:val="11"/>
                <w:color w:val="auto"/>
              </w:rPr>
            </w:pPr>
          </w:p>
        </w:tc>
      </w:tr>
      <w:tr>
        <w:trPr>
          <w:trHeight w:val="28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(City)</w:t>
            </w:r>
          </w:p>
        </w:tc>
        <w:tc>
          <w:tcPr>
            <w:tcW w:w="1120" w:type="dxa"/>
            <w:vAlign w:val="bottom"/>
          </w:tcPr>
          <w:p>
            <w:pPr>
              <w:ind w:left="260"/>
              <w:spacing w:after="0"/>
              <w:rPr>
                <w:sz w:val="20"/>
                <w:szCs w:val="20"/>
                <w:color w:val="auto"/>
              </w:rPr>
            </w:pPr>
            <w:r>
              <w:rPr>
                <w:rFonts w:ascii="Arial" w:cs="Arial" w:eastAsia="Arial" w:hAnsi="Arial"/>
                <w:sz w:val="12"/>
                <w:szCs w:val="12"/>
                <w:color w:val="auto"/>
              </w:rPr>
              <w:t>(State)</w:t>
            </w:r>
          </w:p>
        </w:tc>
        <w:tc>
          <w:tcPr>
            <w:tcW w:w="180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Warburg Pincus (Bermuda) Private Equity GP Ltd.</w:t>
        </w:r>
      </w:hyperlink>
    </w:p>
    <w:p>
      <w:pPr>
        <w:spacing w:after="0" w:line="288" w:lineRule="exact"/>
        <w:rPr>
          <w:sz w:val="20"/>
          <w:szCs w:val="20"/>
          <w:color w:val="auto"/>
        </w:rPr>
      </w:pPr>
    </w:p>
    <w:p>
      <w:pPr>
        <w:ind w:left="100"/>
        <w:spacing w:after="0"/>
        <w:tabs>
          <w:tab w:leader="none" w:pos="1420" w:val="left"/>
          <w:tab w:leader="none" w:pos="27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WARBURG PINCUS LLC</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450 LEXINGTON AVENUE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0"/>
        </w:trPr>
        <w:tc>
          <w:tcPr>
            <w:tcW w:w="8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3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10017</w:t>
            </w: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080" w:type="dxa"/>
            <w:vAlign w:val="bottom"/>
            <w:tcBorders>
              <w:bottom w:val="single" w:sz="8" w:color="EEEEEE"/>
            </w:tcBorders>
          </w:tcPr>
          <w:p>
            <w:pPr>
              <w:spacing w:after="0"/>
              <w:rPr>
                <w:sz w:val="20"/>
                <w:szCs w:val="20"/>
                <w:color w:val="auto"/>
              </w:rPr>
            </w:pPr>
          </w:p>
        </w:tc>
        <w:tc>
          <w:tcPr>
            <w:tcW w:w="1040" w:type="dxa"/>
            <w:vAlign w:val="bottom"/>
            <w:tcBorders>
              <w:bottom w:val="single" w:sz="8" w:color="EEEEEE"/>
            </w:tcBorders>
          </w:tcPr>
          <w:p>
            <w:pPr>
              <w:spacing w:after="0"/>
              <w:rPr>
                <w:sz w:val="20"/>
                <w:szCs w:val="20"/>
                <w:color w:val="auto"/>
              </w:rPr>
            </w:pPr>
          </w:p>
        </w:tc>
        <w:tc>
          <w:tcPr>
            <w:tcW w:w="500" w:type="dxa"/>
            <w:vAlign w:val="bottom"/>
            <w:tcBorders>
              <w:bottom w:val="single" w:sz="8" w:color="EEEEEE"/>
            </w:tcBorders>
          </w:tcPr>
          <w:p>
            <w:pPr>
              <w:spacing w:after="0"/>
              <w:rPr>
                <w:sz w:val="20"/>
                <w:szCs w:val="20"/>
                <w:color w:val="auto"/>
              </w:rPr>
            </w:pPr>
          </w:p>
        </w:tc>
        <w:tc>
          <w:tcPr>
            <w:tcW w:w="40" w:type="dxa"/>
            <w:vAlign w:val="bottom"/>
            <w:tcBorders>
              <w:bottom w:val="single" w:sz="8" w:color="EEEEEE"/>
            </w:tcBorders>
          </w:tcPr>
          <w:p>
            <w:pPr>
              <w:spacing w:after="0"/>
              <w:rPr>
                <w:sz w:val="20"/>
                <w:szCs w:val="20"/>
                <w:color w:val="auto"/>
              </w:rPr>
            </w:pPr>
          </w:p>
        </w:tc>
        <w:tc>
          <w:tcPr>
            <w:tcW w:w="1340" w:type="dxa"/>
            <w:vAlign w:val="bottom"/>
            <w:tcBorders>
              <w:bottom w:val="single" w:sz="8" w:color="EEEEEE"/>
            </w:tcBorders>
          </w:tcPr>
          <w:p>
            <w:pPr>
              <w:spacing w:after="0"/>
              <w:rPr>
                <w:sz w:val="20"/>
                <w:szCs w:val="20"/>
                <w:color w:val="auto"/>
              </w:rPr>
            </w:pPr>
          </w:p>
        </w:tc>
        <w:tc>
          <w:tcPr>
            <w:tcW w:w="100" w:type="dxa"/>
            <w:vAlign w:val="bottom"/>
          </w:tcPr>
          <w:p>
            <w:pPr>
              <w:spacing w:after="0"/>
              <w:rPr>
                <w:sz w:val="20"/>
                <w:szCs w:val="20"/>
                <w:color w:val="auto"/>
              </w:rPr>
            </w:pPr>
          </w:p>
        </w:tc>
      </w:tr>
      <w:tr>
        <w:trPr>
          <w:trHeight w:val="28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ind w:left="40"/>
              <w:spacing w:after="0"/>
              <w:rPr>
                <w:sz w:val="20"/>
                <w:szCs w:val="20"/>
                <w:color w:val="auto"/>
              </w:rPr>
            </w:pPr>
            <w:r>
              <w:rPr>
                <w:rFonts w:ascii="Arial" w:cs="Arial" w:eastAsia="Arial" w:hAnsi="Arial"/>
                <w:sz w:val="12"/>
                <w:szCs w:val="12"/>
                <w:color w:val="auto"/>
              </w:rPr>
              <w:t>(Zip)</w:t>
            </w:r>
          </w:p>
        </w:tc>
      </w:tr>
      <w:tr>
        <w:trPr>
          <w:trHeight w:val="226"/>
        </w:trPr>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gridSpan w:val="2"/>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r>
        <w:trPr>
          <w:trHeight w:val="255"/>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5"/>
        </w:trPr>
        <w:tc>
          <w:tcPr>
            <w:tcW w:w="80" w:type="dxa"/>
            <w:vAlign w:val="bottom"/>
          </w:tcPr>
          <w:p>
            <w:pPr>
              <w:spacing w:after="0"/>
              <w:rPr>
                <w:sz w:val="17"/>
                <w:szCs w:val="17"/>
                <w:color w:val="auto"/>
              </w:rPr>
            </w:pPr>
          </w:p>
        </w:tc>
        <w:tc>
          <w:tcPr>
            <w:tcW w:w="2680" w:type="dxa"/>
            <w:vAlign w:val="bottom"/>
            <w:gridSpan w:val="5"/>
          </w:tcPr>
          <w:p>
            <w:pPr>
              <w:ind w:left="20"/>
              <w:spacing w:after="0" w:line="205"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WARBURG PINCUS LLC</w:t>
              </w:r>
            </w:hyperlink>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1080" w:type="dxa"/>
            <w:vAlign w:val="bottom"/>
            <w:tcBorders>
              <w:top w:val="single" w:sz="8" w:color="0000EE"/>
              <w:bottom w:val="single" w:sz="8" w:color="EEEEEE"/>
            </w:tcBorders>
          </w:tcPr>
          <w:p>
            <w:pPr>
              <w:spacing w:after="0"/>
              <w:rPr>
                <w:sz w:val="13"/>
                <w:szCs w:val="13"/>
                <w:color w:val="auto"/>
              </w:rPr>
            </w:pPr>
          </w:p>
        </w:tc>
        <w:tc>
          <w:tcPr>
            <w:tcW w:w="1040" w:type="dxa"/>
            <w:vAlign w:val="bottom"/>
            <w:tcBorders>
              <w:top w:val="single" w:sz="8" w:color="0000EE"/>
              <w:bottom w:val="single" w:sz="8" w:color="EEEEEE"/>
            </w:tcBorders>
          </w:tcPr>
          <w:p>
            <w:pPr>
              <w:spacing w:after="0"/>
              <w:rPr>
                <w:sz w:val="13"/>
                <w:szCs w:val="13"/>
                <w:color w:val="auto"/>
              </w:rPr>
            </w:pPr>
          </w:p>
        </w:tc>
        <w:tc>
          <w:tcPr>
            <w:tcW w:w="50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1340" w:type="dxa"/>
            <w:vAlign w:val="bottom"/>
            <w:tcBorders>
              <w:bottom w:val="single" w:sz="8" w:color="EEEEEE"/>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450 LEXINGTON AVENUE</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2"/>
        </w:trPr>
        <w:tc>
          <w:tcPr>
            <w:tcW w:w="80" w:type="dxa"/>
            <w:vAlign w:val="bottom"/>
          </w:tcPr>
          <w:p>
            <w:pPr>
              <w:spacing w:after="0"/>
              <w:rPr>
                <w:sz w:val="15"/>
                <w:szCs w:val="15"/>
                <w:color w:val="auto"/>
              </w:rPr>
            </w:pPr>
          </w:p>
        </w:tc>
        <w:tc>
          <w:tcPr>
            <w:tcW w:w="20" w:type="dxa"/>
            <w:vAlign w:val="bottom"/>
            <w:tcBorders>
              <w:bottom w:val="single" w:sz="8" w:color="EEEEEE"/>
            </w:tcBorders>
          </w:tcPr>
          <w:p>
            <w:pPr>
              <w:spacing w:after="0"/>
              <w:rPr>
                <w:sz w:val="15"/>
                <w:szCs w:val="15"/>
                <w:color w:val="auto"/>
              </w:rPr>
            </w:pPr>
          </w:p>
        </w:tc>
        <w:tc>
          <w:tcPr>
            <w:tcW w:w="1080" w:type="dxa"/>
            <w:vAlign w:val="bottom"/>
            <w:tcBorders>
              <w:bottom w:val="single" w:sz="8" w:color="EEEEEE"/>
            </w:tcBorders>
          </w:tcPr>
          <w:p>
            <w:pPr>
              <w:spacing w:after="0"/>
              <w:rPr>
                <w:sz w:val="15"/>
                <w:szCs w:val="15"/>
                <w:color w:val="auto"/>
              </w:rPr>
            </w:pPr>
          </w:p>
        </w:tc>
        <w:tc>
          <w:tcPr>
            <w:tcW w:w="1040" w:type="dxa"/>
            <w:vAlign w:val="bottom"/>
            <w:tcBorders>
              <w:bottom w:val="single" w:sz="8" w:color="EEEEEE"/>
            </w:tcBorders>
          </w:tcPr>
          <w:p>
            <w:pPr>
              <w:spacing w:after="0"/>
              <w:rPr>
                <w:sz w:val="15"/>
                <w:szCs w:val="15"/>
                <w:color w:val="auto"/>
              </w:rPr>
            </w:pPr>
          </w:p>
        </w:tc>
        <w:tc>
          <w:tcPr>
            <w:tcW w:w="500" w:type="dxa"/>
            <w:vAlign w:val="bottom"/>
            <w:tcBorders>
              <w:bottom w:val="single" w:sz="8" w:color="EEEEEE"/>
            </w:tcBorders>
          </w:tcPr>
          <w:p>
            <w:pPr>
              <w:spacing w:after="0"/>
              <w:rPr>
                <w:sz w:val="15"/>
                <w:szCs w:val="15"/>
                <w:color w:val="auto"/>
              </w:rPr>
            </w:pPr>
          </w:p>
        </w:tc>
        <w:tc>
          <w:tcPr>
            <w:tcW w:w="40" w:type="dxa"/>
            <w:vAlign w:val="bottom"/>
            <w:tcBorders>
              <w:bottom w:val="single" w:sz="8" w:color="EEEEEE"/>
            </w:tcBorders>
          </w:tcPr>
          <w:p>
            <w:pPr>
              <w:spacing w:after="0"/>
              <w:rPr>
                <w:sz w:val="15"/>
                <w:szCs w:val="15"/>
                <w:color w:val="auto"/>
              </w:rPr>
            </w:pPr>
          </w:p>
        </w:tc>
        <w:tc>
          <w:tcPr>
            <w:tcW w:w="1340" w:type="dxa"/>
            <w:vAlign w:val="bottom"/>
            <w:tcBorders>
              <w:bottom w:val="single" w:sz="8" w:color="EEEEEE"/>
            </w:tcBorders>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11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3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10017</w:t>
            </w:r>
          </w:p>
        </w:tc>
        <w:tc>
          <w:tcPr>
            <w:tcW w:w="100" w:type="dxa"/>
            <w:vAlign w:val="bottom"/>
          </w:tcPr>
          <w:p>
            <w:pPr>
              <w:spacing w:after="0"/>
              <w:rPr>
                <w:sz w:val="19"/>
                <w:szCs w:val="19"/>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1080" w:type="dxa"/>
            <w:vAlign w:val="bottom"/>
            <w:tcBorders>
              <w:bottom w:val="single" w:sz="8" w:color="EEEEEE"/>
            </w:tcBorders>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50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1340" w:type="dxa"/>
            <w:vAlign w:val="bottom"/>
            <w:tcBorders>
              <w:bottom w:val="single" w:sz="8" w:color="EEEEEE"/>
            </w:tcBorders>
          </w:tcPr>
          <w:p>
            <w:pPr>
              <w:spacing w:after="0"/>
              <w:rPr>
                <w:sz w:val="11"/>
                <w:szCs w:val="11"/>
                <w:color w:val="auto"/>
              </w:rPr>
            </w:pPr>
          </w:p>
        </w:tc>
        <w:tc>
          <w:tcPr>
            <w:tcW w:w="100" w:type="dxa"/>
            <w:vAlign w:val="bottom"/>
          </w:tcPr>
          <w:p>
            <w:pPr>
              <w:spacing w:after="0"/>
              <w:rPr>
                <w:sz w:val="11"/>
                <w:szCs w:val="11"/>
                <w:color w:val="auto"/>
              </w:rPr>
            </w:pPr>
          </w:p>
        </w:tc>
      </w:tr>
      <w:tr>
        <w:trPr>
          <w:trHeight w:val="28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ind w:left="40"/>
              <w:spacing w:after="0"/>
              <w:rPr>
                <w:sz w:val="20"/>
                <w:szCs w:val="20"/>
                <w:color w:val="auto"/>
              </w:rPr>
            </w:pPr>
            <w:r>
              <w:rPr>
                <w:rFonts w:ascii="Arial" w:cs="Arial" w:eastAsia="Arial" w:hAnsi="Arial"/>
                <w:sz w:val="12"/>
                <w:szCs w:val="12"/>
                <w:color w:val="auto"/>
              </w:rPr>
              <w:t>(Zip)</w:t>
            </w:r>
          </w:p>
        </w:tc>
      </w:tr>
      <w:tr>
        <w:trPr>
          <w:trHeight w:val="82"/>
        </w:trPr>
        <w:tc>
          <w:tcPr>
            <w:tcW w:w="100" w:type="dxa"/>
            <w:vAlign w:val="bottom"/>
            <w:tcBorders>
              <w:bottom w:val="single" w:sz="8" w:color="808080"/>
            </w:tcBorders>
            <w:gridSpan w:val="2"/>
          </w:tcPr>
          <w:p>
            <w:pPr>
              <w:spacing w:after="0"/>
              <w:rPr>
                <w:sz w:val="7"/>
                <w:szCs w:val="7"/>
                <w:color w:val="auto"/>
              </w:rPr>
            </w:pPr>
          </w:p>
        </w:tc>
        <w:tc>
          <w:tcPr>
            <w:tcW w:w="2120" w:type="dxa"/>
            <w:vAlign w:val="bottom"/>
            <w:tcBorders>
              <w:bottom w:val="single" w:sz="8" w:color="808080"/>
            </w:tcBorders>
            <w:gridSpan w:val="2"/>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r>
        <w:trPr>
          <w:trHeight w:val="255"/>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5"/>
        </w:trPr>
        <w:tc>
          <w:tcPr>
            <w:tcW w:w="80" w:type="dxa"/>
            <w:vAlign w:val="bottom"/>
          </w:tcPr>
          <w:p>
            <w:pPr>
              <w:spacing w:after="0"/>
              <w:rPr>
                <w:sz w:val="17"/>
                <w:szCs w:val="17"/>
                <w:color w:val="auto"/>
              </w:rPr>
            </w:pPr>
          </w:p>
        </w:tc>
        <w:tc>
          <w:tcPr>
            <w:tcW w:w="2680" w:type="dxa"/>
            <w:vAlign w:val="bottom"/>
            <w:gridSpan w:val="5"/>
          </w:tcPr>
          <w:p>
            <w:pPr>
              <w:ind w:left="20"/>
              <w:spacing w:after="0" w:line="205"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Warburg Pincus Partners GP LLC</w:t>
              </w:r>
            </w:hyperlink>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1080" w:type="dxa"/>
            <w:vAlign w:val="bottom"/>
            <w:tcBorders>
              <w:top w:val="single" w:sz="8" w:color="0000EE"/>
              <w:bottom w:val="single" w:sz="8" w:color="EEEEEE"/>
            </w:tcBorders>
          </w:tcPr>
          <w:p>
            <w:pPr>
              <w:spacing w:after="0"/>
              <w:rPr>
                <w:sz w:val="13"/>
                <w:szCs w:val="13"/>
                <w:color w:val="auto"/>
              </w:rPr>
            </w:pPr>
          </w:p>
        </w:tc>
        <w:tc>
          <w:tcPr>
            <w:tcW w:w="1040" w:type="dxa"/>
            <w:vAlign w:val="bottom"/>
            <w:tcBorders>
              <w:top w:val="single" w:sz="8" w:color="0000EE"/>
              <w:bottom w:val="single" w:sz="8" w:color="EEEEEE"/>
            </w:tcBorders>
          </w:tcPr>
          <w:p>
            <w:pPr>
              <w:spacing w:after="0"/>
              <w:rPr>
                <w:sz w:val="13"/>
                <w:szCs w:val="13"/>
                <w:color w:val="auto"/>
              </w:rPr>
            </w:pPr>
          </w:p>
        </w:tc>
        <w:tc>
          <w:tcPr>
            <w:tcW w:w="500" w:type="dxa"/>
            <w:vAlign w:val="bottom"/>
            <w:tcBorders>
              <w:top w:val="single" w:sz="8" w:color="0000EE"/>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1340" w:type="dxa"/>
            <w:vAlign w:val="bottom"/>
            <w:tcBorders>
              <w:bottom w:val="single" w:sz="8" w:color="EEEEEE"/>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WARBURG PINCUS LLC</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450 LEXINGTON AVENUE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1080" w:type="dxa"/>
            <w:vAlign w:val="bottom"/>
            <w:tcBorders>
              <w:bottom w:val="single" w:sz="8" w:color="EEEEEE"/>
            </w:tcBorders>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50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1340" w:type="dxa"/>
            <w:vAlign w:val="bottom"/>
            <w:tcBorders>
              <w:bottom w:val="single" w:sz="8" w:color="EEEEEE"/>
            </w:tcBorders>
          </w:tcPr>
          <w:p>
            <w:pPr>
              <w:spacing w:after="0"/>
              <w:rPr>
                <w:sz w:val="11"/>
                <w:szCs w:val="11"/>
                <w:color w:val="auto"/>
              </w:rPr>
            </w:pPr>
          </w:p>
        </w:tc>
        <w:tc>
          <w:tcPr>
            <w:tcW w:w="100" w:type="dxa"/>
            <w:vAlign w:val="bottom"/>
          </w:tcPr>
          <w:p>
            <w:pPr>
              <w:spacing w:after="0"/>
              <w:rPr>
                <w:sz w:val="11"/>
                <w:szCs w:val="11"/>
                <w:color w:val="auto"/>
              </w:rPr>
            </w:pPr>
          </w:p>
        </w:tc>
      </w:tr>
      <w:tr>
        <w:trPr>
          <w:trHeight w:val="246"/>
        </w:trPr>
        <w:tc>
          <w:tcPr>
            <w:tcW w:w="11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3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10017</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ectPr>
          <w:pgSz w:w="11900" w:h="16840" w:orient="portrait"/>
          <w:cols w:equalWidth="0" w:num="1">
            <w:col w:w="9780"/>
          </w:cols>
          <w:pgMar w:left="680" w:top="631" w:right="1440" w:bottom="168" w:gutter="0" w:footer="0" w:header="0"/>
        </w:sectPr>
      </w:pPr>
    </w:p>
    <w:p>
      <w:pPr>
        <w:spacing w:after="0" w:line="77" w:lineRule="exact"/>
        <w:rPr>
          <w:sz w:val="20"/>
          <w:szCs w:val="20"/>
          <w:color w:val="auto"/>
        </w:rPr>
      </w:pPr>
    </w:p>
    <w:p>
      <w:pPr>
        <w:ind w:left="100"/>
        <w:spacing w:after="0"/>
        <w:tabs>
          <w:tab w:leader="none" w:pos="1420" w:val="left"/>
          <w:tab w:leader="none" w:pos="278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40" w:orient="portrait"/>
          <w:cols w:equalWidth="0" w:num="1">
            <w:col w:w="9780"/>
          </w:cols>
          <w:pgMar w:left="680" w:top="631" w:right="1440" w:bottom="168" w:gutter="0" w:footer="0" w:header="0"/>
          <w:type w:val="continuous"/>
        </w:sectPr>
      </w:pPr>
    </w:p>
    <w:bookmarkStart w:id="2" w:name="page3"/>
    <w:bookmarkEnd w:id="2"/>
    <w:p>
      <w:pPr>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0"/>
          <w:szCs w:val="20"/>
          <w:color w:val="auto"/>
        </w:rPr>
      </w:pPr>
    </w:p>
    <w:p>
      <w:pPr>
        <w:ind w:right="40" w:firstLine="2"/>
        <w:spacing w:after="0" w:line="280" w:lineRule="auto"/>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December 3, 2025, certain of the Warburg Pincus Entities (as defined below) sold a total of 9,720,000 shares of Common Stock of Sotera Health Company (the "Issuer") pursuant to Rule 144 under the Securities Act of 1933, as amended (the "Sale").</w:t>
      </w:r>
    </w:p>
    <w:p>
      <w:pPr>
        <w:spacing w:after="0" w:line="14" w:lineRule="exact"/>
        <w:rPr>
          <w:rFonts w:ascii="Times New Roman" w:cs="Times New Roman" w:eastAsia="Times New Roman" w:hAnsi="Times New Roman"/>
          <w:sz w:val="12"/>
          <w:szCs w:val="12"/>
          <w:color w:val="008000"/>
        </w:rPr>
      </w:pPr>
    </w:p>
    <w:p>
      <w:pPr>
        <w:ind w:right="60" w:firstLine="2"/>
        <w:spacing w:after="0" w:line="280" w:lineRule="auto"/>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Sale, consists of (i) 27,291,923 shares of Common Stock of the Issuer held by Bull Holdco L.P. ("Bull Holdco") and (ii) 6,811,029 shares of Common Stock of the Issuer held by Bull Co-Invest L.P., a Delaware limited partnership ("Bull Co-Invest").</w:t>
      </w:r>
    </w:p>
    <w:p>
      <w:pPr>
        <w:spacing w:after="0" w:line="14" w:lineRule="exact"/>
        <w:rPr>
          <w:rFonts w:ascii="Times New Roman" w:cs="Times New Roman" w:eastAsia="Times New Roman" w:hAnsi="Times New Roman"/>
          <w:sz w:val="12"/>
          <w:szCs w:val="12"/>
          <w:color w:val="008000"/>
        </w:rPr>
      </w:pPr>
    </w:p>
    <w:p>
      <w:pPr>
        <w:ind w:right="80" w:firstLine="2"/>
        <w:spacing w:after="0" w:line="257" w:lineRule="auto"/>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 Warburg Pincus (Cayman) XI, L.P. ("WP XI Cayman GP"), is the general partner of Warburg Pincus Private Equity XI-C, L.P. ("WP XI-C" and, together with WP XI,WP XI-B, WP XI Partners and Warburg Pincus XI Partners, the "WP XI Funds").</w:t>
      </w:r>
    </w:p>
    <w:p>
      <w:pPr>
        <w:spacing w:after="0" w:line="29" w:lineRule="exact"/>
        <w:rPr>
          <w:rFonts w:ascii="Times New Roman" w:cs="Times New Roman" w:eastAsia="Times New Roman" w:hAnsi="Times New Roman"/>
          <w:sz w:val="12"/>
          <w:szCs w:val="12"/>
          <w:color w:val="008000"/>
        </w:rPr>
      </w:pPr>
    </w:p>
    <w:p>
      <w:pPr>
        <w:ind w:right="180" w:firstLine="2"/>
        <w:spacing w:after="0" w:line="280" w:lineRule="auto"/>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14" w:lineRule="exact"/>
        <w:rPr>
          <w:rFonts w:ascii="Times New Roman" w:cs="Times New Roman" w:eastAsia="Times New Roman" w:hAnsi="Times New Roman"/>
          <w:sz w:val="12"/>
          <w:szCs w:val="12"/>
          <w:color w:val="008000"/>
        </w:rPr>
      </w:pPr>
    </w:p>
    <w:p>
      <w:pPr>
        <w:ind w:right="60" w:firstLine="2"/>
        <w:spacing w:after="0" w:line="260" w:lineRule="auto"/>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6" w:lineRule="exact"/>
        <w:rPr>
          <w:rFonts w:ascii="Times New Roman" w:cs="Times New Roman" w:eastAsia="Times New Roman" w:hAnsi="Times New Roman"/>
          <w:sz w:val="12"/>
          <w:szCs w:val="12"/>
          <w:color w:val="008000"/>
        </w:rPr>
      </w:pPr>
    </w:p>
    <w:p>
      <w:pPr>
        <w:ind w:firstLine="2"/>
        <w:spacing w:after="0" w:line="260" w:lineRule="auto"/>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8000"/>
        </w:rPr>
        <w:t>Form 2 of 2. Two reports are filed that relate to the same transactions. See Form 1 of 2 for additional reporting entities.</w:t>
      </w:r>
    </w:p>
    <w:p>
      <w:pPr>
        <w:spacing w:after="0" w:line="61" w:lineRule="exact"/>
        <w:rPr>
          <w:sz w:val="20"/>
          <w:szCs w:val="20"/>
          <w:color w:val="auto"/>
        </w:rPr>
      </w:pPr>
    </w:p>
    <w:tbl>
      <w:tblPr>
        <w:tblLayout w:type="fixed"/>
        <w:tblInd w:w="6320" w:type="dxa"/>
        <w:tblCellMar>
          <w:top w:w="0" w:type="dxa"/>
          <w:left w:w="0" w:type="dxa"/>
          <w:bottom w:w="0" w:type="dxa"/>
          <w:right w:w="0" w:type="dxa"/>
        </w:tblCellMar>
      </w:tblPr>
      <w:tr>
        <w:trPr>
          <w:trHeight w:val="184"/>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See Exhibit 99.1</w:t>
            </w:r>
          </w:p>
        </w:tc>
        <w:tc>
          <w:tcPr>
            <w:tcW w:w="10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12/05/2025</w:t>
            </w:r>
          </w:p>
        </w:tc>
      </w:tr>
      <w:tr>
        <w:trPr>
          <w:trHeight w:val="210"/>
        </w:trPr>
        <w:tc>
          <w:tcPr>
            <w:tcW w:w="21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0"/>
          <w:szCs w:val="20"/>
          <w:color w:val="auto"/>
        </w:rPr>
      </w:pPr>
    </w:p>
    <w:p>
      <w:pPr>
        <w:jc w:val="both"/>
        <w:ind w:right="3560" w:firstLine="2"/>
        <w:spacing w:after="0" w:line="387" w:lineRule="auto"/>
        <w:tabs>
          <w:tab w:leader="none" w:pos="12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0480"/>
          </w:cols>
          <w:pgMar w:left="700" w:top="581" w:right="72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List of Reporting Owners and Signature Page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entities are jointly reporting the transactions reflected on the Form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address for each reporting person is: c/o Warburg Pincus &amp; Co., 450 Lexington Avenue, New York, New York 10017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Name and Ticker or Trading Symbol: Sotera Health Co [SHC]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WARBURG PINCUS &amp; CO.</w:t>
      </w:r>
    </w:p>
    <w:p>
      <w:pPr>
        <w:sectPr>
          <w:pgSz w:w="11900" w:h="16840" w:orient="portrait"/>
          <w:cols w:equalWidth="0" w:num="1">
            <w:col w:w="10580"/>
          </w:cols>
          <w:pgMar w:left="660" w:top="1440" w:right="660" w:bottom="1440" w:gutter="0" w:footer="0" w:header="0"/>
        </w:sectPr>
      </w:pPr>
    </w:p>
    <w:p>
      <w:pPr>
        <w:spacing w:after="0" w:line="35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Harsha G. Marti</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12/05/2025</w:t>
      </w:r>
    </w:p>
    <w:p>
      <w:pPr>
        <w:spacing w:after="0" w:line="20" w:lineRule="exact"/>
        <w:rPr>
          <w:sz w:val="20"/>
          <w:szCs w:val="20"/>
          <w:color w:val="auto"/>
        </w:rPr>
      </w:pPr>
    </w:p>
    <w:p>
      <w:pPr>
        <w:sectPr>
          <w:pgSz w:w="11900" w:h="16840" w:orient="portrait"/>
          <w:cols w:equalWidth="0" w:num="3">
            <w:col w:w="960" w:space="660"/>
            <w:col w:w="2680" w:space="720"/>
            <w:col w:w="5560"/>
          </w:cols>
          <w:pgMar w:left="660" w:top="1440" w:right="660" w:bottom="1440" w:gutter="0" w:footer="0" w:header="0"/>
          <w:type w:val="continuous"/>
        </w:sectPr>
      </w:pP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Name:</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Signature of Reporting Person</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Harsha G. Marti</w:t>
      </w:r>
    </w:p>
    <w:p>
      <w:pPr>
        <w:ind w:left="100"/>
        <w:spacing w:after="0"/>
        <w:rPr>
          <w:sz w:val="20"/>
          <w:szCs w:val="20"/>
          <w:color w:val="auto"/>
        </w:rPr>
      </w:pPr>
      <w:r>
        <w:rPr>
          <w:rFonts w:ascii="Times New Roman" w:cs="Times New Roman" w:eastAsia="Times New Roman" w:hAnsi="Times New Roman"/>
          <w:sz w:val="16"/>
          <w:szCs w:val="16"/>
          <w:color w:val="auto"/>
        </w:rPr>
        <w:t>Partner</w:t>
      </w:r>
    </w:p>
    <w:p>
      <w:pPr>
        <w:spacing w:after="0" w:line="200" w:lineRule="exact"/>
        <w:rPr>
          <w:sz w:val="20"/>
          <w:szCs w:val="20"/>
          <w:color w:val="auto"/>
        </w:rPr>
      </w:pPr>
    </w:p>
    <w:p>
      <w:pPr>
        <w:sectPr>
          <w:pgSz w:w="11900" w:h="16840" w:orient="portrait"/>
          <w:cols w:equalWidth="0" w:num="2">
            <w:col w:w="600" w:space="720"/>
            <w:col w:w="9260"/>
          </w:cols>
          <w:pgMar w:left="660" w:top="1440" w:right="660" w:bottom="1440" w:gutter="0" w:footer="0" w:header="0"/>
          <w:type w:val="continuous"/>
        </w:sectPr>
      </w:pP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WARBURG PINCUS PRIVATE EQUITY XI, L.P.</w:t>
      </w:r>
    </w:p>
    <w:p>
      <w:pPr>
        <w:sectPr>
          <w:pgSz w:w="11900" w:h="16840" w:orient="portrait"/>
          <w:cols w:equalWidth="0" w:num="1">
            <w:col w:w="10580"/>
          </w:cols>
          <w:pgMar w:left="660" w:top="1440" w:right="660" w:bottom="1440" w:gutter="0" w:footer="0" w:header="0"/>
          <w:type w:val="continuous"/>
        </w:sectPr>
      </w:pP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Warburg Pincus XI, L.P., its general partner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WP Global LLC, its general partner</w:t>
      </w:r>
    </w:p>
    <w:p>
      <w:pPr>
        <w:spacing w:after="0"/>
        <w:rPr>
          <w:sz w:val="20"/>
          <w:szCs w:val="20"/>
          <w:color w:val="auto"/>
        </w:rPr>
      </w:pPr>
      <w:r>
        <w:rPr>
          <w:rFonts w:ascii="Times New Roman" w:cs="Times New Roman" w:eastAsia="Times New Roman" w:hAnsi="Times New Roman"/>
          <w:sz w:val="14"/>
          <w:szCs w:val="14"/>
          <w:color w:val="auto"/>
        </w:rPr>
        <w:t>Warburg Pincus Partners II, L.P., its managing member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Warburg Pincus Partners GP LLC, its general partner</w:t>
      </w:r>
    </w:p>
    <w:p>
      <w:pPr>
        <w:spacing w:after="0"/>
        <w:rPr>
          <w:sz w:val="20"/>
          <w:szCs w:val="20"/>
          <w:color w:val="auto"/>
        </w:rPr>
      </w:pPr>
      <w:r>
        <w:rPr>
          <w:rFonts w:ascii="Times New Roman" w:cs="Times New Roman" w:eastAsia="Times New Roman" w:hAnsi="Times New Roman"/>
          <w:sz w:val="16"/>
          <w:szCs w:val="16"/>
          <w:color w:val="auto"/>
        </w:rPr>
        <w:t>Warburg Pincus &amp; Co., its managing member</w:t>
      </w:r>
    </w:p>
    <w:p>
      <w:pPr>
        <w:spacing w:after="0" w:line="158" w:lineRule="exact"/>
        <w:rPr>
          <w:sz w:val="20"/>
          <w:szCs w:val="20"/>
          <w:color w:val="auto"/>
        </w:rPr>
      </w:pPr>
    </w:p>
    <w:p>
      <w:pPr>
        <w:sectPr>
          <w:pgSz w:w="11900" w:h="16840" w:orient="portrait"/>
          <w:cols w:equalWidth="0" w:num="2">
            <w:col w:w="800" w:space="620"/>
            <w:col w:w="9160"/>
          </w:cols>
          <w:pgMar w:left="660" w:top="1440" w:right="66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 Harsha G. Marti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Date: 12/05/2025</w:t>
      </w:r>
    </w:p>
    <w:p>
      <w:pPr>
        <w:spacing w:after="0" w:line="20" w:lineRule="exact"/>
        <w:rPr>
          <w:sz w:val="20"/>
          <w:szCs w:val="20"/>
          <w:color w:val="auto"/>
        </w:rPr>
      </w:pPr>
    </w:p>
    <w:p>
      <w:pPr>
        <w:sectPr>
          <w:pgSz w:w="11900" w:h="16840" w:orient="portrait"/>
          <w:cols w:equalWidth="0" w:num="3">
            <w:col w:w="960" w:space="360"/>
            <w:col w:w="3160" w:space="720"/>
            <w:col w:w="5380"/>
          </w:cols>
          <w:pgMar w:left="660" w:top="1440" w:right="660" w:bottom="1440" w:gutter="0" w:footer="0" w:header="0"/>
          <w:type w:val="continuous"/>
        </w:sectPr>
      </w:pP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Name:</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Signature of Reporting Person</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Harsha G. Marti</w:t>
      </w:r>
    </w:p>
    <w:p>
      <w:pPr>
        <w:ind w:left="100"/>
        <w:spacing w:after="0"/>
        <w:rPr>
          <w:sz w:val="20"/>
          <w:szCs w:val="20"/>
          <w:color w:val="auto"/>
        </w:rPr>
      </w:pPr>
      <w:r>
        <w:rPr>
          <w:rFonts w:ascii="Times New Roman" w:cs="Times New Roman" w:eastAsia="Times New Roman" w:hAnsi="Times New Roman"/>
          <w:sz w:val="16"/>
          <w:szCs w:val="16"/>
          <w:color w:val="auto"/>
        </w:rPr>
        <w:t>Partner</w:t>
      </w:r>
    </w:p>
    <w:p>
      <w:pPr>
        <w:spacing w:after="0" w:line="200" w:lineRule="exact"/>
        <w:rPr>
          <w:sz w:val="20"/>
          <w:szCs w:val="20"/>
          <w:color w:val="auto"/>
        </w:rPr>
      </w:pPr>
    </w:p>
    <w:p>
      <w:pPr>
        <w:sectPr>
          <w:pgSz w:w="11900" w:h="16840" w:orient="portrait"/>
          <w:cols w:equalWidth="0" w:num="2">
            <w:col w:w="600" w:space="720"/>
            <w:col w:w="9260"/>
          </w:cols>
          <w:pgMar w:left="660" w:top="1440" w:right="660" w:bottom="1440" w:gutter="0" w:footer="0" w:header="0"/>
          <w:type w:val="continuous"/>
        </w:sectPr>
      </w:pP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WP XI PARTNERS, L.P.</w:t>
      </w:r>
    </w:p>
    <w:p>
      <w:pPr>
        <w:sectPr>
          <w:pgSz w:w="11900" w:h="16840" w:orient="portrait"/>
          <w:cols w:equalWidth="0" w:num="1">
            <w:col w:w="10580"/>
          </w:cols>
          <w:pgMar w:left="660" w:top="1440" w:right="660" w:bottom="1440" w:gutter="0" w:footer="0" w:header="0"/>
          <w:type w:val="continuous"/>
        </w:sectPr>
      </w:pP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Warburg Pincus XI, L.P., its general partner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WP Global LLC, its general partner</w:t>
      </w:r>
    </w:p>
    <w:p>
      <w:pPr>
        <w:spacing w:after="0"/>
        <w:rPr>
          <w:sz w:val="20"/>
          <w:szCs w:val="20"/>
          <w:color w:val="auto"/>
        </w:rPr>
      </w:pPr>
      <w:r>
        <w:rPr>
          <w:rFonts w:ascii="Times New Roman" w:cs="Times New Roman" w:eastAsia="Times New Roman" w:hAnsi="Times New Roman"/>
          <w:sz w:val="14"/>
          <w:szCs w:val="14"/>
          <w:color w:val="auto"/>
        </w:rPr>
        <w:t>Warburg Pincus Partners II, L.P., its managing member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Warburg Pincus Partners GP LLC, its general partner</w:t>
      </w:r>
    </w:p>
    <w:p>
      <w:pPr>
        <w:spacing w:after="0"/>
        <w:rPr>
          <w:sz w:val="20"/>
          <w:szCs w:val="20"/>
          <w:color w:val="auto"/>
        </w:rPr>
      </w:pPr>
      <w:r>
        <w:rPr>
          <w:rFonts w:ascii="Times New Roman" w:cs="Times New Roman" w:eastAsia="Times New Roman" w:hAnsi="Times New Roman"/>
          <w:sz w:val="16"/>
          <w:szCs w:val="16"/>
          <w:color w:val="auto"/>
        </w:rPr>
        <w:t>Warburg Pincus &amp; Co., its managing member</w:t>
      </w:r>
    </w:p>
    <w:p>
      <w:pPr>
        <w:spacing w:after="0" w:line="158" w:lineRule="exact"/>
        <w:rPr>
          <w:sz w:val="20"/>
          <w:szCs w:val="20"/>
          <w:color w:val="auto"/>
        </w:rPr>
      </w:pPr>
    </w:p>
    <w:p>
      <w:pPr>
        <w:sectPr>
          <w:pgSz w:w="11900" w:h="16840" w:orient="portrait"/>
          <w:cols w:equalWidth="0" w:num="2">
            <w:col w:w="800" w:space="620"/>
            <w:col w:w="9160"/>
          </w:cols>
          <w:pgMar w:left="660" w:top="1440" w:right="66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 Harsha G. Marti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Date: 12/05/2025</w:t>
      </w:r>
    </w:p>
    <w:p>
      <w:pPr>
        <w:spacing w:after="0" w:line="20" w:lineRule="exact"/>
        <w:rPr>
          <w:sz w:val="20"/>
          <w:szCs w:val="20"/>
          <w:color w:val="auto"/>
        </w:rPr>
      </w:pPr>
    </w:p>
    <w:p>
      <w:pPr>
        <w:sectPr>
          <w:pgSz w:w="11900" w:h="16840" w:orient="portrait"/>
          <w:cols w:equalWidth="0" w:num="3">
            <w:col w:w="960" w:space="360"/>
            <w:col w:w="3160" w:space="720"/>
            <w:col w:w="5380"/>
          </w:cols>
          <w:pgMar w:left="660" w:top="1440" w:right="660" w:bottom="1440" w:gutter="0" w:footer="0" w:header="0"/>
          <w:type w:val="continuous"/>
        </w:sectPr>
      </w:pP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Name:</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Signature of Reporting Person</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Harsha G. Marti</w:t>
      </w:r>
    </w:p>
    <w:p>
      <w:pPr>
        <w:ind w:left="100"/>
        <w:spacing w:after="0"/>
        <w:rPr>
          <w:sz w:val="20"/>
          <w:szCs w:val="20"/>
          <w:color w:val="auto"/>
        </w:rPr>
      </w:pPr>
      <w:r>
        <w:rPr>
          <w:rFonts w:ascii="Times New Roman" w:cs="Times New Roman" w:eastAsia="Times New Roman" w:hAnsi="Times New Roman"/>
          <w:sz w:val="16"/>
          <w:szCs w:val="16"/>
          <w:color w:val="auto"/>
        </w:rPr>
        <w:t>Partner</w:t>
      </w:r>
    </w:p>
    <w:p>
      <w:pPr>
        <w:spacing w:after="0" w:line="200" w:lineRule="exact"/>
        <w:rPr>
          <w:sz w:val="20"/>
          <w:szCs w:val="20"/>
          <w:color w:val="auto"/>
        </w:rPr>
      </w:pPr>
    </w:p>
    <w:p>
      <w:pPr>
        <w:sectPr>
          <w:pgSz w:w="11900" w:h="16840" w:orient="portrait"/>
          <w:cols w:equalWidth="0" w:num="2">
            <w:col w:w="600" w:space="720"/>
            <w:col w:w="9260"/>
          </w:cols>
          <w:pgMar w:left="660" w:top="1440" w:right="660" w:bottom="1440" w:gutter="0" w:footer="0" w:header="0"/>
          <w:type w:val="continuous"/>
        </w:sectPr>
      </w:pP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WARBURG PINCUS XI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4" w:name="page5"/>
    <w:bookmarkEnd w:id="4"/>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Warburg Pincus XI, L.P., its general partner</w:t>
            </w:r>
          </w:p>
        </w:tc>
        <w:tc>
          <w:tcPr>
            <w:tcW w:w="1300" w:type="dxa"/>
            <w:vAlign w:val="bottom"/>
          </w:tcPr>
          <w:p>
            <w:pPr>
              <w:spacing w:after="0"/>
              <w:rPr>
                <w:sz w:val="16"/>
                <w:szCs w:val="16"/>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WP Global LLC, its general partner</w:t>
            </w:r>
          </w:p>
        </w:tc>
        <w:tc>
          <w:tcPr>
            <w:tcW w:w="1300" w:type="dxa"/>
            <w:vAlign w:val="bottom"/>
          </w:tcPr>
          <w:p>
            <w:pPr>
              <w:spacing w:after="0"/>
              <w:rPr>
                <w:sz w:val="15"/>
                <w:szCs w:val="15"/>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Partners II, L.P., its managing member</w:t>
            </w:r>
          </w:p>
        </w:tc>
        <w:tc>
          <w:tcPr>
            <w:tcW w:w="1300" w:type="dxa"/>
            <w:vAlign w:val="bottom"/>
          </w:tcPr>
          <w:p>
            <w:pPr>
              <w:spacing w:after="0"/>
              <w:rPr>
                <w:sz w:val="15"/>
                <w:szCs w:val="15"/>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Partners GP LLC, its general partner</w:t>
            </w:r>
          </w:p>
        </w:tc>
        <w:tc>
          <w:tcPr>
            <w:tcW w:w="1300" w:type="dxa"/>
            <w:vAlign w:val="bottom"/>
          </w:tcPr>
          <w:p>
            <w:pPr>
              <w:spacing w:after="0"/>
              <w:rPr>
                <w:sz w:val="15"/>
                <w:szCs w:val="15"/>
                <w:color w:val="auto"/>
              </w:rPr>
            </w:pPr>
          </w:p>
        </w:tc>
      </w:tr>
      <w:tr>
        <w:trPr>
          <w:trHeight w:val="203"/>
        </w:trPr>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Warburg Pincus &amp; Co., its managing member</w:t>
            </w:r>
          </w:p>
        </w:tc>
        <w:tc>
          <w:tcPr>
            <w:tcW w:w="1300" w:type="dxa"/>
            <w:vAlign w:val="bottom"/>
          </w:tcPr>
          <w:p>
            <w:pPr>
              <w:spacing w:after="0"/>
              <w:rPr>
                <w:sz w:val="17"/>
                <w:szCs w:val="17"/>
                <w:color w:val="auto"/>
              </w:rPr>
            </w:pPr>
          </w:p>
        </w:tc>
      </w:tr>
      <w:tr>
        <w:trPr>
          <w:trHeight w:val="360"/>
        </w:trPr>
        <w:tc>
          <w:tcPr>
            <w:tcW w:w="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Harsha G. Marti</w:t>
            </w: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Date: 12/05/2025</w:t>
            </w:r>
          </w:p>
        </w:tc>
      </w:tr>
      <w:tr>
        <w:trPr>
          <w:trHeight w:val="181"/>
        </w:trPr>
        <w:tc>
          <w:tcPr>
            <w:tcW w:w="960" w:type="dxa"/>
            <w:vAlign w:val="bottom"/>
          </w:tcPr>
          <w:p>
            <w:pPr>
              <w:spacing w:after="0"/>
              <w:rPr>
                <w:sz w:val="15"/>
                <w:szCs w:val="15"/>
                <w:color w:val="auto"/>
              </w:rPr>
            </w:pPr>
          </w:p>
        </w:tc>
        <w:tc>
          <w:tcPr>
            <w:tcW w:w="384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130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130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Partner</w:t>
            </w:r>
          </w:p>
        </w:tc>
        <w:tc>
          <w:tcPr>
            <w:tcW w:w="1300" w:type="dxa"/>
            <w:vAlign w:val="bottom"/>
          </w:tcPr>
          <w:p>
            <w:pPr>
              <w:spacing w:after="0"/>
              <w:rPr>
                <w:sz w:val="17"/>
                <w:szCs w:val="17"/>
                <w:color w:val="auto"/>
              </w:rPr>
            </w:pPr>
          </w:p>
        </w:tc>
      </w:tr>
      <w:tr>
        <w:trPr>
          <w:trHeight w:val="540"/>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WARBURG PINCUS PRIVATE EQUITY XI-B, L.P.</w:t>
            </w:r>
          </w:p>
        </w:tc>
        <w:tc>
          <w:tcPr>
            <w:tcW w:w="1300" w:type="dxa"/>
            <w:vAlign w:val="bottom"/>
          </w:tcPr>
          <w:p>
            <w:pPr>
              <w:spacing w:after="0"/>
              <w:rPr>
                <w:sz w:val="24"/>
                <w:szCs w:val="24"/>
                <w:color w:val="auto"/>
              </w:rPr>
            </w:pPr>
          </w:p>
        </w:tc>
      </w:tr>
      <w:tr>
        <w:trPr>
          <w:trHeight w:val="337"/>
        </w:trPr>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Warburg Pincus XI, L.P., its general partner</w:t>
            </w:r>
          </w:p>
        </w:tc>
        <w:tc>
          <w:tcPr>
            <w:tcW w:w="1300" w:type="dxa"/>
            <w:vAlign w:val="bottom"/>
          </w:tcPr>
          <w:p>
            <w:pPr>
              <w:spacing w:after="0"/>
              <w:rPr>
                <w:sz w:val="24"/>
                <w:szCs w:val="24"/>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WP Global LLC, its general partner</w:t>
            </w:r>
          </w:p>
        </w:tc>
        <w:tc>
          <w:tcPr>
            <w:tcW w:w="1300" w:type="dxa"/>
            <w:vAlign w:val="bottom"/>
          </w:tcPr>
          <w:p>
            <w:pPr>
              <w:spacing w:after="0"/>
              <w:rPr>
                <w:sz w:val="15"/>
                <w:szCs w:val="15"/>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Partners II, L.P., its managing member</w:t>
            </w:r>
          </w:p>
        </w:tc>
        <w:tc>
          <w:tcPr>
            <w:tcW w:w="1300" w:type="dxa"/>
            <w:vAlign w:val="bottom"/>
          </w:tcPr>
          <w:p>
            <w:pPr>
              <w:spacing w:after="0"/>
              <w:rPr>
                <w:sz w:val="15"/>
                <w:szCs w:val="15"/>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Partners GP LLC, its general partner</w:t>
            </w:r>
          </w:p>
        </w:tc>
        <w:tc>
          <w:tcPr>
            <w:tcW w:w="1300" w:type="dxa"/>
            <w:vAlign w:val="bottom"/>
          </w:tcPr>
          <w:p>
            <w:pPr>
              <w:spacing w:after="0"/>
              <w:rPr>
                <w:sz w:val="15"/>
                <w:szCs w:val="15"/>
                <w:color w:val="auto"/>
              </w:rPr>
            </w:pPr>
          </w:p>
        </w:tc>
      </w:tr>
      <w:tr>
        <w:trPr>
          <w:trHeight w:val="203"/>
        </w:trPr>
        <w:tc>
          <w:tcPr>
            <w:tcW w:w="960" w:type="dxa"/>
            <w:vAlign w:val="bottom"/>
          </w:tcPr>
          <w:p>
            <w:pPr>
              <w:spacing w:after="0"/>
              <w:rPr>
                <w:sz w:val="17"/>
                <w:szCs w:val="17"/>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Warburg Pincus &amp; Co., its managing member</w:t>
            </w:r>
          </w:p>
        </w:tc>
        <w:tc>
          <w:tcPr>
            <w:tcW w:w="1300" w:type="dxa"/>
            <w:vAlign w:val="bottom"/>
          </w:tcPr>
          <w:p>
            <w:pPr>
              <w:spacing w:after="0"/>
              <w:rPr>
                <w:sz w:val="17"/>
                <w:szCs w:val="17"/>
                <w:color w:val="auto"/>
              </w:rPr>
            </w:pPr>
          </w:p>
        </w:tc>
      </w:tr>
      <w:tr>
        <w:trPr>
          <w:trHeight w:val="360"/>
        </w:trPr>
        <w:tc>
          <w:tcPr>
            <w:tcW w:w="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Harsha G. Marti</w:t>
            </w: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Date: 12/05/2025</w:t>
            </w:r>
          </w:p>
        </w:tc>
      </w:tr>
      <w:tr>
        <w:trPr>
          <w:trHeight w:val="181"/>
        </w:trPr>
        <w:tc>
          <w:tcPr>
            <w:tcW w:w="960" w:type="dxa"/>
            <w:vAlign w:val="bottom"/>
          </w:tcPr>
          <w:p>
            <w:pPr>
              <w:spacing w:after="0"/>
              <w:rPr>
                <w:sz w:val="15"/>
                <w:szCs w:val="15"/>
                <w:color w:val="auto"/>
              </w:rPr>
            </w:pPr>
          </w:p>
        </w:tc>
        <w:tc>
          <w:tcPr>
            <w:tcW w:w="384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130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130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Partner</w:t>
            </w:r>
          </w:p>
        </w:tc>
        <w:tc>
          <w:tcPr>
            <w:tcW w:w="1300" w:type="dxa"/>
            <w:vAlign w:val="bottom"/>
          </w:tcPr>
          <w:p>
            <w:pPr>
              <w:spacing w:after="0"/>
              <w:rPr>
                <w:sz w:val="17"/>
                <w:szCs w:val="17"/>
                <w:color w:val="auto"/>
              </w:rPr>
            </w:pPr>
          </w:p>
        </w:tc>
      </w:tr>
      <w:tr>
        <w:trPr>
          <w:trHeight w:val="540"/>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BULL CO-INVEST, L.P.</w:t>
            </w:r>
          </w:p>
        </w:tc>
        <w:tc>
          <w:tcPr>
            <w:tcW w:w="1300" w:type="dxa"/>
            <w:vAlign w:val="bottom"/>
          </w:tcPr>
          <w:p>
            <w:pPr>
              <w:spacing w:after="0"/>
              <w:rPr>
                <w:sz w:val="24"/>
                <w:szCs w:val="24"/>
                <w:color w:val="auto"/>
              </w:rPr>
            </w:pPr>
          </w:p>
        </w:tc>
      </w:tr>
      <w:tr>
        <w:trPr>
          <w:trHeight w:val="349"/>
        </w:trPr>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WP Bull Manager, LLC, its general partner</w:t>
            </w:r>
          </w:p>
        </w:tc>
        <w:tc>
          <w:tcPr>
            <w:tcW w:w="1300" w:type="dxa"/>
            <w:vAlign w:val="bottom"/>
          </w:tcPr>
          <w:p>
            <w:pPr>
              <w:spacing w:after="0"/>
              <w:rPr>
                <w:sz w:val="24"/>
                <w:szCs w:val="24"/>
                <w:color w:val="auto"/>
              </w:rPr>
            </w:pPr>
          </w:p>
        </w:tc>
      </w:tr>
      <w:tr>
        <w:trPr>
          <w:trHeight w:val="203"/>
        </w:trPr>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Warburg Pincus &amp; Co., its managing member</w:t>
            </w:r>
          </w:p>
        </w:tc>
        <w:tc>
          <w:tcPr>
            <w:tcW w:w="1300" w:type="dxa"/>
            <w:vAlign w:val="bottom"/>
          </w:tcPr>
          <w:p>
            <w:pPr>
              <w:spacing w:after="0"/>
              <w:rPr>
                <w:sz w:val="17"/>
                <w:szCs w:val="17"/>
                <w:color w:val="auto"/>
              </w:rPr>
            </w:pPr>
          </w:p>
        </w:tc>
      </w:tr>
      <w:tr>
        <w:trPr>
          <w:trHeight w:val="360"/>
        </w:trPr>
        <w:tc>
          <w:tcPr>
            <w:tcW w:w="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Harsha G. Marti</w:t>
            </w: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Date: 12/05/2025</w:t>
            </w:r>
          </w:p>
        </w:tc>
      </w:tr>
      <w:tr>
        <w:trPr>
          <w:trHeight w:val="181"/>
        </w:trPr>
        <w:tc>
          <w:tcPr>
            <w:tcW w:w="960" w:type="dxa"/>
            <w:vAlign w:val="bottom"/>
          </w:tcPr>
          <w:p>
            <w:pPr>
              <w:spacing w:after="0"/>
              <w:rPr>
                <w:sz w:val="15"/>
                <w:szCs w:val="15"/>
                <w:color w:val="auto"/>
              </w:rPr>
            </w:pPr>
          </w:p>
        </w:tc>
        <w:tc>
          <w:tcPr>
            <w:tcW w:w="384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130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130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Partner</w:t>
            </w:r>
          </w:p>
        </w:tc>
        <w:tc>
          <w:tcPr>
            <w:tcW w:w="1300" w:type="dxa"/>
            <w:vAlign w:val="bottom"/>
          </w:tcPr>
          <w:p>
            <w:pPr>
              <w:spacing w:after="0"/>
              <w:rPr>
                <w:sz w:val="17"/>
                <w:szCs w:val="17"/>
                <w:color w:val="auto"/>
              </w:rPr>
            </w:pPr>
          </w:p>
        </w:tc>
      </w:tr>
      <w:tr>
        <w:trPr>
          <w:trHeight w:val="540"/>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BULL HOLDCO, L.P.</w:t>
            </w:r>
          </w:p>
        </w:tc>
        <w:tc>
          <w:tcPr>
            <w:tcW w:w="1300" w:type="dxa"/>
            <w:vAlign w:val="bottom"/>
          </w:tcPr>
          <w:p>
            <w:pPr>
              <w:spacing w:after="0"/>
              <w:rPr>
                <w:sz w:val="24"/>
                <w:szCs w:val="24"/>
                <w:color w:val="auto"/>
              </w:rPr>
            </w:pPr>
          </w:p>
        </w:tc>
      </w:tr>
      <w:tr>
        <w:trPr>
          <w:trHeight w:val="337"/>
        </w:trPr>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WP Bull Holdco GP LLC, its general partner</w:t>
            </w:r>
          </w:p>
        </w:tc>
        <w:tc>
          <w:tcPr>
            <w:tcW w:w="1300" w:type="dxa"/>
            <w:vAlign w:val="bottom"/>
          </w:tcPr>
          <w:p>
            <w:pPr>
              <w:spacing w:after="0"/>
              <w:rPr>
                <w:sz w:val="24"/>
                <w:szCs w:val="24"/>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514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Private Equity XI, L.P., its sole and managing member</w:t>
            </w: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XI, L.P., its general partner</w:t>
            </w:r>
          </w:p>
        </w:tc>
        <w:tc>
          <w:tcPr>
            <w:tcW w:w="1300" w:type="dxa"/>
            <w:vAlign w:val="bottom"/>
          </w:tcPr>
          <w:p>
            <w:pPr>
              <w:spacing w:after="0"/>
              <w:rPr>
                <w:sz w:val="15"/>
                <w:szCs w:val="15"/>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WP Global LLC, its general partner</w:t>
            </w:r>
          </w:p>
        </w:tc>
        <w:tc>
          <w:tcPr>
            <w:tcW w:w="1300" w:type="dxa"/>
            <w:vAlign w:val="bottom"/>
          </w:tcPr>
          <w:p>
            <w:pPr>
              <w:spacing w:after="0"/>
              <w:rPr>
                <w:sz w:val="15"/>
                <w:szCs w:val="15"/>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Partners II, L.P., its managing member</w:t>
            </w:r>
          </w:p>
        </w:tc>
        <w:tc>
          <w:tcPr>
            <w:tcW w:w="1300" w:type="dxa"/>
            <w:vAlign w:val="bottom"/>
          </w:tcPr>
          <w:p>
            <w:pPr>
              <w:spacing w:after="0"/>
              <w:rPr>
                <w:sz w:val="15"/>
                <w:szCs w:val="15"/>
                <w:color w:val="auto"/>
              </w:rPr>
            </w:pPr>
          </w:p>
        </w:tc>
      </w:tr>
      <w:tr>
        <w:trPr>
          <w:trHeight w:val="180"/>
        </w:trPr>
        <w:tc>
          <w:tcPr>
            <w:tcW w:w="96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Warburg Pincus Partners GP LLC, its general partner</w:t>
            </w:r>
          </w:p>
        </w:tc>
        <w:tc>
          <w:tcPr>
            <w:tcW w:w="1300" w:type="dxa"/>
            <w:vAlign w:val="bottom"/>
          </w:tcPr>
          <w:p>
            <w:pPr>
              <w:spacing w:after="0"/>
              <w:rPr>
                <w:sz w:val="15"/>
                <w:szCs w:val="15"/>
                <w:color w:val="auto"/>
              </w:rPr>
            </w:pPr>
          </w:p>
        </w:tc>
      </w:tr>
      <w:tr>
        <w:trPr>
          <w:trHeight w:val="203"/>
        </w:trPr>
        <w:tc>
          <w:tcPr>
            <w:tcW w:w="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By: Warburg Pincus &amp; Co., its managing member</w:t>
            </w:r>
          </w:p>
        </w:tc>
        <w:tc>
          <w:tcPr>
            <w:tcW w:w="1300" w:type="dxa"/>
            <w:vAlign w:val="bottom"/>
          </w:tcPr>
          <w:p>
            <w:pPr>
              <w:spacing w:after="0"/>
              <w:rPr>
                <w:sz w:val="17"/>
                <w:szCs w:val="17"/>
                <w:color w:val="auto"/>
              </w:rPr>
            </w:pPr>
          </w:p>
        </w:tc>
      </w:tr>
      <w:tr>
        <w:trPr>
          <w:trHeight w:val="360"/>
        </w:trPr>
        <w:tc>
          <w:tcPr>
            <w:tcW w:w="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Harsha G. Marti</w:t>
            </w: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Date: 12/05/2025</w:t>
            </w:r>
          </w:p>
        </w:tc>
      </w:tr>
      <w:tr>
        <w:trPr>
          <w:trHeight w:val="181"/>
        </w:trPr>
        <w:tc>
          <w:tcPr>
            <w:tcW w:w="960" w:type="dxa"/>
            <w:vAlign w:val="bottom"/>
          </w:tcPr>
          <w:p>
            <w:pPr>
              <w:spacing w:after="0"/>
              <w:rPr>
                <w:sz w:val="15"/>
                <w:szCs w:val="15"/>
                <w:color w:val="auto"/>
              </w:rPr>
            </w:pPr>
          </w:p>
        </w:tc>
        <w:tc>
          <w:tcPr>
            <w:tcW w:w="384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130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130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Partner</w:t>
            </w:r>
          </w:p>
        </w:tc>
        <w:tc>
          <w:tcPr>
            <w:tcW w:w="1300" w:type="dxa"/>
            <w:vAlign w:val="bottom"/>
          </w:tcPr>
          <w:p>
            <w:pPr>
              <w:spacing w:after="0"/>
              <w:rPr>
                <w:sz w:val="17"/>
                <w:szCs w:val="17"/>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WARBURG PINCUS XI, L.P.</w:t>
      </w:r>
    </w:p>
    <w:p>
      <w:pPr>
        <w:spacing w:after="0" w:line="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635635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680"/>
          </w:cols>
          <w:pgMar w:left="780" w:top="1440" w:right="1440" w:bottom="1440" w:gutter="0" w:footer="0" w:header="0"/>
        </w:sectPr>
      </w:pPr>
    </w:p>
    <w:bookmarkStart w:id="5" w:name="page6"/>
    <w:bookmarkEnd w:id="5"/>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WP Global LLC, its general partner</w:t>
            </w:r>
          </w:p>
        </w:tc>
        <w:tc>
          <w:tcPr>
            <w:tcW w:w="1660" w:type="dxa"/>
            <w:vAlign w:val="bottom"/>
          </w:tcPr>
          <w:p>
            <w:pPr>
              <w:spacing w:after="0"/>
              <w:rPr>
                <w:sz w:val="16"/>
                <w:szCs w:val="16"/>
                <w:color w:val="auto"/>
              </w:rPr>
            </w:pPr>
          </w:p>
        </w:tc>
      </w:tr>
      <w:tr>
        <w:trPr>
          <w:trHeight w:val="180"/>
        </w:trPr>
        <w:tc>
          <w:tcPr>
            <w:tcW w:w="520" w:type="dxa"/>
            <w:vAlign w:val="bottom"/>
          </w:tcPr>
          <w:p>
            <w:pPr>
              <w:spacing w:after="0"/>
              <w:rPr>
                <w:sz w:val="15"/>
                <w:szCs w:val="15"/>
                <w:color w:val="auto"/>
              </w:rPr>
            </w:pPr>
          </w:p>
        </w:tc>
        <w:tc>
          <w:tcPr>
            <w:tcW w:w="8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7"/>
              </w:rPr>
              <w:t>Warburg Pincus Partners II, L.P., its managing member</w:t>
            </w:r>
          </w:p>
        </w:tc>
        <w:tc>
          <w:tcPr>
            <w:tcW w:w="1660" w:type="dxa"/>
            <w:vAlign w:val="bottom"/>
          </w:tcPr>
          <w:p>
            <w:pPr>
              <w:spacing w:after="0"/>
              <w:rPr>
                <w:sz w:val="15"/>
                <w:szCs w:val="15"/>
                <w:color w:val="auto"/>
              </w:rPr>
            </w:pPr>
          </w:p>
        </w:tc>
      </w:tr>
      <w:tr>
        <w:trPr>
          <w:trHeight w:val="180"/>
        </w:trPr>
        <w:tc>
          <w:tcPr>
            <w:tcW w:w="520" w:type="dxa"/>
            <w:vAlign w:val="bottom"/>
          </w:tcPr>
          <w:p>
            <w:pPr>
              <w:spacing w:after="0"/>
              <w:rPr>
                <w:sz w:val="15"/>
                <w:szCs w:val="15"/>
                <w:color w:val="auto"/>
              </w:rPr>
            </w:pPr>
          </w:p>
        </w:tc>
        <w:tc>
          <w:tcPr>
            <w:tcW w:w="8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Warburg Pincus Partners GP LLC, its general partner</w:t>
            </w:r>
          </w:p>
        </w:tc>
        <w:tc>
          <w:tcPr>
            <w:tcW w:w="1660" w:type="dxa"/>
            <w:vAlign w:val="bottom"/>
          </w:tcPr>
          <w:p>
            <w:pPr>
              <w:spacing w:after="0"/>
              <w:rPr>
                <w:sz w:val="15"/>
                <w:szCs w:val="15"/>
                <w:color w:val="auto"/>
              </w:rPr>
            </w:pPr>
          </w:p>
        </w:tc>
      </w:tr>
      <w:tr>
        <w:trPr>
          <w:trHeight w:val="203"/>
        </w:trPr>
        <w:tc>
          <w:tcPr>
            <w:tcW w:w="5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Warburg Pincus &amp; Co., its managing member</w:t>
            </w:r>
          </w:p>
        </w:tc>
        <w:tc>
          <w:tcPr>
            <w:tcW w:w="1660" w:type="dxa"/>
            <w:vAlign w:val="bottom"/>
          </w:tcPr>
          <w:p>
            <w:pPr>
              <w:spacing w:after="0"/>
              <w:rPr>
                <w:sz w:val="17"/>
                <w:szCs w:val="17"/>
                <w:color w:val="auto"/>
              </w:rPr>
            </w:pPr>
          </w:p>
        </w:tc>
      </w:tr>
      <w:tr>
        <w:trPr>
          <w:trHeight w:val="360"/>
        </w:trPr>
        <w:tc>
          <w:tcPr>
            <w:tcW w:w="52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 Harsha G. Marti</w:t>
            </w:r>
          </w:p>
        </w:tc>
        <w:tc>
          <w:tcPr>
            <w:tcW w:w="1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Date: 12/05/2025</w:t>
            </w:r>
          </w:p>
        </w:tc>
      </w:tr>
      <w:tr>
        <w:trPr>
          <w:trHeight w:val="181"/>
        </w:trPr>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1660" w:type="dxa"/>
            <w:vAlign w:val="bottom"/>
          </w:tcPr>
          <w:p>
            <w:pPr>
              <w:spacing w:after="0"/>
              <w:rPr>
                <w:sz w:val="15"/>
                <w:szCs w:val="15"/>
                <w:color w:val="auto"/>
              </w:rPr>
            </w:pPr>
          </w:p>
        </w:tc>
      </w:tr>
      <w:tr>
        <w:trPr>
          <w:trHeight w:val="180"/>
        </w:trPr>
        <w:tc>
          <w:tcPr>
            <w:tcW w:w="5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880" w:type="dxa"/>
            <w:vAlign w:val="bottom"/>
          </w:tcPr>
          <w:p>
            <w:pPr>
              <w:spacing w:after="0"/>
              <w:rPr>
                <w:sz w:val="15"/>
                <w:szCs w:val="15"/>
                <w:color w:val="auto"/>
              </w:rPr>
            </w:pP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1660" w:type="dxa"/>
            <w:vAlign w:val="bottom"/>
          </w:tcPr>
          <w:p>
            <w:pPr>
              <w:spacing w:after="0"/>
              <w:rPr>
                <w:sz w:val="15"/>
                <w:szCs w:val="15"/>
                <w:color w:val="auto"/>
              </w:rPr>
            </w:pPr>
          </w:p>
        </w:tc>
      </w:tr>
      <w:tr>
        <w:trPr>
          <w:trHeight w:val="203"/>
        </w:trPr>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Title:</w:t>
            </w:r>
          </w:p>
        </w:tc>
        <w:tc>
          <w:tcPr>
            <w:tcW w:w="88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Partner</w:t>
            </w:r>
          </w:p>
        </w:tc>
        <w:tc>
          <w:tcPr>
            <w:tcW w:w="1660" w:type="dxa"/>
            <w:vAlign w:val="bottom"/>
          </w:tcPr>
          <w:p>
            <w:pPr>
              <w:spacing w:after="0"/>
              <w:rPr>
                <w:sz w:val="17"/>
                <w:szCs w:val="17"/>
                <w:color w:val="auto"/>
              </w:rPr>
            </w:pPr>
          </w:p>
        </w:tc>
      </w:tr>
      <w:tr>
        <w:trPr>
          <w:trHeight w:val="517"/>
        </w:trPr>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7"/>
              </w:rPr>
              <w:t>WP GLOBAL LLC</w:t>
            </w:r>
          </w:p>
        </w:tc>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0"/>
        </w:trPr>
        <w:tc>
          <w:tcPr>
            <w:tcW w:w="5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880" w:type="dxa"/>
            <w:vAlign w:val="bottom"/>
          </w:tcPr>
          <w:p>
            <w:pPr>
              <w:spacing w:after="0"/>
              <w:rPr>
                <w:sz w:val="15"/>
                <w:szCs w:val="15"/>
                <w:color w:val="auto"/>
              </w:rPr>
            </w:pP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7"/>
              </w:rPr>
              <w:t>Warburg Pincus Partners II, L.P., its managing member</w:t>
            </w:r>
          </w:p>
        </w:tc>
        <w:tc>
          <w:tcPr>
            <w:tcW w:w="1660" w:type="dxa"/>
            <w:vAlign w:val="bottom"/>
          </w:tcPr>
          <w:p>
            <w:pPr>
              <w:spacing w:after="0"/>
              <w:rPr>
                <w:sz w:val="15"/>
                <w:szCs w:val="15"/>
                <w:color w:val="auto"/>
              </w:rPr>
            </w:pPr>
          </w:p>
        </w:tc>
      </w:tr>
      <w:tr>
        <w:trPr>
          <w:trHeight w:val="180"/>
        </w:trPr>
        <w:tc>
          <w:tcPr>
            <w:tcW w:w="5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880" w:type="dxa"/>
            <w:vAlign w:val="bottom"/>
          </w:tcPr>
          <w:p>
            <w:pPr>
              <w:spacing w:after="0"/>
              <w:rPr>
                <w:sz w:val="15"/>
                <w:szCs w:val="15"/>
                <w:color w:val="auto"/>
              </w:rPr>
            </w:pP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Warburg Pincus Partners GP LLC, its general partner</w:t>
            </w:r>
          </w:p>
        </w:tc>
        <w:tc>
          <w:tcPr>
            <w:tcW w:w="1660" w:type="dxa"/>
            <w:vAlign w:val="bottom"/>
          </w:tcPr>
          <w:p>
            <w:pPr>
              <w:spacing w:after="0"/>
              <w:rPr>
                <w:sz w:val="15"/>
                <w:szCs w:val="15"/>
                <w:color w:val="auto"/>
              </w:rPr>
            </w:pPr>
          </w:p>
        </w:tc>
      </w:tr>
      <w:tr>
        <w:trPr>
          <w:trHeight w:val="203"/>
        </w:trPr>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By:</w:t>
            </w:r>
          </w:p>
        </w:tc>
        <w:tc>
          <w:tcPr>
            <w:tcW w:w="88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Warburg Pincus &amp; Co., its managing member</w:t>
            </w:r>
          </w:p>
        </w:tc>
        <w:tc>
          <w:tcPr>
            <w:tcW w:w="1660" w:type="dxa"/>
            <w:vAlign w:val="bottom"/>
          </w:tcPr>
          <w:p>
            <w:pPr>
              <w:spacing w:after="0"/>
              <w:rPr>
                <w:sz w:val="17"/>
                <w:szCs w:val="17"/>
                <w:color w:val="auto"/>
              </w:rPr>
            </w:pPr>
          </w:p>
        </w:tc>
      </w:tr>
      <w:tr>
        <w:trPr>
          <w:trHeight w:val="360"/>
        </w:trPr>
        <w:tc>
          <w:tcPr>
            <w:tcW w:w="52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 Harsha G. Marti</w:t>
            </w:r>
          </w:p>
        </w:tc>
        <w:tc>
          <w:tcPr>
            <w:tcW w:w="166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8"/>
              </w:rPr>
              <w:t>Date: 12/05/2025</w:t>
            </w:r>
          </w:p>
        </w:tc>
      </w:tr>
      <w:tr>
        <w:trPr>
          <w:trHeight w:val="181"/>
        </w:trPr>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1660" w:type="dxa"/>
            <w:vAlign w:val="bottom"/>
          </w:tcPr>
          <w:p>
            <w:pPr>
              <w:spacing w:after="0"/>
              <w:rPr>
                <w:sz w:val="15"/>
                <w:szCs w:val="15"/>
                <w:color w:val="auto"/>
              </w:rPr>
            </w:pPr>
          </w:p>
        </w:tc>
      </w:tr>
      <w:tr>
        <w:trPr>
          <w:trHeight w:val="180"/>
        </w:trPr>
        <w:tc>
          <w:tcPr>
            <w:tcW w:w="5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880" w:type="dxa"/>
            <w:vAlign w:val="bottom"/>
          </w:tcPr>
          <w:p>
            <w:pPr>
              <w:spacing w:after="0"/>
              <w:rPr>
                <w:sz w:val="15"/>
                <w:szCs w:val="15"/>
                <w:color w:val="auto"/>
              </w:rPr>
            </w:pP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1660" w:type="dxa"/>
            <w:vAlign w:val="bottom"/>
          </w:tcPr>
          <w:p>
            <w:pPr>
              <w:spacing w:after="0"/>
              <w:rPr>
                <w:sz w:val="15"/>
                <w:szCs w:val="15"/>
                <w:color w:val="auto"/>
              </w:rPr>
            </w:pPr>
          </w:p>
        </w:tc>
      </w:tr>
      <w:tr>
        <w:trPr>
          <w:trHeight w:val="203"/>
        </w:trPr>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Title:</w:t>
            </w:r>
          </w:p>
        </w:tc>
        <w:tc>
          <w:tcPr>
            <w:tcW w:w="88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Partner</w:t>
            </w:r>
          </w:p>
        </w:tc>
        <w:tc>
          <w:tcPr>
            <w:tcW w:w="1660" w:type="dxa"/>
            <w:vAlign w:val="bottom"/>
          </w:tcPr>
          <w:p>
            <w:pPr>
              <w:spacing w:after="0"/>
              <w:rPr>
                <w:sz w:val="17"/>
                <w:szCs w:val="17"/>
                <w:color w:val="auto"/>
              </w:rPr>
            </w:pPr>
          </w:p>
        </w:tc>
      </w:tr>
      <w:tr>
        <w:trPr>
          <w:trHeight w:val="517"/>
        </w:trPr>
        <w:tc>
          <w:tcPr>
            <w:tcW w:w="50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WARBURG PINCUS PARTNERS II, L.P.</w:t>
            </w:r>
          </w:p>
        </w:tc>
        <w:tc>
          <w:tcPr>
            <w:tcW w:w="1660" w:type="dxa"/>
            <w:vAlign w:val="bottom"/>
          </w:tcPr>
          <w:p>
            <w:pPr>
              <w:spacing w:after="0"/>
              <w:rPr>
                <w:sz w:val="24"/>
                <w:szCs w:val="24"/>
                <w:color w:val="auto"/>
              </w:rPr>
            </w:pPr>
          </w:p>
        </w:tc>
      </w:tr>
      <w:tr>
        <w:trPr>
          <w:trHeight w:val="180"/>
        </w:trPr>
        <w:tc>
          <w:tcPr>
            <w:tcW w:w="5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880" w:type="dxa"/>
            <w:vAlign w:val="bottom"/>
          </w:tcPr>
          <w:p>
            <w:pPr>
              <w:spacing w:after="0"/>
              <w:rPr>
                <w:sz w:val="15"/>
                <w:szCs w:val="15"/>
                <w:color w:val="auto"/>
              </w:rPr>
            </w:pP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Warburg Pincus Partners GP LLC, its general partner</w:t>
            </w:r>
          </w:p>
        </w:tc>
        <w:tc>
          <w:tcPr>
            <w:tcW w:w="1660" w:type="dxa"/>
            <w:vAlign w:val="bottom"/>
          </w:tcPr>
          <w:p>
            <w:pPr>
              <w:spacing w:after="0"/>
              <w:rPr>
                <w:sz w:val="15"/>
                <w:szCs w:val="15"/>
                <w:color w:val="auto"/>
              </w:rPr>
            </w:pPr>
          </w:p>
        </w:tc>
      </w:tr>
      <w:tr>
        <w:trPr>
          <w:trHeight w:val="203"/>
        </w:trPr>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By:</w:t>
            </w:r>
          </w:p>
        </w:tc>
        <w:tc>
          <w:tcPr>
            <w:tcW w:w="88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Warburg Pincus &amp; Co., its managing member</w:t>
            </w:r>
          </w:p>
        </w:tc>
        <w:tc>
          <w:tcPr>
            <w:tcW w:w="1660" w:type="dxa"/>
            <w:vAlign w:val="bottom"/>
          </w:tcPr>
          <w:p>
            <w:pPr>
              <w:spacing w:after="0"/>
              <w:rPr>
                <w:sz w:val="17"/>
                <w:szCs w:val="17"/>
                <w:color w:val="auto"/>
              </w:rPr>
            </w:pPr>
          </w:p>
        </w:tc>
      </w:tr>
      <w:tr>
        <w:trPr>
          <w:trHeight w:val="360"/>
        </w:trPr>
        <w:tc>
          <w:tcPr>
            <w:tcW w:w="52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 Harsha G. Marti</w:t>
            </w:r>
          </w:p>
        </w:tc>
        <w:tc>
          <w:tcPr>
            <w:tcW w:w="166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8"/>
              </w:rPr>
              <w:t>Date: 12/05/2025</w:t>
            </w:r>
          </w:p>
        </w:tc>
      </w:tr>
      <w:tr>
        <w:trPr>
          <w:trHeight w:val="181"/>
        </w:trPr>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1660" w:type="dxa"/>
            <w:vAlign w:val="bottom"/>
          </w:tcPr>
          <w:p>
            <w:pPr>
              <w:spacing w:after="0"/>
              <w:rPr>
                <w:sz w:val="15"/>
                <w:szCs w:val="15"/>
                <w:color w:val="auto"/>
              </w:rPr>
            </w:pPr>
          </w:p>
        </w:tc>
      </w:tr>
      <w:tr>
        <w:trPr>
          <w:trHeight w:val="180"/>
        </w:trPr>
        <w:tc>
          <w:tcPr>
            <w:tcW w:w="5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880" w:type="dxa"/>
            <w:vAlign w:val="bottom"/>
          </w:tcPr>
          <w:p>
            <w:pPr>
              <w:spacing w:after="0"/>
              <w:rPr>
                <w:sz w:val="15"/>
                <w:szCs w:val="15"/>
                <w:color w:val="auto"/>
              </w:rPr>
            </w:pPr>
          </w:p>
        </w:tc>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1660" w:type="dxa"/>
            <w:vAlign w:val="bottom"/>
          </w:tcPr>
          <w:p>
            <w:pPr>
              <w:spacing w:after="0"/>
              <w:rPr>
                <w:sz w:val="15"/>
                <w:szCs w:val="15"/>
                <w:color w:val="auto"/>
              </w:rPr>
            </w:pPr>
          </w:p>
        </w:tc>
      </w:tr>
      <w:tr>
        <w:trPr>
          <w:trHeight w:val="178"/>
        </w:trPr>
        <w:tc>
          <w:tcPr>
            <w:tcW w:w="520" w:type="dxa"/>
            <w:vAlign w:val="bottom"/>
          </w:tcPr>
          <w:p>
            <w:pPr>
              <w:ind w:left="60"/>
              <w:spacing w:after="0" w:line="178" w:lineRule="exact"/>
              <w:rPr>
                <w:sz w:val="20"/>
                <w:szCs w:val="20"/>
                <w:color w:val="auto"/>
              </w:rPr>
            </w:pPr>
            <w:r>
              <w:rPr>
                <w:rFonts w:ascii="Times New Roman" w:cs="Times New Roman" w:eastAsia="Times New Roman" w:hAnsi="Times New Roman"/>
                <w:sz w:val="16"/>
                <w:szCs w:val="16"/>
                <w:color w:val="auto"/>
              </w:rPr>
              <w:t>Title:</w:t>
            </w:r>
          </w:p>
        </w:tc>
        <w:tc>
          <w:tcPr>
            <w:tcW w:w="880" w:type="dxa"/>
            <w:vAlign w:val="bottom"/>
          </w:tcPr>
          <w:p>
            <w:pPr>
              <w:spacing w:after="0"/>
              <w:rPr>
                <w:sz w:val="15"/>
                <w:szCs w:val="15"/>
                <w:color w:val="auto"/>
              </w:rPr>
            </w:pPr>
          </w:p>
        </w:tc>
        <w:tc>
          <w:tcPr>
            <w:tcW w:w="3600" w:type="dxa"/>
            <w:vAlign w:val="bottom"/>
          </w:tcPr>
          <w:p>
            <w:pPr>
              <w:ind w:left="100"/>
              <w:spacing w:after="0" w:line="178" w:lineRule="exact"/>
              <w:rPr>
                <w:sz w:val="20"/>
                <w:szCs w:val="20"/>
                <w:color w:val="auto"/>
              </w:rPr>
            </w:pPr>
            <w:r>
              <w:rPr>
                <w:rFonts w:ascii="Times New Roman" w:cs="Times New Roman" w:eastAsia="Times New Roman" w:hAnsi="Times New Roman"/>
                <w:sz w:val="16"/>
                <w:szCs w:val="16"/>
                <w:color w:val="auto"/>
              </w:rPr>
              <w:t>Managing Director</w:t>
            </w:r>
          </w:p>
        </w:tc>
        <w:tc>
          <w:tcPr>
            <w:tcW w:w="1660" w:type="dxa"/>
            <w:vAlign w:val="bottom"/>
          </w:tcPr>
          <w:p>
            <w:pPr>
              <w:spacing w:after="0"/>
              <w:rPr>
                <w:sz w:val="15"/>
                <w:szCs w:val="15"/>
                <w:color w:val="auto"/>
              </w:rPr>
            </w:pPr>
          </w:p>
        </w:tc>
      </w:tr>
      <w:tr>
        <w:trPr>
          <w:trHeight w:val="205"/>
        </w:trPr>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WARBURG PINCUS PRIVATE EQUITY XI-C, L.P.</w:t>
            </w:r>
          </w:p>
        </w:tc>
        <w:tc>
          <w:tcPr>
            <w:tcW w:w="1660" w:type="dxa"/>
            <w:vAlign w:val="bottom"/>
          </w:tcPr>
          <w:p>
            <w:pPr>
              <w:spacing w:after="0"/>
              <w:rPr>
                <w:sz w:val="17"/>
                <w:szCs w:val="17"/>
                <w:color w:val="auto"/>
              </w:rPr>
            </w:pPr>
          </w:p>
        </w:tc>
      </w:tr>
      <w:tr>
        <w:trPr>
          <w:trHeight w:val="337"/>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Warburg Pincus (Cayman) XI, L.P., its general partner</w:t>
            </w:r>
          </w:p>
        </w:tc>
        <w:tc>
          <w:tcPr>
            <w:tcW w:w="1660" w:type="dxa"/>
            <w:vAlign w:val="bottom"/>
          </w:tcPr>
          <w:p>
            <w:pPr>
              <w:spacing w:after="0"/>
              <w:rPr>
                <w:sz w:val="24"/>
                <w:szCs w:val="24"/>
                <w:color w:val="auto"/>
              </w:rPr>
            </w:pPr>
          </w:p>
        </w:tc>
      </w:tr>
      <w:tr>
        <w:trPr>
          <w:trHeight w:val="180"/>
        </w:trPr>
        <w:tc>
          <w:tcPr>
            <w:tcW w:w="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448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auto"/>
              </w:rPr>
              <w:t>Warburg Pincus XI-C, LLC, its general partner</w:t>
            </w:r>
          </w:p>
        </w:tc>
        <w:tc>
          <w:tcPr>
            <w:tcW w:w="1660" w:type="dxa"/>
            <w:vAlign w:val="bottom"/>
          </w:tcPr>
          <w:p>
            <w:pPr>
              <w:spacing w:after="0"/>
              <w:rPr>
                <w:sz w:val="15"/>
                <w:szCs w:val="15"/>
                <w:color w:val="auto"/>
              </w:rPr>
            </w:pPr>
          </w:p>
        </w:tc>
      </w:tr>
      <w:tr>
        <w:trPr>
          <w:trHeight w:val="180"/>
        </w:trPr>
        <w:tc>
          <w:tcPr>
            <w:tcW w:w="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448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auto"/>
              </w:rPr>
              <w:t>Warburg Pincus Partners II (Cayman), L.P., its managing member</w:t>
            </w:r>
          </w:p>
        </w:tc>
        <w:tc>
          <w:tcPr>
            <w:tcW w:w="1660" w:type="dxa"/>
            <w:vAlign w:val="bottom"/>
          </w:tcPr>
          <w:p>
            <w:pPr>
              <w:spacing w:after="0"/>
              <w:rPr>
                <w:sz w:val="15"/>
                <w:szCs w:val="15"/>
                <w:color w:val="auto"/>
              </w:rPr>
            </w:pP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61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Warburg Pincus (Bermuda) Private Equity GP Ltd., its general partner</w:t>
            </w:r>
          </w:p>
        </w:tc>
      </w:tr>
      <w:tr>
        <w:trPr>
          <w:trHeight w:val="36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 Harsha G. Marti</w:t>
            </w:r>
          </w:p>
        </w:tc>
        <w:tc>
          <w:tcPr>
            <w:tcW w:w="1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12/05/2025</w:t>
            </w:r>
          </w:p>
        </w:tc>
      </w:tr>
    </w:tbl>
    <w:p>
      <w:pPr>
        <w:spacing w:after="0" w:line="1" w:lineRule="exact"/>
        <w:rPr>
          <w:sz w:val="20"/>
          <w:szCs w:val="20"/>
          <w:color w:val="auto"/>
        </w:rPr>
      </w:pPr>
    </w:p>
    <w:p>
      <w:pPr>
        <w:ind w:right="7800" w:firstLine="678"/>
        <w:spacing w:after="0" w:line="246" w:lineRule="auto"/>
        <w:tabs>
          <w:tab w:leader="none" w:pos="86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Signature of Reporting Person Name: Harsha G. Marti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Authorised Signatory</w:t>
            </w:r>
          </w:p>
        </w:tc>
        <w:tc>
          <w:tcPr>
            <w:tcW w:w="5640" w:type="dxa"/>
            <w:vAlign w:val="bottom"/>
          </w:tcPr>
          <w:p>
            <w:pPr>
              <w:spacing w:after="0"/>
              <w:rPr>
                <w:sz w:val="17"/>
                <w:szCs w:val="17"/>
                <w:color w:val="auto"/>
              </w:rPr>
            </w:pPr>
          </w:p>
        </w:tc>
      </w:tr>
      <w:tr>
        <w:trPr>
          <w:trHeight w:val="522"/>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WARBURG PINCUS (CAYMAN) XI, L.P.</w:t>
            </w:r>
          </w:p>
        </w:tc>
        <w:tc>
          <w:tcPr>
            <w:tcW w:w="5640" w:type="dxa"/>
            <w:vAlign w:val="bottom"/>
          </w:tcPr>
          <w:p>
            <w:pPr>
              <w:spacing w:after="0"/>
              <w:rPr>
                <w:sz w:val="24"/>
                <w:szCs w:val="24"/>
                <w:color w:val="auto"/>
              </w:rPr>
            </w:pPr>
          </w:p>
        </w:tc>
      </w:tr>
      <w:tr>
        <w:trPr>
          <w:trHeight w:val="337"/>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Warburg Pincus XI-C, LLC, its general partner</w:t>
            </w:r>
          </w:p>
        </w:tc>
        <w:tc>
          <w:tcPr>
            <w:tcW w:w="5640" w:type="dxa"/>
            <w:vAlign w:val="bottom"/>
          </w:tcPr>
          <w:p>
            <w:pPr>
              <w:spacing w:after="0"/>
              <w:rPr>
                <w:sz w:val="24"/>
                <w:szCs w:val="24"/>
                <w:color w:val="auto"/>
              </w:rPr>
            </w:pP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4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w w:val="99"/>
              </w:rPr>
              <w:t>Warburg Pincus Partners II (Cayman), L.P., its managing member</w:t>
            </w:r>
          </w:p>
        </w:tc>
        <w:tc>
          <w:tcPr>
            <w:tcW w:w="5640" w:type="dxa"/>
            <w:vAlign w:val="bottom"/>
          </w:tcPr>
          <w:p>
            <w:pPr>
              <w:spacing w:after="0"/>
              <w:rPr>
                <w:sz w:val="15"/>
                <w:szCs w:val="15"/>
                <w:color w:val="auto"/>
              </w:rPr>
            </w:pP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Warburg Pincus (Bermuda) Private Equity GP Ltd., its general partner</w:t>
            </w:r>
          </w:p>
        </w:tc>
      </w:tr>
      <w:tr>
        <w:trPr>
          <w:trHeight w:val="36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Harsha G. Marti</w:t>
            </w:r>
          </w:p>
        </w:tc>
        <w:tc>
          <w:tcPr>
            <w:tcW w:w="5640" w:type="dxa"/>
            <w:vAlign w:val="bottom"/>
          </w:tcPr>
          <w:p>
            <w:pPr>
              <w:jc w:val="right"/>
              <w:ind w:right="4313"/>
              <w:spacing w:after="0"/>
              <w:rPr>
                <w:sz w:val="20"/>
                <w:szCs w:val="20"/>
                <w:color w:val="auto"/>
              </w:rPr>
            </w:pPr>
            <w:r>
              <w:rPr>
                <w:rFonts w:ascii="Times New Roman" w:cs="Times New Roman" w:eastAsia="Times New Roman" w:hAnsi="Times New Roman"/>
                <w:sz w:val="16"/>
                <w:szCs w:val="16"/>
                <w:color w:val="auto"/>
              </w:rPr>
              <w:t>Date: 12/05/2025</w:t>
            </w:r>
          </w:p>
        </w:tc>
      </w:tr>
      <w:tr>
        <w:trPr>
          <w:trHeight w:val="181"/>
        </w:trPr>
        <w:tc>
          <w:tcPr>
            <w:tcW w:w="540" w:type="dxa"/>
            <w:vAlign w:val="bottom"/>
          </w:tcPr>
          <w:p>
            <w:pPr>
              <w:spacing w:after="0"/>
              <w:rPr>
                <w:sz w:val="15"/>
                <w:szCs w:val="15"/>
                <w:color w:val="auto"/>
              </w:rPr>
            </w:pPr>
          </w:p>
        </w:tc>
        <w:tc>
          <w:tcPr>
            <w:tcW w:w="438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5640" w:type="dxa"/>
            <w:vAlign w:val="bottom"/>
          </w:tcPr>
          <w:p>
            <w:pPr>
              <w:spacing w:after="0"/>
              <w:rPr>
                <w:sz w:val="15"/>
                <w:szCs w:val="15"/>
                <w:color w:val="auto"/>
              </w:rPr>
            </w:pP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4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5640" w:type="dxa"/>
            <w:vAlign w:val="bottom"/>
          </w:tcPr>
          <w:p>
            <w:pPr>
              <w:spacing w:after="0"/>
              <w:rPr>
                <w:sz w:val="15"/>
                <w:szCs w:val="15"/>
                <w:color w:val="auto"/>
              </w:rPr>
            </w:pP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Authorised Signatory</w:t>
            </w:r>
          </w:p>
        </w:tc>
        <w:tc>
          <w:tcPr>
            <w:tcW w:w="5640" w:type="dxa"/>
            <w:vAlign w:val="bottom"/>
          </w:tcPr>
          <w:p>
            <w:pPr>
              <w:spacing w:after="0"/>
              <w:rPr>
                <w:sz w:val="17"/>
                <w:szCs w:val="17"/>
                <w:color w:val="auto"/>
              </w:rPr>
            </w:pPr>
          </w:p>
        </w:tc>
      </w:tr>
      <w:tr>
        <w:trPr>
          <w:trHeight w:val="408"/>
        </w:trPr>
        <w:tc>
          <w:tcPr>
            <w:tcW w:w="5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640" w:type="dxa"/>
            <w:vAlign w:val="bottom"/>
          </w:tcPr>
          <w:p>
            <w:pPr>
              <w:jc w:val="right"/>
              <w:ind w:right="5113"/>
              <w:spacing w:after="0"/>
              <w:rPr>
                <w:sz w:val="20"/>
                <w:szCs w:val="20"/>
                <w:color w:val="auto"/>
              </w:rPr>
            </w:pPr>
            <w:r>
              <w:rPr>
                <w:rFonts w:ascii="Times New Roman" w:cs="Times New Roman" w:eastAsia="Times New Roman" w:hAnsi="Times New Roman"/>
                <w:sz w:val="19"/>
                <w:szCs w:val="19"/>
                <w:color w:val="auto"/>
              </w:rPr>
              <w:t>3</w:t>
            </w:r>
          </w:p>
        </w:tc>
      </w:tr>
      <w:tr>
        <w:trPr>
          <w:trHeight w:val="1022"/>
        </w:trPr>
        <w:tc>
          <w:tcPr>
            <w:tcW w:w="540" w:type="dxa"/>
            <w:vAlign w:val="bottom"/>
            <w:tcBorders>
              <w:bottom w:val="single" w:sz="8" w:color="EEEEEE"/>
            </w:tcBorders>
          </w:tcPr>
          <w:p>
            <w:pPr>
              <w:spacing w:after="0"/>
              <w:rPr>
                <w:sz w:val="24"/>
                <w:szCs w:val="24"/>
                <w:color w:val="auto"/>
              </w:rPr>
            </w:pPr>
          </w:p>
        </w:tc>
        <w:tc>
          <w:tcPr>
            <w:tcW w:w="4380" w:type="dxa"/>
            <w:vAlign w:val="bottom"/>
            <w:tcBorders>
              <w:bottom w:val="single" w:sz="8" w:color="EEEEEE"/>
            </w:tcBorders>
          </w:tcPr>
          <w:p>
            <w:pPr>
              <w:spacing w:after="0"/>
              <w:rPr>
                <w:sz w:val="24"/>
                <w:szCs w:val="24"/>
                <w:color w:val="auto"/>
              </w:rPr>
            </w:pPr>
          </w:p>
        </w:tc>
        <w:tc>
          <w:tcPr>
            <w:tcW w:w="56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WARBURG PINCUS XI-C, LLC</w:t>
      </w:r>
    </w:p>
    <w:p>
      <w:pPr>
        <w:sectPr>
          <w:pgSz w:w="11900" w:h="16840" w:orient="portrait"/>
          <w:cols w:equalWidth="0" w:num="1">
            <w:col w:w="10560"/>
          </w:cols>
          <w:pgMar w:left="660" w:top="1440" w:right="680" w:bottom="144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Warburg Pincus Partners II (Cayman), L.P., its managing member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Warburg Pincus (Bermuda) Private Equity GP Ltd., its general partner</w:t>
      </w:r>
    </w:p>
    <w:p>
      <w:pPr>
        <w:spacing w:after="0" w:line="181" w:lineRule="exact"/>
        <w:rPr>
          <w:sz w:val="20"/>
          <w:szCs w:val="20"/>
          <w:color w:val="auto"/>
        </w:rPr>
      </w:pPr>
    </w:p>
    <w:p>
      <w:pPr>
        <w:sectPr>
          <w:pgSz w:w="11900" w:h="16840" w:orient="portrait"/>
          <w:cols w:equalWidth="0" w:num="2">
            <w:col w:w="240" w:space="420"/>
            <w:col w:w="9900"/>
          </w:cols>
          <w:pgMar w:left="660" w:top="1440"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 Harsha G. Marti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Date: 12/05/2025</w:t>
      </w:r>
    </w:p>
    <w:p>
      <w:pPr>
        <w:spacing w:after="0" w:line="20" w:lineRule="exact"/>
        <w:rPr>
          <w:sz w:val="20"/>
          <w:szCs w:val="20"/>
          <w:color w:val="auto"/>
        </w:rPr>
      </w:pPr>
    </w:p>
    <w:p>
      <w:pPr>
        <w:sectPr>
          <w:pgSz w:w="11900" w:h="16840" w:orient="portrait"/>
          <w:cols w:equalWidth="0" w:num="3">
            <w:col w:w="240" w:space="420"/>
            <w:col w:w="3600" w:space="720"/>
            <w:col w:w="5580"/>
          </w:cols>
          <w:pgMar w:left="660" w:top="1440" w:right="680" w:bottom="1440" w:gutter="0" w:footer="0" w:header="0"/>
          <w:type w:val="continuous"/>
        </w:sectPr>
      </w:pPr>
    </w:p>
    <w:p>
      <w:pPr>
        <w:ind w:right="7820" w:firstLine="654"/>
        <w:spacing w:after="0" w:line="246" w:lineRule="auto"/>
        <w:tabs>
          <w:tab w:leader="none" w:pos="84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Signature of Reporting Person Name: Harsha G. Marti</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w:t>
      </w:r>
      <w:r>
        <w:rPr>
          <w:rFonts w:ascii="Times New Roman" w:cs="Times New Roman" w:eastAsia="Times New Roman" w:hAnsi="Times New Roman"/>
          <w:sz w:val="14"/>
          <w:szCs w:val="14"/>
          <w:color w:val="auto"/>
        </w:rPr>
        <w:t>Authorised Signatory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WARBURG PINCUS PARTNERS II (CAYMAN), L.P.</w:t>
      </w:r>
    </w:p>
    <w:p>
      <w:pPr>
        <w:sectPr>
          <w:pgSz w:w="11900" w:h="16840" w:orient="portrait"/>
          <w:cols w:equalWidth="0" w:num="1">
            <w:col w:w="10560"/>
          </w:cols>
          <w:pgMar w:left="660" w:top="1440" w:right="68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Warburg Pincus (Bermuda) Private Equity GP Ltd., its general partner</w:t>
      </w:r>
    </w:p>
    <w:p>
      <w:pPr>
        <w:spacing w:after="0" w:line="199" w:lineRule="exact"/>
        <w:rPr>
          <w:sz w:val="20"/>
          <w:szCs w:val="20"/>
          <w:color w:val="auto"/>
        </w:rPr>
      </w:pPr>
    </w:p>
    <w:p>
      <w:pPr>
        <w:sectPr>
          <w:pgSz w:w="11900" w:h="16840" w:orient="portrait"/>
          <w:cols w:equalWidth="0" w:num="2">
            <w:col w:w="240" w:space="420"/>
            <w:col w:w="9900"/>
          </w:cols>
          <w:pgMar w:left="660" w:top="1440"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 Harsha G. Marti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Date: 12/05/2025</w:t>
      </w:r>
    </w:p>
    <w:p>
      <w:pPr>
        <w:spacing w:after="0" w:line="20" w:lineRule="exact"/>
        <w:rPr>
          <w:sz w:val="20"/>
          <w:szCs w:val="20"/>
          <w:color w:val="auto"/>
        </w:rPr>
      </w:pPr>
    </w:p>
    <w:p>
      <w:pPr>
        <w:sectPr>
          <w:pgSz w:w="11900" w:h="16840" w:orient="portrait"/>
          <w:cols w:equalWidth="0" w:num="3">
            <w:col w:w="240" w:space="420"/>
            <w:col w:w="3640" w:space="720"/>
            <w:col w:w="5540"/>
          </w:cols>
          <w:pgMar w:left="660" w:top="1440" w:right="680" w:bottom="1440" w:gutter="0" w:footer="0" w:header="0"/>
          <w:type w:val="continuous"/>
        </w:sectPr>
      </w:pPr>
    </w:p>
    <w:p>
      <w:pPr>
        <w:ind w:right="7820" w:firstLine="654"/>
        <w:spacing w:after="0" w:line="246" w:lineRule="auto"/>
        <w:tabs>
          <w:tab w:leader="none" w:pos="84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Signature of Reporting Person Name: Harsha G. Marti</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w:t>
      </w:r>
      <w:r>
        <w:rPr>
          <w:rFonts w:ascii="Times New Roman" w:cs="Times New Roman" w:eastAsia="Times New Roman" w:hAnsi="Times New Roman"/>
          <w:sz w:val="14"/>
          <w:szCs w:val="14"/>
          <w:color w:val="auto"/>
        </w:rPr>
        <w:t>Authorised Signatory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WARBURG PINCUS (BERMUDA) PRIVATE EQUITY GP LTD.</w:t>
      </w:r>
    </w:p>
    <w:p>
      <w:pPr>
        <w:spacing w:after="0" w:line="178" w:lineRule="exact"/>
        <w:rPr>
          <w:sz w:val="20"/>
          <w:szCs w:val="20"/>
          <w:color w:val="auto"/>
        </w:rPr>
      </w:pPr>
    </w:p>
    <w:p>
      <w:pPr>
        <w:spacing w:after="0"/>
        <w:tabs>
          <w:tab w:leader="none" w:pos="640" w:val="left"/>
          <w:tab w:leader="none" w:pos="50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Harsha G. Marti</w:t>
      </w:r>
      <w:r>
        <w:rPr>
          <w:sz w:val="20"/>
          <w:szCs w:val="20"/>
          <w:color w:val="auto"/>
        </w:rPr>
        <w:tab/>
      </w:r>
      <w:r>
        <w:rPr>
          <w:rFonts w:ascii="Times New Roman" w:cs="Times New Roman" w:eastAsia="Times New Roman" w:hAnsi="Times New Roman"/>
          <w:sz w:val="16"/>
          <w:szCs w:val="16"/>
          <w:color w:val="auto"/>
        </w:rPr>
        <w:t>Date: 12/05/2025</w:t>
      </w:r>
    </w:p>
    <w:p>
      <w:pPr>
        <w:spacing w:after="0" w:line="20" w:lineRule="exact"/>
        <w:rPr>
          <w:sz w:val="20"/>
          <w:szCs w:val="20"/>
          <w:color w:val="auto"/>
        </w:rPr>
      </w:pPr>
    </w:p>
    <w:p>
      <w:pPr>
        <w:ind w:right="7820" w:firstLine="654"/>
        <w:spacing w:after="0" w:line="246" w:lineRule="auto"/>
        <w:tabs>
          <w:tab w:leader="none" w:pos="84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Signature of Reporting Person Name: Harsha G. Marti</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w:t>
      </w:r>
      <w:r>
        <w:rPr>
          <w:rFonts w:ascii="Times New Roman" w:cs="Times New Roman" w:eastAsia="Times New Roman" w:hAnsi="Times New Roman"/>
          <w:sz w:val="14"/>
          <w:szCs w:val="14"/>
          <w:color w:val="auto"/>
        </w:rPr>
        <w:t>Authorized Signatory</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WARBURG PINCUS LLC</w:t>
      </w:r>
    </w:p>
    <w:p>
      <w:pPr>
        <w:spacing w:after="0" w:line="178" w:lineRule="exact"/>
        <w:rPr>
          <w:sz w:val="20"/>
          <w:szCs w:val="20"/>
          <w:color w:val="auto"/>
        </w:rPr>
      </w:pPr>
    </w:p>
    <w:p>
      <w:pPr>
        <w:spacing w:after="0"/>
        <w:tabs>
          <w:tab w:leader="none" w:pos="640" w:val="left"/>
          <w:tab w:leader="none" w:pos="49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Harsha G. Marti</w:t>
      </w:r>
      <w:r>
        <w:rPr>
          <w:sz w:val="20"/>
          <w:szCs w:val="20"/>
          <w:color w:val="auto"/>
        </w:rPr>
        <w:tab/>
      </w:r>
      <w:r>
        <w:rPr>
          <w:rFonts w:ascii="Times New Roman" w:cs="Times New Roman" w:eastAsia="Times New Roman" w:hAnsi="Times New Roman"/>
          <w:sz w:val="16"/>
          <w:szCs w:val="16"/>
          <w:color w:val="auto"/>
        </w:rPr>
        <w:t>Date: 12/05/2025</w:t>
      </w:r>
    </w:p>
    <w:p>
      <w:pPr>
        <w:spacing w:after="0" w:line="20" w:lineRule="exact"/>
        <w:rPr>
          <w:sz w:val="20"/>
          <w:szCs w:val="20"/>
          <w:color w:val="auto"/>
        </w:rPr>
      </w:pPr>
    </w:p>
    <w:p>
      <w:pPr>
        <w:ind w:right="7820" w:firstLine="654"/>
        <w:spacing w:after="0" w:line="246" w:lineRule="auto"/>
        <w:tabs>
          <w:tab w:leader="none" w:pos="84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Signature of Reporting Person Name: Harsha G. Marti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Managing Director and General Counsel</w:t>
            </w:r>
          </w:p>
        </w:tc>
        <w:tc>
          <w:tcPr>
            <w:tcW w:w="6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2"/>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WARBURG PINCUS PARTNERS GP, LLC</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Warburg Pincus &amp; Co., its managing member</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Harsha G. Marti</w:t>
            </w:r>
          </w:p>
        </w:tc>
        <w:tc>
          <w:tcPr>
            <w:tcW w:w="6340" w:type="dxa"/>
            <w:vAlign w:val="bottom"/>
          </w:tcPr>
          <w:p>
            <w:pPr>
              <w:jc w:val="right"/>
              <w:ind w:right="4393"/>
              <w:spacing w:after="0"/>
              <w:rPr>
                <w:sz w:val="20"/>
                <w:szCs w:val="20"/>
                <w:color w:val="auto"/>
              </w:rPr>
            </w:pPr>
            <w:r>
              <w:rPr>
                <w:rFonts w:ascii="Times New Roman" w:cs="Times New Roman" w:eastAsia="Times New Roman" w:hAnsi="Times New Roman"/>
                <w:sz w:val="16"/>
                <w:szCs w:val="16"/>
                <w:color w:val="auto"/>
              </w:rPr>
              <w:t>Date: 12/05/2025</w:t>
            </w: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368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 Signature of Reporting Person</w:t>
            </w:r>
          </w:p>
        </w:tc>
        <w:tc>
          <w:tcPr>
            <w:tcW w:w="6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Name:</w:t>
            </w:r>
          </w:p>
        </w:tc>
        <w:tc>
          <w:tcPr>
            <w:tcW w:w="36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Harsha G. Marti</w:t>
            </w:r>
          </w:p>
        </w:tc>
        <w:tc>
          <w:tcPr>
            <w:tcW w:w="6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Partner</w:t>
            </w:r>
          </w:p>
        </w:tc>
        <w:tc>
          <w:tcPr>
            <w:tcW w:w="6340" w:type="dxa"/>
            <w:vAlign w:val="bottom"/>
            <w:vMerge w:val="restart"/>
          </w:tcPr>
          <w:p>
            <w:pPr>
              <w:jc w:val="right"/>
              <w:ind w:right="5113"/>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22"/>
        </w:trPr>
        <w:tc>
          <w:tcPr>
            <w:tcW w:w="540" w:type="dxa"/>
            <w:vAlign w:val="bottom"/>
            <w:tcBorders>
              <w:bottom w:val="single" w:sz="8" w:color="EEEEEE"/>
            </w:tcBorders>
          </w:tcPr>
          <w:p>
            <w:pPr>
              <w:spacing w:after="0"/>
              <w:rPr>
                <w:sz w:val="24"/>
                <w:szCs w:val="24"/>
                <w:color w:val="auto"/>
              </w:rPr>
            </w:pPr>
          </w:p>
        </w:tc>
        <w:tc>
          <w:tcPr>
            <w:tcW w:w="3680" w:type="dxa"/>
            <w:vAlign w:val="bottom"/>
            <w:tcBorders>
              <w:bottom w:val="single" w:sz="8" w:color="EEEEEE"/>
            </w:tcBorders>
          </w:tcPr>
          <w:p>
            <w:pPr>
              <w:spacing w:after="0"/>
              <w:rPr>
                <w:sz w:val="24"/>
                <w:szCs w:val="24"/>
                <w:color w:val="auto"/>
              </w:rPr>
            </w:pPr>
          </w:p>
        </w:tc>
        <w:tc>
          <w:tcPr>
            <w:tcW w:w="63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7" w:name="page8"/>
    <w:bookmarkEnd w:id="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12" Type="http://schemas.openxmlformats.org/officeDocument/2006/relationships/hyperlink" Target="http://www.sec.gov/cgi-bin/browse-edgar?action=getcompany&amp;CIK=0001822479" TargetMode="External"/><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550877" TargetMode="External"/><Relationship Id="rId16" Type="http://schemas.openxmlformats.org/officeDocument/2006/relationships/hyperlink" Target="http://www.sec.gov/cgi-bin/browse-edgar?action=getcompany&amp;CIK=0001554853" TargetMode="External"/><Relationship Id="rId17" Type="http://schemas.openxmlformats.org/officeDocument/2006/relationships/hyperlink" Target="http://www.sec.gov/cgi-bin/browse-edgar?action=getcompany&amp;CIK=0001554852" TargetMode="External"/><Relationship Id="rId18" Type="http://schemas.openxmlformats.org/officeDocument/2006/relationships/hyperlink" Target="http://www.sec.gov/cgi-bin/browse-edgar?action=getcompany&amp;CIK=0001658820" TargetMode="External"/><Relationship Id="rId19" Type="http://schemas.openxmlformats.org/officeDocument/2006/relationships/hyperlink" Target="http://www.sec.gov/cgi-bin/browse-edgar?action=getcompany&amp;CIK=0001555729" TargetMode="External"/><Relationship Id="rId20" Type="http://schemas.openxmlformats.org/officeDocument/2006/relationships/hyperlink" Target="http://www.sec.gov/cgi-bin/browse-edgar?action=getcompany&amp;CIK=0001162870" TargetMode="External"/><Relationship Id="rId21" Type="http://schemas.openxmlformats.org/officeDocument/2006/relationships/hyperlink" Target="http://www.sec.gov/cgi-bin/browse-edgar?action=getcompany&amp;CIK=0001621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2025-12-05T19:53:39Z</dcterms:created>
  <dcterms:modified xsi:type="dcterms:W3CDTF">2025-12-05T19:53:39Z</dcterms:modified>
</cp:coreProperties>
</file>