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Knauss Robert Brown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&amp; CO.</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2"/>
        <w:gridCol w:w="901"/>
        <w:gridCol w:w="771"/>
        <w:gridCol w:w="598"/>
        <w:gridCol w:w="347"/>
        <w:gridCol w:w="970"/>
        <w:gridCol w:w="453"/>
        <w:gridCol w:w="668"/>
        <w:gridCol w:w="1160"/>
        <w:gridCol w:w="99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15,712</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15,712</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Knauss is filed as an exhibit to the Form 3 filed with the Securities and Exchange Commission on October 24, 2022,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L.M.H. 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1938" TargetMode="External"/><Relationship Id="rId4" Type="http://schemas.openxmlformats.org/officeDocument/2006/relationships/hyperlink" Target="http://www.sec.gov/cgi-bin/browse-edgar?action=getcompany&amp;CIK=00018224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3760</Characters>
  <CharactersWithSpaces>4399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