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Klee Ann R</w:t>
              </w:r>
              <w:r>
                <w:rPr>
                  <w:rFonts w:ascii="Times New Roman" w:cs="Times New Roman" w:eastAsia="Times New Roman" w:hAnsi="Times New Roman"/>
                  <w:sz w:val="21"/>
                  <w:szCs w:val="21"/>
                  <w:color w:val="0000EE"/>
                </w:rPr>
                <w:t>.</w:t>
              </w:r>
            </w:hyperlink>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gridSpan w:val="4"/>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line="140" w:lineRule="exact"/>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line="140"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11/20/2020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HEIGHTS</w:t>
            </w: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11/20/2020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5,869</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56,794</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5,869 RSUs and 50,925 shares of Common Stock, including 16,199 shares of vested Common Stock and 34,726 shares of unvested Common Stock. 20% of the unvested shares of Common Stock will vest on May 27, 2021 (the one year anniversary of the date of grant), and the remaining unvested shares will vest on a daily basis pro rata thereafter, through May 27, 2025.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Ann R. Klee is filed as an exhibit to the Form 3 filed on November 20, 2020, which is hereby incorporated by reference.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11/24/2020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6076"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2020-11-24T19:33:31Z</dcterms:created>
  <dcterms:modified xsi:type="dcterms:W3CDTF">2020-11-24T19:33:31Z</dcterms:modified>
</cp:coreProperties>
</file>