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November 10, 2021</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1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3"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800" w:firstLine="26"/>
        <w:spacing w:after="0" w:line="512"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00"/>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November 10, 2021, Sotera Health Company (the “Company”) issued a press release (the “Press Release”) announcing its financial results for the third-quarter ended September 30, 2021. The Company will hold its previously announced conference call on November 10, 2021, at 9:00 a.m. Eastern Time to discuss its financial results for the quarter. A copy of the Press Release is attached hereto as Exhibit 99.1 and is incorporated herein by reference.</w:t>
      </w:r>
    </w:p>
    <w:p>
      <w:pPr>
        <w:spacing w:after="0" w:line="9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ind w:left="20"/>
              <w:spacing w:after="0"/>
              <w:rPr>
                <w:sz w:val="20"/>
                <w:szCs w:val="20"/>
                <w:color w:val="auto"/>
              </w:rPr>
            </w:pPr>
            <w:r>
              <w:rPr>
                <w:rFonts w:ascii="Arial" w:cs="Arial" w:eastAsia="Arial" w:hAnsi="Arial"/>
                <w:sz w:val="14"/>
                <w:szCs w:val="14"/>
                <w:color w:val="auto"/>
              </w:rPr>
              <w:t>Exhibit Number</w:t>
            </w:r>
          </w:p>
        </w:tc>
        <w:tc>
          <w:tcPr>
            <w:tcW w:w="20" w:type="dxa"/>
            <w:vAlign w:val="bottom"/>
          </w:tcPr>
          <w:p>
            <w:pPr>
              <w:spacing w:after="0"/>
              <w:rPr>
                <w:sz w:val="15"/>
                <w:szCs w:val="15"/>
                <w:color w:val="auto"/>
              </w:rPr>
            </w:pPr>
          </w:p>
        </w:tc>
        <w:tc>
          <w:tcPr>
            <w:tcW w:w="98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6"/>
        </w:trPr>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196"/>
        </w:trPr>
        <w:tc>
          <w:tcPr>
            <w:tcW w:w="130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10, 2021</w:t>
              </w:r>
            </w:hyperlink>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40" w:type="dxa"/>
            <w:vAlign w:val="bottom"/>
            <w:tcBorders>
              <w:top w:val="single" w:sz="8" w:color="0000FF"/>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720"/>
          </w:cols>
          <w:pgMar w:left="320" w:top="1012" w:right="859" w:bottom="1440" w:gutter="0" w:footer="0" w:header="0"/>
        </w:sectPr>
      </w:pPr>
    </w:p>
    <w:bookmarkStart w:id="3" w:name="page4"/>
    <w:bookmarkEnd w:id="3"/>
    <w:p>
      <w:pPr>
        <w:ind w:left="94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Sotera Health Reports Third-Quarter and Year-to-Date 2021 Results</w:t>
      </w:r>
    </w:p>
    <w:p>
      <w:pPr>
        <w:spacing w:after="0" w:line="349"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2021 net revenues of $226 million increased 13%, compared to Q3 2020</w:t>
      </w:r>
    </w:p>
    <w:p>
      <w:pPr>
        <w:spacing w:after="0" w:line="29" w:lineRule="exact"/>
        <w:rPr>
          <w:rFonts w:ascii="Arial" w:cs="Arial" w:eastAsia="Arial" w:hAnsi="Arial"/>
          <w:sz w:val="22"/>
          <w:szCs w:val="22"/>
          <w:b w:val="1"/>
          <w:bCs w:val="1"/>
          <w:i w:val="1"/>
          <w:iCs w:val="1"/>
          <w:color w:val="auto"/>
        </w:rPr>
      </w:pPr>
    </w:p>
    <w:p>
      <w:pPr>
        <w:ind w:left="660" w:right="240" w:hanging="328"/>
        <w:spacing w:after="0" w:line="243" w:lineRule="auto"/>
        <w:tabs>
          <w:tab w:leader="none" w:pos="621" w:val="left"/>
        </w:tabs>
        <w:numPr>
          <w:ilvl w:val="0"/>
          <w:numId w:val="2"/>
        </w:numPr>
        <w:rPr>
          <w:rFonts w:ascii="Arial" w:cs="Arial" w:eastAsia="Arial" w:hAnsi="Arial"/>
          <w:sz w:val="20"/>
          <w:szCs w:val="20"/>
          <w:b w:val="1"/>
          <w:bCs w:val="1"/>
          <w:i w:val="1"/>
          <w:iCs w:val="1"/>
          <w:color w:val="auto"/>
        </w:rPr>
      </w:pPr>
      <w:r>
        <w:rPr>
          <w:rFonts w:ascii="Arial" w:cs="Arial" w:eastAsia="Arial" w:hAnsi="Arial"/>
          <w:sz w:val="22"/>
          <w:szCs w:val="22"/>
          <w:b w:val="1"/>
          <w:bCs w:val="1"/>
          <w:i w:val="1"/>
          <w:iCs w:val="1"/>
          <w:color w:val="auto"/>
        </w:rPr>
        <w:t>Q3 2021 net income of $27 million or $0.10 per diluted share, compared to net income of $0.01 million or $0.00 per diluted share in Q3 2020</w:t>
      </w: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Q3 2021 Adjusted EBITDA of $117 million increased 16%, compared to Q3 2020</w:t>
      </w:r>
    </w:p>
    <w:p>
      <w:pPr>
        <w:spacing w:after="0" w:line="3"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0"/>
          <w:szCs w:val="20"/>
          <w:b w:val="1"/>
          <w:bCs w:val="1"/>
          <w:i w:val="1"/>
          <w:iCs w:val="1"/>
          <w:color w:val="auto"/>
        </w:rPr>
      </w:pPr>
      <w:r>
        <w:rPr>
          <w:rFonts w:ascii="Arial" w:cs="Arial" w:eastAsia="Arial" w:hAnsi="Arial"/>
          <w:sz w:val="22"/>
          <w:szCs w:val="22"/>
          <w:b w:val="1"/>
          <w:bCs w:val="1"/>
          <w:i w:val="1"/>
          <w:iCs w:val="1"/>
          <w:color w:val="auto"/>
        </w:rPr>
        <w:t>Q3 2021 Adjusted EPS of $0.21 improved $0.12 compared to Q3 2020</w:t>
      </w:r>
    </w:p>
    <w:p>
      <w:pPr>
        <w:spacing w:after="0" w:line="3" w:lineRule="exact"/>
        <w:rPr>
          <w:rFonts w:ascii="Arial" w:cs="Arial" w:eastAsia="Arial" w:hAnsi="Arial"/>
          <w:sz w:val="20"/>
          <w:szCs w:val="20"/>
          <w:b w:val="1"/>
          <w:bCs w:val="1"/>
          <w:i w:val="1"/>
          <w:iCs w:val="1"/>
          <w:color w:val="auto"/>
        </w:rPr>
      </w:pPr>
    </w:p>
    <w:p>
      <w:pPr>
        <w:ind w:left="660" w:right="900" w:hanging="328"/>
        <w:spacing w:after="0" w:line="243"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September 30, 2021 total debt of $1.8 billion and total net debt of $1.7 billion; net leverage ratio improved to 3.6x</w:t>
      </w:r>
    </w:p>
    <w:p>
      <w:pPr>
        <w:ind w:left="660" w:right="480" w:hanging="328"/>
        <w:spacing w:after="0" w:line="243"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Narrowing full-year 2021 revenue growth outlook to 12% - 14% and full-year 2021 Adjusted EBITDA growth to 13% - 14%</w:t>
      </w: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Full redemption of $100 million Senior Secured First-Lien Notes</w:t>
      </w:r>
    </w:p>
    <w:p>
      <w:pPr>
        <w:spacing w:after="0" w:line="200" w:lineRule="exact"/>
        <w:rPr>
          <w:sz w:val="20"/>
          <w:szCs w:val="20"/>
          <w:color w:val="auto"/>
        </w:rPr>
      </w:pPr>
    </w:p>
    <w:p>
      <w:pPr>
        <w:spacing w:after="0" w:line="201"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b w:val="1"/>
          <w:bCs w:val="1"/>
          <w:color w:val="auto"/>
        </w:rPr>
        <w:t xml:space="preserve">CLEVELAND, OH, November 10, 2021 </w:t>
      </w:r>
      <w:r>
        <w:rPr>
          <w:rFonts w:ascii="Arial" w:cs="Arial" w:eastAsia="Arial" w:hAnsi="Arial"/>
          <w:sz w:val="20"/>
          <w:szCs w:val="20"/>
          <w:color w:val="auto"/>
        </w:rPr>
        <w:t>– Sotera Health Company (“Sotera Health” or the “Company”) (Nasdaq: SHC), a</w:t>
      </w:r>
      <w:r>
        <w:rPr>
          <w:rFonts w:ascii="Arial" w:cs="Arial" w:eastAsia="Arial" w:hAnsi="Arial"/>
          <w:sz w:val="20"/>
          <w:szCs w:val="20"/>
          <w:b w:val="1"/>
          <w:bCs w:val="1"/>
          <w:color w:val="auto"/>
        </w:rPr>
        <w:t xml:space="preserve"> </w:t>
      </w:r>
      <w:r>
        <w:rPr>
          <w:rFonts w:ascii="Arial" w:cs="Arial" w:eastAsia="Arial" w:hAnsi="Arial"/>
          <w:sz w:val="20"/>
          <w:szCs w:val="20"/>
          <w:color w:val="auto"/>
        </w:rPr>
        <w:t>leading global provider of mission-critical end-to-end sterilization solutions, lab testing and advisory services for the healthcare industry, today announced financial results for the third quarter and first nine months of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Third-quarter 2021 net revenues increased 13.1% to $226 million, compared with $ 200 million in the same period a year ago. Third-quarter 2021 net income attributable to Sotera Health (“net income”) was $ 27 million, or $0.10 per diluted share, compared with net income of $0.01 million, or $ 0.00 per diluted share in the third quarter of 2020. Adjusted EBITDA for the third-quarter 2021 increased 16.1% over the third quarter of 2020 to $117 million. Third-quarter 2021 adjusted earnings per diluted share (“Adjusted EPS”) was $0.21, compared to $0.09 in the third quarter of 2020, an increase of $0.12 per diluted share. Please refer to the section “Non-GAAP Financial Measures” provided later in this release.</w:t>
      </w:r>
    </w:p>
    <w:p>
      <w:pPr>
        <w:spacing w:after="0" w:line="240"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For the first nine months of 2021, net revenues increased 14.8% to $690 million, compared to $601 million for the same period in 2020. Net income was $81 million, or $0.29 per diluted share for the nine months ended September 30, 2021, compared with net income of $5 million, or $0.02 per diluted share, for the same period last year. First nine months of 2021 Adjusted EBITDA increased 16.2% to $357 million and Adjusted EPS grew by $0.32 to $0.65 compared to the first nine months of 2020. Please refer to the section “Non-GAAP Financial Measures” provided later in this release.</w:t>
      </w:r>
    </w:p>
    <w:p>
      <w:pPr>
        <w:spacing w:after="0" w:line="236"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color w:val="auto"/>
        </w:rPr>
        <w:t>“We are very pleased to report solid top-line, net income and Adjusted EBITDA growth for the third quarter. This represents double-digit top-line and Adjusted EBITDA growth in every quarter since the IPO, and we could not be more proud of our team for working so diligently to deliver this level of growth during this challenging and unique time,” said Chairman and Chief Executive Officer, Michael B. Petras, Jr. “Our three business segments – Sterigenics, Nordion and Nelson Labs – are each making solid progress executing against strategic goals. With nine months of reported financials and good visibility into the remainder of the year, we are narrowing the 2021 outlook range provided on our earnings call in August, when guidance was increased from our original March outlook. The outlook range provided today represents solid double-digit top-line and Adjusted EBITDA growth for full-year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62" w:right="339" w:bottom="1440" w:gutter="0" w:footer="0" w:header="0"/>
        </w:sectPr>
      </w:pPr>
    </w:p>
    <w:bookmarkStart w:id="4" w:name="page5"/>
    <w:bookmarkEnd w:id="4"/>
    <w:p>
      <w:pPr>
        <w:ind w:right="4740"/>
        <w:spacing w:after="0" w:line="399" w:lineRule="auto"/>
        <w:rPr>
          <w:sz w:val="20"/>
          <w:szCs w:val="20"/>
          <w:color w:val="auto"/>
        </w:rPr>
      </w:pPr>
      <w:r>
        <w:rPr>
          <w:rFonts w:ascii="Arial" w:cs="Arial" w:eastAsia="Arial" w:hAnsi="Arial"/>
          <w:sz w:val="20"/>
          <w:szCs w:val="20"/>
          <w:b w:val="1"/>
          <w:bCs w:val="1"/>
          <w:u w:val="single" w:color="auto"/>
          <w:color w:val="auto"/>
        </w:rPr>
        <w:t xml:space="preserve">Third-Quarter and Nine-Month 2021 Highlights by Business Segment </w:t>
      </w:r>
      <w:r>
        <w:rPr>
          <w:rFonts w:ascii="Arial" w:cs="Arial" w:eastAsia="Arial" w:hAnsi="Arial"/>
          <w:sz w:val="20"/>
          <w:szCs w:val="20"/>
          <w:b w:val="1"/>
          <w:bCs w:val="1"/>
          <w:color w:val="auto"/>
        </w:rPr>
        <w:t>Sterigenics</w:t>
      </w:r>
    </w:p>
    <w:p>
      <w:pPr>
        <w:spacing w:after="0" w:line="2"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For the third quarter of 2021, Sterigenics net revenues were $145 million, an increase of 15.1% compared to the third quarter a year ago. In this same period, segment income increased 19.0% to $79 million. For the first nine months of 2021, Sterigenics net revenues were $422 million, an increase of 15.9% compared to the same period in 2020. In this same period, segment income increased 17.9% to $227 million.</w:t>
      </w:r>
    </w:p>
    <w:p>
      <w:pPr>
        <w:spacing w:after="0" w:line="210" w:lineRule="exact"/>
        <w:rPr>
          <w:sz w:val="20"/>
          <w:szCs w:val="20"/>
          <w:color w:val="auto"/>
        </w:rPr>
      </w:pPr>
    </w:p>
    <w:p>
      <w:pPr>
        <w:ind w:right="700"/>
        <w:spacing w:after="0" w:line="246" w:lineRule="auto"/>
        <w:rPr>
          <w:sz w:val="20"/>
          <w:szCs w:val="20"/>
          <w:color w:val="auto"/>
        </w:rPr>
      </w:pPr>
      <w:r>
        <w:rPr>
          <w:rFonts w:ascii="Arial" w:cs="Arial" w:eastAsia="Arial" w:hAnsi="Arial"/>
          <w:sz w:val="20"/>
          <w:szCs w:val="20"/>
          <w:color w:val="auto"/>
        </w:rPr>
        <w:t>Revenue and segment income growth for the third quarter of 2021 were driven principally by organic volume growth and favorable pricing.</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118"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For the third quarter of 2021, Nordion net revenues were $29 million, an increase of 41.9% compared to the third quarter a year ago. In this same period, segment income increased 59.2% to $16 million. For the first nine months of 2021, Nordion net revenues were $104 million, an increase of 20.7% compared to the same period in 2020. In this same period, segment income increased 20.9% to $61 million.</w:t>
      </w:r>
    </w:p>
    <w:p>
      <w:pPr>
        <w:spacing w:after="0" w:line="21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Revenue and segment income growth for the third quarter of 2021 were primarily driven by organic volume growth, a favorable impact from pricing and changes in foreign exchange rates.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118"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For the third quarter of 2021, Nelson Labs net revenues were $52 million, a decrease of 2.6% compared to the third quarter a year ago. In this same period, segment income decreased 10.8% to $ 21 million. For the first nine months of 2021, Nelson Labs net revenues were $165 million, an increase of 8.9% compared to the same period in 2020. In this same period, segment income increased 7.3% to $68 million.</w:t>
      </w:r>
    </w:p>
    <w:p>
      <w:pPr>
        <w:spacing w:after="0" w:line="210"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Revenue and segment income declines were driven by reduced pandemic-related demand for personal protective equipment testing volumes, partly offset by the impact of the BioScience Labs acquisition.</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and Liquidity</w:t>
      </w:r>
    </w:p>
    <w:p>
      <w:pPr>
        <w:spacing w:after="0" w:line="105"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As of September 30, 2021, Sotera Health had $1.78 billion of total debt and $115 million of cash and cash equivalents, compared to $1.86 billion of total debt and $102 million of cash and cash equivalents as of December 31, 2020. Material debt balances currently outstanding do not mature until 2026. Sotera Health’s net leverage ratio as of September 30, 2021 improved to 3.6x, well within the 2.0x to 4.0x target range provided by the company. Please refer to the section “Non-GAAP Financial Measures” provided later in this release.</w:t>
      </w:r>
    </w:p>
    <w:p>
      <w:pPr>
        <w:spacing w:after="0" w:line="23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On August 27, 2021, Sotera Health Holdings, LLC fully redeemed its $ 100 million Senior Secured First-Lien Floating Rate Notes due 2026 at a redemption price equal to 103% of the principal amount of such notes,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273"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2021 Outlook</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Today, Sotera Health is updating its 2021 outlook to the following, which remains within the guidance previously issued in</w:t>
      </w:r>
    </w:p>
    <w:p>
      <w:pPr>
        <w:spacing w:after="0"/>
        <w:rPr>
          <w:sz w:val="20"/>
          <w:szCs w:val="20"/>
          <w:color w:val="auto"/>
        </w:rPr>
      </w:pPr>
      <w:r>
        <w:rPr>
          <w:rFonts w:ascii="Arial" w:cs="Arial" w:eastAsia="Arial" w:hAnsi="Arial"/>
          <w:sz w:val="20"/>
          <w:szCs w:val="20"/>
          <w:color w:val="auto"/>
        </w:rPr>
        <w:t>August:</w:t>
      </w:r>
    </w:p>
    <w:p>
      <w:pPr>
        <w:spacing w:after="0" w:line="94"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revenues in the range of $920 million - $930 million, representing growth of 12% - 14%, compared to the prior year,</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$475 million - $480 million, representing growth of 13% - 14%, compared to the prior year,</w:t>
      </w:r>
    </w:p>
    <w:p>
      <w:pPr>
        <w:spacing w:after="0" w:line="80"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Tax rate applicable to Adjusted Net Income of approximately 28%,</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$0.87 - $0.88,</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Fully diluted share count range of 279 million - 280 million shares on a weighted-average basis,</w:t>
      </w:r>
    </w:p>
    <w:p>
      <w:pPr>
        <w:spacing w:after="0" w:line="80"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Capital expenditures in the range of $90 million to $100 million, and</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leverage reduction of approximately 3⁄4 of a turn.</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outlook provided above is based on current plans and expectations and is subject to a number of known and unknown risks and uncertainties, including those set forth below under “Forward-Looking Statements.”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24"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Sotera Health management will host a conference call and webcast to discuss the Company’s operating highlights and financial results at 9:00 a.m. Eastern Time today. To participate in the live call, please dial 1-833-303-1211 if dialing in from the United States or Canada, or 1-918-922-6527 if dialing in from other locations. Please join the conference call at least 10 minutes prior to the scheduled start time using conference ID 6589963. A live webcast of the conference call and accompanying materials may also be accessed via the Investor Relations section of the Company’s website at https://investors.soterahealth.com/events-and-presentations. A replay of the webcast will be available later in the day on November 10, 2021.</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Investor Events</w:t>
      </w:r>
    </w:p>
    <w:p>
      <w:pPr>
        <w:spacing w:after="0" w:line="118"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Credit Suisse 30th Annual Healthcare Conference at 2:40pm EST, November 11, 2021</w:t>
      </w:r>
    </w:p>
    <w:p>
      <w:pPr>
        <w:spacing w:after="0" w:line="243" w:lineRule="exact"/>
        <w:rPr>
          <w:sz w:val="20"/>
          <w:szCs w:val="20"/>
          <w:color w:val="auto"/>
        </w:rPr>
      </w:pPr>
    </w:p>
    <w:p>
      <w:pPr>
        <w:jc w:val="both"/>
        <w:ind w:right="160"/>
        <w:spacing w:after="0" w:line="272" w:lineRule="auto"/>
        <w:rPr>
          <w:sz w:val="20"/>
          <w:szCs w:val="20"/>
          <w:color w:val="auto"/>
        </w:rPr>
      </w:pPr>
      <w:r>
        <w:rPr>
          <w:rFonts w:ascii="Arial" w:cs="Arial" w:eastAsia="Arial" w:hAnsi="Arial"/>
          <w:sz w:val="19"/>
          <w:szCs w:val="19"/>
          <w:color w:val="auto"/>
        </w:rPr>
        <w:t>Live and archived webcasts and presentations, including those associated with the conference listed above, may be accessed on the Investor Relations section of the Sotera Health website at https://investors.soterahealth.com/events-and-presentations.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Other Information</w:t>
      </w:r>
    </w:p>
    <w:p>
      <w:pPr>
        <w:spacing w:after="0" w:line="24" w:lineRule="exact"/>
        <w:rPr>
          <w:sz w:val="20"/>
          <w:szCs w:val="20"/>
          <w:color w:val="auto"/>
        </w:rPr>
      </w:pPr>
    </w:p>
    <w:p>
      <w:pPr>
        <w:ind w:left="660" w:right="20" w:hanging="328"/>
        <w:spacing w:after="0" w:line="232"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Sotera Health launched an ethylene oxide resource, available via the Investor Relations section of the Company’s website at https://investors.soterahealth.com/ethylene-oxide-eo-overview. From time to time, updates related to ethylene oxide matters that may be relevant to investors will be posted here.</w:t>
      </w:r>
    </w:p>
    <w:p>
      <w:pPr>
        <w:spacing w:after="0" w:line="224"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Updates on other matters not related to ethylene oxide that may be relevant to investors may be found from time to time on the Special Notices section of the Company’s Investor Relations website at https://investors.soterahealth.com/special-notices.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286" w:right="3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05"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Any forward-looking statements contained in this release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ethylene oxide (“EO”) or cobalt-60 (“Co-60”); changes in industry trends, environmental, health and safety regulations or preferences;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our ability to increase capacity at existing facilities, renew leases for our facilities and build new facilities in a timely and cost-effective manner; intense competition for qualified employees in the industries in which we operate; the risks of doing business internationally; and any inability to pursue strategic transactions or find suitable acquisition targets. For additional discussion of these risks and uncertainties, please refer to Company’s filings with the SEC, such as its annual and quarterly reports. We do not undertake any obligation to publicly update or revise these forward-looking statements, except as otherwise required by law.</w:t>
      </w:r>
    </w:p>
    <w:p>
      <w:pPr>
        <w:spacing w:after="0" w:line="225"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The outlook provided within this earnings release contains a number of assumptions, including, among others, the Company’s current expectations regarding the impact of the COVID-19 pandemic, including the rate of recoveries of elective procedures and new product development testing, and foreign exchange rates. The Company does not provide a reconciliation of the forward-looking Adjusted EBITDA, Adjusted Net Income, Adjusted EPS, and Net Leverage Ratio outlook to the most directly comparable GAAP measure, as this cannot be done without unreasonable effort due to the variability and low visibility with respect to certain items, including, among others, uncertainties caused by the global COVID-19 pandemic, changes to the regulatory landscape, restructuring items and certain fair value measurements, all of which are potential adjustments for future earnings. The variability of these items could have a potentially unpredictable, and a potentially significant, impact on our future GAAP results.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118" w:lineRule="exact"/>
        <w:rPr>
          <w:sz w:val="20"/>
          <w:szCs w:val="20"/>
          <w:color w:val="auto"/>
        </w:rPr>
      </w:pPr>
    </w:p>
    <w:p>
      <w:pPr>
        <w:ind w:right="500"/>
        <w:spacing w:after="0" w:line="243" w:lineRule="auto"/>
        <w:rPr>
          <w:sz w:val="20"/>
          <w:szCs w:val="20"/>
          <w:color w:val="auto"/>
        </w:rPr>
      </w:pPr>
      <w:r>
        <w:rPr>
          <w:rFonts w:ascii="Arial" w:cs="Arial" w:eastAsia="Arial" w:hAnsi="Arial"/>
          <w:sz w:val="20"/>
          <w:szCs w:val="20"/>
          <w:color w:val="auto"/>
        </w:rPr>
        <w:t>To supplement our consolidated financial statements presented in accordance with GAAP, we consider Adjusted EBITDA, Adjusted Net Income, Adjusted EPS, Total Net Debt and Net Leverage Ratio, financial measures that are not based on any standardized methodology prescribed by GAAP.</w:t>
      </w:r>
    </w:p>
    <w:p>
      <w:pPr>
        <w:spacing w:after="0" w:line="206"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204" w:lineRule="exact"/>
        <w:rPr>
          <w:sz w:val="20"/>
          <w:szCs w:val="20"/>
          <w:color w:val="auto"/>
        </w:rPr>
      </w:pPr>
    </w:p>
    <w:p>
      <w:pPr>
        <w:ind w:right="440"/>
        <w:spacing w:after="0" w:line="243" w:lineRule="auto"/>
        <w:rPr>
          <w:sz w:val="20"/>
          <w:szCs w:val="20"/>
          <w:color w:val="auto"/>
        </w:rPr>
      </w:pPr>
      <w:r>
        <w:rPr>
          <w:rFonts w:ascii="Arial" w:cs="Arial" w:eastAsia="Arial" w:hAnsi="Arial"/>
          <w:sz w:val="20"/>
          <w:szCs w:val="20"/>
          <w:color w:val="auto"/>
        </w:rPr>
        <w:t>We define Adjusted EBITDA as Adjusted Net Income before interest expense, depreciation (including depreciation of Co-60 used in our operations) and income tax provision applicable to Adjusted Net Income. Adjusted EBITDA Margin is equal to Adjusted EBITDA divided by net revenues.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EPS as Adjusted Net Income divided by the weighted average number of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86" w:right="339" w:bottom="1440" w:gutter="0" w:footer="0" w:header="0"/>
        </w:sectPr>
      </w:pPr>
    </w:p>
    <w:bookmarkStart w:id="7" w:name="page8"/>
    <w:bookmarkEnd w:id="7"/>
    <w:p>
      <w:pPr>
        <w:ind w:right="360"/>
        <w:spacing w:after="0" w:line="246" w:lineRule="auto"/>
        <w:rPr>
          <w:sz w:val="20"/>
          <w:szCs w:val="20"/>
          <w:color w:val="auto"/>
        </w:rPr>
      </w:pPr>
      <w:r>
        <w:rPr>
          <w:rFonts w:ascii="Arial" w:cs="Arial" w:eastAsia="Arial" w:hAnsi="Arial"/>
          <w:sz w:val="20"/>
          <w:szCs w:val="20"/>
          <w:color w:val="auto"/>
        </w:rPr>
        <w:t>Our Total Net Debt is equal to our total debt, plus unamortized debt issuance costs and debt discounts, less 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Our Net Leverage Ratio is equal to Net Debt divided by the trailing twelve-months of Adjusted EBITDA.</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20"/>
          <w:szCs w:val="20"/>
          <w:color w:val="auto"/>
        </w:rPr>
        <w:t>We use these non-GAAP financial measures as the principal measures of our operating performance. Management believes these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basis for the metric we utilize to determine attainment of our primary annual incentive program. These measures may be calculated differently from, and therefore may not be comparable to, a similarly titled measure used by other companies.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10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 CONTACTS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20"/>
                <w:szCs w:val="20"/>
                <w:color w:val="auto"/>
              </w:rPr>
              <w:t>Sally J. Curley, IRC</w:t>
            </w:r>
          </w:p>
        </w:tc>
        <w:tc>
          <w:tcPr>
            <w:tcW w:w="2120" w:type="dxa"/>
            <w:vAlign w:val="bottom"/>
            <w:gridSpan w:val="2"/>
          </w:tcPr>
          <w:p>
            <w:pPr>
              <w:spacing w:after="0"/>
              <w:rPr>
                <w:sz w:val="20"/>
                <w:szCs w:val="20"/>
                <w:color w:val="auto"/>
              </w:rPr>
            </w:pPr>
            <w:r>
              <w:rPr>
                <w:rFonts w:ascii="Arial" w:cs="Arial" w:eastAsia="Arial" w:hAnsi="Arial"/>
                <w:sz w:val="20"/>
                <w:szCs w:val="20"/>
                <w:color w:val="auto"/>
              </w:rPr>
              <w:t>Jenny Kobin</w:t>
            </w:r>
          </w:p>
        </w:tc>
      </w:tr>
      <w:tr>
        <w:trPr>
          <w:trHeight w:val="232"/>
        </w:trPr>
        <w:tc>
          <w:tcPr>
            <w:tcW w:w="2800" w:type="dxa"/>
            <w:vAlign w:val="bottom"/>
            <w:gridSpan w:val="2"/>
          </w:tcPr>
          <w:p>
            <w:pPr>
              <w:spacing w:after="0"/>
              <w:rPr>
                <w:sz w:val="20"/>
                <w:szCs w:val="20"/>
                <w:color w:val="auto"/>
              </w:rPr>
            </w:pPr>
            <w:r>
              <w:rPr>
                <w:rFonts w:ascii="Arial" w:cs="Arial" w:eastAsia="Arial" w:hAnsi="Arial"/>
                <w:sz w:val="20"/>
                <w:szCs w:val="20"/>
                <w:color w:val="auto"/>
              </w:rPr>
              <w:t>Curley Global IR, LLC</w:t>
            </w:r>
          </w:p>
        </w:tc>
        <w:tc>
          <w:tcPr>
            <w:tcW w:w="2120" w:type="dxa"/>
            <w:vAlign w:val="bottom"/>
            <w:gridSpan w:val="2"/>
          </w:tcPr>
          <w:p>
            <w:pPr>
              <w:ind w:left="240"/>
              <w:spacing w:after="0"/>
              <w:rPr>
                <w:sz w:val="20"/>
                <w:szCs w:val="20"/>
                <w:color w:val="auto"/>
              </w:rPr>
            </w:pPr>
            <w:r>
              <w:rPr>
                <w:rFonts w:ascii="Arial" w:cs="Arial" w:eastAsia="Arial" w:hAnsi="Arial"/>
                <w:sz w:val="20"/>
                <w:szCs w:val="20"/>
                <w:color w:val="auto"/>
                <w:w w:val="97"/>
              </w:rPr>
              <w:t>IR Advisory Solutions</w:t>
            </w:r>
          </w:p>
        </w:tc>
      </w:tr>
      <w:tr>
        <w:trPr>
          <w:trHeight w:val="176"/>
        </w:trPr>
        <w:tc>
          <w:tcPr>
            <w:tcW w:w="1760" w:type="dxa"/>
            <w:vAlign w:val="bottom"/>
          </w:tcPr>
          <w:p>
            <w:pPr>
              <w:spacing w:after="0" w:line="176" w:lineRule="exact"/>
              <w:rPr>
                <w:sz w:val="20"/>
                <w:szCs w:val="20"/>
                <w:color w:val="auto"/>
              </w:rPr>
            </w:pPr>
            <w:r>
              <w:rPr>
                <w:rFonts w:ascii="Arial" w:cs="Arial" w:eastAsia="Arial" w:hAnsi="Arial"/>
                <w:sz w:val="18"/>
                <w:szCs w:val="18"/>
                <w:color w:val="0563C1"/>
                <w:w w:val="99"/>
              </w:rPr>
              <w:t>IR@soterahealth.com</w:t>
            </w:r>
          </w:p>
        </w:tc>
        <w:tc>
          <w:tcPr>
            <w:tcW w:w="1040" w:type="dxa"/>
            <w:vAlign w:val="bottom"/>
          </w:tcPr>
          <w:p>
            <w:pPr>
              <w:spacing w:after="0"/>
              <w:rPr>
                <w:sz w:val="15"/>
                <w:szCs w:val="15"/>
                <w:color w:val="auto"/>
              </w:rPr>
            </w:pPr>
          </w:p>
        </w:tc>
        <w:tc>
          <w:tcPr>
            <w:tcW w:w="2120" w:type="dxa"/>
            <w:vAlign w:val="bottom"/>
            <w:gridSpan w:val="2"/>
          </w:tcPr>
          <w:p>
            <w:pPr>
              <w:spacing w:after="0" w:line="176" w:lineRule="exact"/>
              <w:rPr>
                <w:sz w:val="20"/>
                <w:szCs w:val="20"/>
                <w:color w:val="auto"/>
              </w:rPr>
            </w:pPr>
            <w:r>
              <w:rPr>
                <w:rFonts w:ascii="Arial" w:cs="Arial" w:eastAsia="Arial" w:hAnsi="Arial"/>
                <w:sz w:val="18"/>
                <w:szCs w:val="18"/>
                <w:color w:val="0563C1"/>
              </w:rPr>
              <w:t>IR@soterahealth.com</w:t>
            </w:r>
          </w:p>
        </w:tc>
      </w:tr>
      <w:tr>
        <w:trPr>
          <w:trHeight w:val="20"/>
        </w:trPr>
        <w:tc>
          <w:tcPr>
            <w:tcW w:w="1760" w:type="dxa"/>
            <w:vAlign w:val="bottom"/>
            <w:shd w:val="clear" w:color="auto" w:fill="0563C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rPr>
          <w:sz w:val="20"/>
          <w:szCs w:val="20"/>
          <w:color w:val="auto"/>
        </w:rPr>
      </w:pPr>
      <w:r>
        <w:rPr>
          <w:rFonts w:ascii="Arial" w:cs="Arial" w:eastAsia="Arial" w:hAnsi="Arial"/>
          <w:sz w:val="20"/>
          <w:szCs w:val="20"/>
          <w:color w:val="auto"/>
        </w:rPr>
        <w:t>Chief Marketing Officer, Sotera Health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kgibbs@soterahealth.com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1094" w:right="47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491"/>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2440" w:type="dxa"/>
            <w:vAlign w:val="bottom"/>
            <w:gridSpan w:val="4"/>
          </w:tcPr>
          <w:p>
            <w:pPr>
              <w:jc w:val="right"/>
              <w:ind w:right="711"/>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r>
      <w:tr>
        <w:trPr>
          <w:trHeight w:val="20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720" w:type="dxa"/>
            <w:vAlign w:val="bottom"/>
          </w:tcPr>
          <w:p>
            <w:pPr>
              <w:ind w:left="420"/>
              <w:spacing w:after="0"/>
              <w:rPr>
                <w:sz w:val="20"/>
                <w:szCs w:val="20"/>
                <w:color w:val="auto"/>
              </w:rPr>
            </w:pPr>
            <w:r>
              <w:rPr>
                <w:rFonts w:ascii="Arial" w:cs="Arial" w:eastAsia="Arial" w:hAnsi="Arial"/>
                <w:sz w:val="18"/>
                <w:szCs w:val="18"/>
                <w:color w:val="auto"/>
              </w:rPr>
              <w:t>Service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200,499</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182,176</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597,907</w:t>
            </w:r>
          </w:p>
        </w:tc>
        <w:tc>
          <w:tcPr>
            <w:tcW w:w="1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524,025</w:t>
            </w: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25,665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92,322</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226,164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690,229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601,313</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20" w:type="dxa"/>
            <w:vAlign w:val="bottom"/>
          </w:tcPr>
          <w:p>
            <w:pPr>
              <w:ind w:left="4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88,349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83,697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264,776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247,386</w:t>
            </w:r>
          </w:p>
        </w:tc>
      </w:tr>
      <w:tr>
        <w:trPr>
          <w:trHeight w:val="229"/>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12,229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40,734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30,932</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cost of revenues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100,578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305,510</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278,318</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384,719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322,995</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146,331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125,369</w:t>
            </w:r>
          </w:p>
        </w:tc>
      </w:tr>
      <w:tr>
        <w:trPr>
          <w:trHeight w:val="230"/>
        </w:trPr>
        <w:tc>
          <w:tcPr>
            <w:tcW w:w="57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48,081</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43,989</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59,915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194,412</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65,671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190,307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153,637</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58,585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167,142</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6,365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20,677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 (gain)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41,103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116,982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35,858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81,124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Less: Net income attributable to noncontrolling interests</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Sotera Health Company</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80,885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20" w:type="dxa"/>
            <w:vAlign w:val="bottom"/>
          </w:tcPr>
          <w:p>
            <w:pPr>
              <w:ind w:left="440"/>
              <w:spacing w:after="0"/>
              <w:rPr>
                <w:sz w:val="20"/>
                <w:szCs w:val="20"/>
                <w:color w:val="auto"/>
              </w:rPr>
            </w:pPr>
            <w:r>
              <w:rPr>
                <w:rFonts w:ascii="Arial" w:cs="Arial" w:eastAsia="Arial" w:hAnsi="Arial"/>
                <w:sz w:val="18"/>
                <w:szCs w:val="18"/>
                <w:color w:val="auto"/>
              </w:rPr>
              <w:t>Basic</w:t>
            </w: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0.10</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0.29</w:t>
            </w:r>
          </w:p>
        </w:tc>
        <w:tc>
          <w:tcPr>
            <w:tcW w:w="1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279,381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279,097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r>
      <w:tr>
        <w:trPr>
          <w:trHeight w:val="230"/>
        </w:trPr>
        <w:tc>
          <w:tcPr>
            <w:tcW w:w="5720" w:type="dxa"/>
            <w:vAlign w:val="bottom"/>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279,560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232,400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279,253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Segment Data</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23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145,314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126,302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421,647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363,954</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86,034</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164,771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151,325</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227,374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192,803</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61,285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50,692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63,302</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356,554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306,797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18,140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58,585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167,142</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112,756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107,158</w:t>
            </w: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10,489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(gain) on foreign currency and embedded derivatives</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(d)</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(f)</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23"/>
                <w:szCs w:val="23"/>
                <w:color w:val="auto"/>
                <w:vertAlign w:val="superscript"/>
              </w:rPr>
              <w:t>(h)</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9,449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33,492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25,370</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(i)</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(j)</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depreciation of Co-60 held at gamma irradiation sites.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non-cash share-based compensation expense.</w:t>
      </w:r>
    </w:p>
    <w:p>
      <w:pPr>
        <w:spacing w:after="0" w:line="5" w:lineRule="exact"/>
        <w:rPr>
          <w:rFonts w:ascii="Arial" w:cs="Arial" w:eastAsia="Arial" w:hAnsi="Arial"/>
          <w:sz w:val="16"/>
          <w:szCs w:val="16"/>
          <w:color w:val="auto"/>
        </w:rPr>
      </w:pPr>
    </w:p>
    <w:p>
      <w:pPr>
        <w:ind w:left="500" w:right="280" w:hanging="492"/>
        <w:spacing w:after="0" w:line="246" w:lineRule="auto"/>
        <w:tabs>
          <w:tab w:leader="none" w:pos="491"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(i) certain direct and incremental costs related to the acquisitions of the noncontrolling interests in our China subsidiaries and BioScience Labs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spacing w:after="0" w:line="2" w:lineRule="exact"/>
        <w:rPr>
          <w:rFonts w:ascii="Arial" w:cs="Arial" w:eastAsia="Arial" w:hAnsi="Arial"/>
          <w:sz w:val="16"/>
          <w:szCs w:val="16"/>
          <w:color w:val="auto"/>
        </w:rPr>
      </w:pPr>
    </w:p>
    <w:p>
      <w:pPr>
        <w:ind w:left="500" w:right="260" w:hanging="492"/>
        <w:spacing w:after="0" w:line="246" w:lineRule="auto"/>
        <w:tabs>
          <w:tab w:leader="none" w:pos="491"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professional fees, contract termination and exit costs, severance and other payroll costs, and other costs associated with business optimization and cost savings projects relating to the integration of recent acquisitions, the Sotera Health rebranding, operating structure realignment and other process enhancement projects.</w:t>
      </w:r>
    </w:p>
    <w:p>
      <w:pPr>
        <w:spacing w:after="0" w:line="1" w:lineRule="exact"/>
        <w:rPr>
          <w:rFonts w:ascii="Arial" w:cs="Arial" w:eastAsia="Arial" w:hAnsi="Arial"/>
          <w:sz w:val="16"/>
          <w:szCs w:val="16"/>
          <w:color w:val="auto"/>
        </w:rPr>
      </w:pPr>
    </w:p>
    <w:p>
      <w:pPr>
        <w:ind w:left="500" w:right="500" w:hanging="492"/>
        <w:spacing w:after="0" w:line="246"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w:t>
      </w:r>
    </w:p>
    <w:p>
      <w:pPr>
        <w:ind w:left="500" w:right="600" w:hanging="492"/>
        <w:spacing w:after="0" w:line="246" w:lineRule="auto"/>
        <w:tabs>
          <w:tab w:leader="none" w:pos="489" w:val="left"/>
        </w:tabs>
        <w:numPr>
          <w:ilvl w:val="0"/>
          <w:numId w:val="6"/>
        </w:numPr>
        <w:rPr>
          <w:rFonts w:ascii="Arial" w:cs="Arial" w:eastAsia="Arial" w:hAnsi="Arial"/>
          <w:sz w:val="15"/>
          <w:szCs w:val="15"/>
          <w:color w:val="auto"/>
        </w:rPr>
      </w:pPr>
      <w:r>
        <w:rPr>
          <w:rFonts w:ascii="Arial" w:cs="Arial" w:eastAsia="Arial" w:hAnsi="Arial"/>
          <w:sz w:val="16"/>
          <w:szCs w:val="16"/>
          <w:color w:val="auto"/>
        </w:rPr>
        <w:t>Represents expenses incurred in connection with the repricing of our Term Loan in January 2021 and full redemption of the First Lien Notes in August 2021 including accelerated amortization of prior debt issuance and discount costs.</w:t>
      </w: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professional fees related to litigation associated with our EO sterilization facilities and other related professional fees.</w:t>
      </w:r>
    </w:p>
    <w:p>
      <w:pPr>
        <w:spacing w:after="0" w:line="5" w:lineRule="exact"/>
        <w:rPr>
          <w:rFonts w:ascii="Arial" w:cs="Arial" w:eastAsia="Arial" w:hAnsi="Arial"/>
          <w:sz w:val="16"/>
          <w:szCs w:val="16"/>
          <w:color w:val="auto"/>
        </w:rPr>
      </w:pPr>
    </w:p>
    <w:p>
      <w:pPr>
        <w:jc w:val="both"/>
        <w:ind w:left="500" w:right="120" w:hanging="492"/>
        <w:spacing w:after="0" w:line="246" w:lineRule="auto"/>
        <w:tabs>
          <w:tab w:leader="none" w:pos="491"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6"/>
          <w:szCs w:val="16"/>
          <w:color w:val="auto"/>
        </w:rPr>
      </w:pPr>
    </w:p>
    <w:p>
      <w:pPr>
        <w:ind w:left="500" w:right="20" w:hanging="492"/>
        <w:spacing w:after="0" w:line="251" w:lineRule="auto"/>
        <w:tabs>
          <w:tab w:leader="none" w:pos="491"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non-recurring costs associated with the COVID-19 pandemic, including incremental costs to implement workplace health and safety measures. For the nine months ended September 30, 2020, costs also included donations to related charitable causes and special bonuses for front-line personnel working on-site during lockdown periods.</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342"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As of December 31,</w:t>
            </w:r>
          </w:p>
        </w:tc>
        <w:tc>
          <w:tcPr>
            <w:tcW w:w="0" w:type="dxa"/>
            <w:vAlign w:val="bottom"/>
          </w:tcPr>
          <w:p>
            <w:pPr>
              <w:spacing w:after="0"/>
              <w:rPr>
                <w:sz w:val="1"/>
                <w:szCs w:val="1"/>
                <w:color w:val="auto"/>
              </w:rPr>
            </w:pPr>
          </w:p>
        </w:tc>
      </w:tr>
      <w:tr>
        <w:trPr>
          <w:trHeight w:val="234"/>
        </w:trPr>
        <w:tc>
          <w:tcPr>
            <w:tcW w:w="406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102,454</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96,094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91,735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37,496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88,796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86,733</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337,305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315,015</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624,341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609,814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45,963</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608,641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643,366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1,103,148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1,115,936</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26,622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31,185</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2,742,739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6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140,598</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1,742,578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1,824,789</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202,224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219,502</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2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138,562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121,816</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2,216,970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2,306,705</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9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525,769</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454,574</w:t>
            </w:r>
          </w:p>
        </w:tc>
        <w:tc>
          <w:tcPr>
            <w:tcW w:w="0" w:type="dxa"/>
            <w:vAlign w:val="bottom"/>
          </w:tcPr>
          <w:p>
            <w:pPr>
              <w:spacing w:after="0"/>
              <w:rPr>
                <w:sz w:val="1"/>
                <w:szCs w:val="1"/>
                <w:color w:val="auto"/>
              </w:rPr>
            </w:pPr>
          </w:p>
        </w:tc>
      </w:tr>
      <w:tr>
        <w:trPr>
          <w:trHeight w:val="28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2,742,739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7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81,124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5,895</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106,806</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(18,640)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215,194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98,740</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(60,898)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Purchase of mandatorily redeemable noncontrolling interest in Nelson Laboratories Fairfield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(12,425)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BioScience Laboratories, LLC, net of cash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Purchase of Iotron Industries Canada, Inc., net of cash acquired</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(106,280)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(87,570)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(139,920)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noncontrolling interests in China subsidiaries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Payments of debt issuance costs and prepayment premium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(3,898)</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long-term borrowings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(61,025)</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(115,504)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83,961</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including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102,454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63,025</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114,919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during the period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right="2160"/>
        <w:spacing w:after="0" w:line="292" w:lineRule="auto"/>
        <w:rPr>
          <w:sz w:val="20"/>
          <w:szCs w:val="20"/>
          <w:color w:val="auto"/>
        </w:rPr>
      </w:pPr>
      <w:r>
        <w:rPr>
          <w:rFonts w:ascii="Arial" w:cs="Arial" w:eastAsia="Arial" w:hAnsi="Arial"/>
          <w:sz w:val="18"/>
          <w:szCs w:val="18"/>
          <w:color w:val="auto"/>
        </w:rPr>
        <w:t>Cash paid during the period for income taxes, net of tax refunds received Equipment purchases included in accounts payable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20" w:type="dxa"/>
            <w:vAlign w:val="bottom"/>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53,726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163,965</w:t>
            </w:r>
          </w:p>
        </w:tc>
      </w:tr>
      <w:tr>
        <w:trPr>
          <w:trHeight w:val="230"/>
        </w:trPr>
        <w:tc>
          <w:tcPr>
            <w:tcW w:w="4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31,922</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9,650</w:t>
            </w:r>
          </w:p>
        </w:tc>
      </w:tr>
      <w:tr>
        <w:trPr>
          <w:trHeight w:val="234"/>
        </w:trPr>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14,527</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8,494</w:t>
            </w:r>
          </w:p>
        </w:tc>
      </w:tr>
    </w:tbl>
    <w:p>
      <w:pPr>
        <w:spacing w:after="0" w:line="244" w:lineRule="exact"/>
        <w:rPr>
          <w:sz w:val="20"/>
          <w:szCs w:val="20"/>
          <w:color w:val="auto"/>
        </w:rPr>
      </w:pPr>
    </w:p>
    <w:p>
      <w:pPr>
        <w:sectPr>
          <w:pgSz w:w="11900" w:h="16838" w:orient="portrait"/>
          <w:cols w:equalWidth="0" w:num="2">
            <w:col w:w="7760" w:space="720"/>
            <w:col w:w="2760"/>
          </w:cols>
          <w:pgMar w:left="320" w:top="126" w:right="339" w:bottom="144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ind w:right="-1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ind w:left="4152"/>
        <w:spacing w:after="0"/>
        <w:rPr>
          <w:sz w:val="20"/>
          <w:szCs w:val="20"/>
          <w:color w:val="auto"/>
        </w:rPr>
      </w:pPr>
      <w:r>
        <w:rPr>
          <w:rFonts w:ascii="Arial" w:cs="Arial" w:eastAsia="Arial" w:hAnsi="Arial"/>
          <w:sz w:val="22"/>
          <w:szCs w:val="22"/>
          <w:b w:val="1"/>
          <w:bCs w:val="1"/>
          <w:color w:val="auto"/>
        </w:rPr>
        <w:t>Non-GAAP Financial Measures</w:t>
      </w:r>
    </w:p>
    <w:p>
      <w:pPr>
        <w:ind w:left="4132"/>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(unaudited)</w:t>
      </w:r>
    </w:p>
    <w:p>
      <w:pPr>
        <w:spacing w:after="0" w:line="383" w:lineRule="exact"/>
        <w:rPr>
          <w:sz w:val="20"/>
          <w:szCs w:val="20"/>
          <w:color w:val="auto"/>
        </w:rPr>
      </w:pPr>
    </w:p>
    <w:tbl>
      <w:tblPr>
        <w:tblLayout w:type="fixed"/>
        <w:tblInd w:w="12" w:type="dxa"/>
        <w:tblCellMar>
          <w:top w:w="0" w:type="dxa"/>
          <w:left w:w="0" w:type="dxa"/>
          <w:bottom w:w="0" w:type="dxa"/>
          <w:right w:w="0" w:type="dxa"/>
        </w:tblCellMar>
      </w:tblPr>
      <w:tr>
        <w:trPr>
          <w:trHeight w:val="202"/>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5"/>
                <w:szCs w:val="15"/>
                <w:b w:val="1"/>
                <w:bCs w:val="1"/>
                <w:color w:val="auto"/>
                <w:w w:val="96"/>
              </w:rPr>
              <w:t>Nine Months Ended September 30,</w:t>
            </w:r>
          </w:p>
        </w:tc>
      </w:tr>
      <w:tr>
        <w:trPr>
          <w:trHeight w:val="211"/>
        </w:trPr>
        <w:tc>
          <w:tcPr>
            <w:tcW w:w="5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27,444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81,124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5,895</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21,239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20,200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65,299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59,824</w:t>
            </w:r>
          </w:p>
        </w:tc>
      </w:tr>
      <w:tr>
        <w:trPr>
          <w:trHeight w:val="219"/>
        </w:trPr>
        <w:tc>
          <w:tcPr>
            <w:tcW w:w="528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4,019</w:t>
            </w:r>
          </w:p>
        </w:tc>
      </w:tr>
      <w:tr>
        <w:trPr>
          <w:trHeight w:val="216"/>
        </w:trPr>
        <w:tc>
          <w:tcPr>
            <w:tcW w:w="5280" w:type="dxa"/>
            <w:vAlign w:val="bottom"/>
          </w:tcPr>
          <w:p>
            <w:pPr>
              <w:ind w:left="240"/>
              <w:spacing w:after="0" w:line="216" w:lineRule="exact"/>
              <w:rPr>
                <w:sz w:val="20"/>
                <w:szCs w:val="20"/>
                <w:color w:val="auto"/>
              </w:rPr>
            </w:pPr>
            <w:r>
              <w:rPr>
                <w:rFonts w:ascii="Arial" w:cs="Arial" w:eastAsia="Arial" w:hAnsi="Arial"/>
                <w:sz w:val="16"/>
                <w:szCs w:val="16"/>
                <w:color w:val="auto"/>
              </w:rPr>
              <w:t>(Gain) loss on foreign currency and embedded derivatives</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1,881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885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(4,791)</w:t>
            </w:r>
          </w:p>
        </w:tc>
      </w:tr>
      <w:tr>
        <w:trPr>
          <w:trHeight w:val="216"/>
        </w:trPr>
        <w:tc>
          <w:tcPr>
            <w:tcW w:w="52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2,970</w:t>
            </w:r>
          </w:p>
        </w:tc>
      </w:tr>
      <w:tr>
        <w:trPr>
          <w:trHeight w:val="216"/>
        </w:trPr>
        <w:tc>
          <w:tcPr>
            <w:tcW w:w="528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1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780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2,484</w:t>
            </w:r>
          </w:p>
        </w:tc>
      </w:tr>
      <w:tr>
        <w:trPr>
          <w:trHeight w:val="216"/>
        </w:trPr>
        <w:tc>
          <w:tcPr>
            <w:tcW w:w="52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2,388</w:t>
            </w:r>
          </w:p>
        </w:tc>
      </w:tr>
      <w:tr>
        <w:trPr>
          <w:trHeight w:val="216"/>
        </w:trPr>
        <w:tc>
          <w:tcPr>
            <w:tcW w:w="5280" w:type="dxa"/>
            <w:vAlign w:val="bottom"/>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(f)</w:t>
            </w:r>
          </w:p>
        </w:tc>
        <w:tc>
          <w:tcPr>
            <w:tcW w:w="1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6,365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20,677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52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(g)</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9,449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33,492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25,370</w:t>
            </w:r>
          </w:p>
        </w:tc>
      </w:tr>
      <w:tr>
        <w:trPr>
          <w:trHeight w:val="216"/>
        </w:trPr>
        <w:tc>
          <w:tcPr>
            <w:tcW w:w="5280" w:type="dxa"/>
            <w:vAlign w:val="bottom"/>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(h)</w:t>
            </w:r>
          </w:p>
        </w:tc>
        <w:tc>
          <w:tcPr>
            <w:tcW w:w="1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598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1,751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1,476</w:t>
            </w:r>
          </w:p>
        </w:tc>
      </w:tr>
      <w:tr>
        <w:trPr>
          <w:trHeight w:val="216"/>
        </w:trPr>
        <w:tc>
          <w:tcPr>
            <w:tcW w:w="528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(i)</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2,363</w:t>
            </w:r>
          </w:p>
        </w:tc>
      </w:tr>
      <w:tr>
        <w:trPr>
          <w:trHeight w:val="216"/>
        </w:trPr>
        <w:tc>
          <w:tcPr>
            <w:tcW w:w="528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(j)</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(9,776)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(8,494)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(32,772)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(24,854)</w:t>
            </w: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58,704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21,973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181,882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77,144</w:t>
            </w:r>
          </w:p>
        </w:tc>
      </w:tr>
      <w:tr>
        <w:trPr>
          <w:trHeight w:val="207"/>
        </w:trPr>
        <w:tc>
          <w:tcPr>
            <w:tcW w:w="528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18,140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55,330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58,585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167,142</w:t>
            </w:r>
          </w:p>
        </w:tc>
      </w:tr>
      <w:tr>
        <w:trPr>
          <w:trHeight w:val="219"/>
        </w:trPr>
        <w:tc>
          <w:tcPr>
            <w:tcW w:w="528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(k)</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16,395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47,457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47,334</w:t>
            </w:r>
          </w:p>
        </w:tc>
      </w:tr>
      <w:tr>
        <w:trPr>
          <w:trHeight w:val="216"/>
        </w:trPr>
        <w:tc>
          <w:tcPr>
            <w:tcW w:w="528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(l)</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23,435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7,281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68,630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15,177</w:t>
            </w:r>
          </w:p>
        </w:tc>
      </w:tr>
      <w:tr>
        <w:trPr>
          <w:trHeight w:val="234"/>
        </w:trPr>
        <w:tc>
          <w:tcPr>
            <w:tcW w:w="528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116,674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100,485</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356,554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306,797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226,164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200,028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690,229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601,313</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51.6 %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51.7 %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51.0 %</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279,381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232,400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279,097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232,400</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279,560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232,400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279,253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232,400</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0.10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0.29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0.02</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0.21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0.65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0.33</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r>
    </w:tbl>
    <w:p>
      <w:pPr>
        <w:spacing w:after="0" w:line="189" w:lineRule="exact"/>
        <w:rPr>
          <w:sz w:val="20"/>
          <w:szCs w:val="20"/>
          <w:color w:val="auto"/>
        </w:rPr>
      </w:pPr>
    </w:p>
    <w:p>
      <w:pPr>
        <w:ind w:left="332" w:hanging="332"/>
        <w:spacing w:after="0"/>
        <w:tabs>
          <w:tab w:leader="none" w:pos="332"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non-cash share-based compensation expense.</w:t>
      </w:r>
    </w:p>
    <w:p>
      <w:pPr>
        <w:spacing w:after="0" w:line="15" w:lineRule="exact"/>
        <w:rPr>
          <w:rFonts w:ascii="Arial" w:cs="Arial" w:eastAsia="Arial" w:hAnsi="Arial"/>
          <w:sz w:val="15"/>
          <w:szCs w:val="15"/>
          <w:color w:val="auto"/>
        </w:rPr>
      </w:pPr>
    </w:p>
    <w:p>
      <w:pPr>
        <w:ind w:left="652" w:right="340" w:hanging="652"/>
        <w:spacing w:after="0" w:line="261" w:lineRule="auto"/>
        <w:tabs>
          <w:tab w:leader="none" w:pos="335"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ind w:left="652" w:right="120" w:hanging="652"/>
        <w:spacing w:after="0" w:line="244" w:lineRule="auto"/>
        <w:tabs>
          <w:tab w:leader="none" w:pos="327"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(i) certain direct and incremental costs related to the acquisitions of the noncontrolling interests in our China subsidiaries and BioScience Labs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ind w:left="332" w:hanging="332"/>
        <w:spacing w:after="0"/>
        <w:tabs>
          <w:tab w:leader="none" w:pos="332"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w:t>
      </w:r>
    </w:p>
    <w:p>
      <w:pPr>
        <w:spacing w:after="0" w:line="14" w:lineRule="exact"/>
        <w:rPr>
          <w:rFonts w:ascii="Arial" w:cs="Arial" w:eastAsia="Arial" w:hAnsi="Arial"/>
          <w:sz w:val="14"/>
          <w:szCs w:val="14"/>
          <w:color w:val="auto"/>
        </w:rPr>
      </w:pPr>
    </w:p>
    <w:p>
      <w:pPr>
        <w:ind w:left="652"/>
        <w:spacing w:after="0"/>
        <w:rPr>
          <w:rFonts w:ascii="Arial" w:cs="Arial" w:eastAsia="Arial" w:hAnsi="Arial"/>
          <w:sz w:val="14"/>
          <w:szCs w:val="14"/>
          <w:color w:val="auto"/>
        </w:rPr>
      </w:pPr>
      <w:r>
        <w:rPr>
          <w:rFonts w:ascii="Arial" w:cs="Arial" w:eastAsia="Arial" w:hAnsi="Arial"/>
          <w:sz w:val="14"/>
          <w:szCs w:val="14"/>
          <w:color w:val="auto"/>
        </w:rPr>
        <w:t>projects relating to the integration of recent acquisitions, the Sotera Health rebranding, operating structure realignment and other process enhancement projects.</w:t>
      </w:r>
    </w:p>
    <w:p>
      <w:pPr>
        <w:spacing w:after="0" w:line="14" w:lineRule="exact"/>
        <w:rPr>
          <w:rFonts w:ascii="Arial" w:cs="Arial" w:eastAsia="Arial" w:hAnsi="Arial"/>
          <w:sz w:val="14"/>
          <w:szCs w:val="14"/>
          <w:color w:val="auto"/>
        </w:rPr>
      </w:pPr>
    </w:p>
    <w:p>
      <w:pPr>
        <w:ind w:left="652" w:right="340" w:hanging="652"/>
        <w:spacing w:after="0" w:line="244" w:lineRule="auto"/>
        <w:tabs>
          <w:tab w:leader="none" w:pos="327"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w:t>
      </w:r>
    </w:p>
    <w:p>
      <w:pPr>
        <w:ind w:left="652" w:right="380" w:hanging="652"/>
        <w:spacing w:after="0" w:line="244" w:lineRule="auto"/>
        <w:tabs>
          <w:tab w:leader="none" w:pos="643"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expenses incurred in connection with the repricing of our Term Loan in January 2021 and full redemption of the First Lien Notes in August 2021 including accelerated amortization of prior debt issuance and discount costs.</w:t>
      </w:r>
    </w:p>
    <w:p>
      <w:pPr>
        <w:ind w:left="332" w:hanging="332"/>
        <w:spacing w:after="0"/>
        <w:tabs>
          <w:tab w:leader="none" w:pos="332"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professional fees related to litigation associated with our EO sterilization facilities and other related professional fees.</w:t>
      </w:r>
    </w:p>
    <w:p>
      <w:pPr>
        <w:spacing w:after="0" w:line="3" w:lineRule="exact"/>
        <w:rPr>
          <w:rFonts w:ascii="Arial" w:cs="Arial" w:eastAsia="Arial" w:hAnsi="Arial"/>
          <w:sz w:val="15"/>
          <w:szCs w:val="15"/>
          <w:color w:val="auto"/>
        </w:rPr>
      </w:pPr>
    </w:p>
    <w:p>
      <w:pPr>
        <w:ind w:left="652" w:right="220" w:hanging="652"/>
        <w:spacing w:after="0" w:line="244" w:lineRule="auto"/>
        <w:tabs>
          <w:tab w:leader="none" w:pos="335"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652" w:right="20" w:hanging="652"/>
        <w:spacing w:after="0" w:line="281" w:lineRule="auto"/>
        <w:tabs>
          <w:tab w:leader="none" w:pos="301"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non-recurring costs associated with the COVID-19 pandemic, including incremental costs to implement workplace health and safety measures. For the nine months ended September 30, 2020, costs also included donations to related charitable causes, and special bonuses for front-line personnel working on-site during lockdown periods.</w:t>
      </w:r>
    </w:p>
    <w:p>
      <w:pPr>
        <w:ind w:left="652" w:right="640" w:hanging="652"/>
        <w:spacing w:after="0" w:line="293" w:lineRule="auto"/>
        <w:tabs>
          <w:tab w:leader="none" w:pos="301" w:val="left"/>
        </w:tabs>
        <w:numPr>
          <w:ilvl w:val="0"/>
          <w:numId w:val="7"/>
        </w:numPr>
        <w:rPr>
          <w:rFonts w:ascii="Arial" w:cs="Arial" w:eastAsia="Arial" w:hAnsi="Arial"/>
          <w:sz w:val="14"/>
          <w:szCs w:val="14"/>
          <w:color w:val="231F20"/>
        </w:rPr>
      </w:pPr>
      <w:r>
        <w:rPr>
          <w:rFonts w:ascii="Arial" w:cs="Arial" w:eastAsia="Arial" w:hAnsi="Arial"/>
          <w:sz w:val="14"/>
          <w:szCs w:val="14"/>
          <w:color w:val="231F20"/>
        </w:rPr>
        <w:t>Represents the tax benefit or provision associated with the reconciling items between net income and Adjusted Net Income. To determine the aggregate tax effect of the reconciling items, we utilized statutory income tax rates ranging from 0% to 35%, depending upon the applicable jurisdictions of each adjustment.</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12"/>
          </w:cols>
          <w:pgMar w:left="328" w:top="126" w:right="359" w:bottom="1440" w:gutter="0" w:footer="0" w:header="0"/>
        </w:sectPr>
      </w:pPr>
    </w:p>
    <w:bookmarkStart w:id="13" w:name="page14"/>
    <w:bookmarkEnd w:id="13"/>
    <w:p>
      <w:pPr>
        <w:ind w:left="332" w:hanging="332"/>
        <w:spacing w:after="0"/>
        <w:tabs>
          <w:tab w:leader="none" w:pos="332"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Includes depreciation of Co-60 held at gamma irradiation sites.</w:t>
      </w:r>
    </w:p>
    <w:p>
      <w:pPr>
        <w:spacing w:after="0" w:line="15" w:lineRule="exact"/>
        <w:rPr>
          <w:rFonts w:ascii="Arial" w:cs="Arial" w:eastAsia="Arial" w:hAnsi="Arial"/>
          <w:sz w:val="15"/>
          <w:szCs w:val="15"/>
          <w:color w:val="231F20"/>
        </w:rPr>
      </w:pPr>
    </w:p>
    <w:p>
      <w:pPr>
        <w:ind w:left="652" w:hanging="652"/>
        <w:spacing w:after="0" w:line="244" w:lineRule="auto"/>
        <w:tabs>
          <w:tab w:leader="none" w:pos="301"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Represents the difference between income tax expense or benefit as determined under U.S. GAAP and the income tax benefit associated with pre-tax adjustments described in footnote (j).</w:t>
      </w:r>
    </w:p>
    <w:p>
      <w:pPr>
        <w:ind w:left="652" w:right="80" w:hanging="652"/>
        <w:spacing w:after="0" w:line="251" w:lineRule="auto"/>
        <w:tabs>
          <w:tab w:leader="none" w:pos="416" w:val="left"/>
        </w:tabs>
        <w:numPr>
          <w:ilvl w:val="0"/>
          <w:numId w:val="8"/>
        </w:numPr>
        <w:rPr>
          <w:rFonts w:ascii="Arial" w:cs="Arial" w:eastAsia="Arial" w:hAnsi="Arial"/>
          <w:sz w:val="15"/>
          <w:szCs w:val="15"/>
          <w:color w:val="auto"/>
        </w:rPr>
      </w:pPr>
      <w:r>
        <w:rPr>
          <w:rFonts w:ascii="Arial" w:cs="Arial" w:eastAsia="Arial" w:hAnsi="Arial"/>
          <w:sz w:val="15"/>
          <w:szCs w:val="15"/>
          <w:color w:val="auto"/>
        </w:rPr>
        <w:t>$20.8 million and $21.3 million of the adjustments for the three months ended September 30, 2021 and 2020, respectively, and $63.3 million and $62.0 million of the adjustments for the nine months ended September 30, 2021 and 2020, respectively, are included in cost of revenues, primarily consisting of amortization of intangibles, depreciation, and accretion of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72"/>
          </w:cols>
          <w:pgMar w:left="328" w:top="1422" w:right="59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Financial Measures</w:t>
      </w:r>
    </w:p>
    <w:p>
      <w:pPr>
        <w:jc w:val="center"/>
        <w:spacing w:after="0"/>
        <w:rPr>
          <w:sz w:val="20"/>
          <w:szCs w:val="20"/>
          <w:color w:val="auto"/>
        </w:rPr>
      </w:pPr>
      <w:r>
        <w:rPr>
          <w:rFonts w:ascii="Arial" w:cs="Arial" w:eastAsia="Arial" w:hAnsi="Arial"/>
          <w:sz w:val="18"/>
          <w:szCs w:val="18"/>
          <w:i w:val="1"/>
          <w:iCs w:val="1"/>
          <w:color w:val="auto"/>
        </w:rPr>
        <w:t>($’s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of September 30,</w:t>
            </w:r>
          </w:p>
        </w:tc>
        <w:tc>
          <w:tcPr>
            <w:tcW w:w="20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As of December 31,</w:t>
            </w:r>
          </w:p>
        </w:tc>
      </w:tr>
      <w:tr>
        <w:trPr>
          <w:trHeight w:val="234"/>
        </w:trPr>
        <w:tc>
          <w:tcPr>
            <w:tcW w:w="482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1,742,578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1,824,789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Current portion of finance leases</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1,339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less current portion</w:t>
            </w:r>
          </w:p>
        </w:tc>
        <w:tc>
          <w:tcPr>
            <w:tcW w:w="2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34,939</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2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1,781,931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1,860,901</w:t>
            </w:r>
          </w:p>
        </w:tc>
      </w:tr>
      <w:tr>
        <w:trPr>
          <w:trHeight w:val="196"/>
        </w:trPr>
        <w:tc>
          <w:tcPr>
            <w:tcW w:w="48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Add: unamortized debt issuance costs and debt discounts</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20,972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38,761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and cash equivalents</w:t>
            </w:r>
          </w:p>
        </w:tc>
        <w:tc>
          <w:tcPr>
            <w:tcW w:w="2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(114,919)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(102,454)</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Net Debt</w:t>
            </w:r>
          </w:p>
        </w:tc>
        <w:tc>
          <w:tcPr>
            <w:tcW w:w="2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1,687,984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1,797,208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469,616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419,859</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Leverage</w:t>
            </w: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3.6x</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4.3x</w:t>
            </w:r>
          </w:p>
        </w:tc>
      </w:tr>
      <w:tr>
        <w:trPr>
          <w:trHeight w:val="729"/>
        </w:trPr>
        <w:tc>
          <w:tcPr>
            <w:tcW w:w="4820" w:type="dxa"/>
            <w:vAlign w:val="bottom"/>
          </w:tcPr>
          <w:p>
            <w:pPr>
              <w:spacing w:after="0"/>
              <w:rPr>
                <w:sz w:val="24"/>
                <w:szCs w:val="24"/>
                <w:color w:val="auto"/>
              </w:rPr>
            </w:pPr>
          </w:p>
        </w:tc>
        <w:tc>
          <w:tcPr>
            <w:tcW w:w="2180" w:type="dxa"/>
            <w:vAlign w:val="bottom"/>
          </w:tcPr>
          <w:p>
            <w:pPr>
              <w:jc w:val="right"/>
              <w:ind w:right="12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00"/>
          </w:cols>
          <w:pgMar w:left="340" w:top="126" w:right="3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Financial Measures</w:t>
      </w: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Twelve Months Ended</w:t>
            </w:r>
          </w:p>
        </w:tc>
        <w:tc>
          <w:tcPr>
            <w:tcW w:w="120" w:type="dxa"/>
            <w:vAlign w:val="bottom"/>
          </w:tcPr>
          <w:p>
            <w:pPr>
              <w:spacing w:after="0"/>
              <w:rPr>
                <w:sz w:val="14"/>
                <w:szCs w:val="14"/>
                <w:color w:val="auto"/>
              </w:rPr>
            </w:pPr>
          </w:p>
        </w:tc>
        <w:tc>
          <w:tcPr>
            <w:tcW w:w="1700" w:type="dxa"/>
            <w:vAlign w:val="bottom"/>
          </w:tcPr>
          <w:p>
            <w:pPr>
              <w:jc w:val="center"/>
              <w:ind w:right="79"/>
              <w:spacing w:after="0"/>
              <w:rPr>
                <w:sz w:val="20"/>
                <w:szCs w:val="20"/>
                <w:color w:val="auto"/>
              </w:rPr>
            </w:pPr>
            <w:r>
              <w:rPr>
                <w:rFonts w:ascii="Arial" w:cs="Arial" w:eastAsia="Arial" w:hAnsi="Arial"/>
                <w:sz w:val="15"/>
                <w:szCs w:val="15"/>
                <w:b w:val="1"/>
                <w:bCs w:val="1"/>
                <w:color w:val="auto"/>
                <w:w w:val="92"/>
              </w:rPr>
              <w:t>Twelve Months Ended</w:t>
            </w:r>
          </w:p>
        </w:tc>
      </w:tr>
      <w:tr>
        <w:trPr>
          <w:trHeight w:val="200"/>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September 30,</w:t>
            </w:r>
          </w:p>
        </w:tc>
        <w:tc>
          <w:tcPr>
            <w:tcW w:w="120" w:type="dxa"/>
            <w:vAlign w:val="bottom"/>
          </w:tcPr>
          <w:p>
            <w:pPr>
              <w:spacing w:after="0"/>
              <w:rPr>
                <w:sz w:val="17"/>
                <w:szCs w:val="17"/>
                <w:color w:val="auto"/>
              </w:rPr>
            </w:pPr>
          </w:p>
        </w:tc>
        <w:tc>
          <w:tcPr>
            <w:tcW w:w="1700" w:type="dxa"/>
            <w:vAlign w:val="bottom"/>
          </w:tcPr>
          <w:p>
            <w:pPr>
              <w:jc w:val="center"/>
              <w:ind w:right="79"/>
              <w:spacing w:after="0"/>
              <w:rPr>
                <w:sz w:val="20"/>
                <w:szCs w:val="20"/>
                <w:color w:val="auto"/>
              </w:rPr>
            </w:pPr>
            <w:r>
              <w:rPr>
                <w:rFonts w:ascii="Arial" w:cs="Arial" w:eastAsia="Arial" w:hAnsi="Arial"/>
                <w:sz w:val="15"/>
                <w:szCs w:val="15"/>
                <w:b w:val="1"/>
                <w:bCs w:val="1"/>
                <w:color w:val="auto"/>
                <w:w w:val="92"/>
              </w:rPr>
              <w:t>December 31,</w:t>
            </w:r>
          </w:p>
        </w:tc>
      </w:tr>
      <w:tr>
        <w:trPr>
          <w:trHeight w:val="209"/>
        </w:trPr>
        <w:tc>
          <w:tcPr>
            <w:tcW w:w="7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(37,491)</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85,730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80,255</w:t>
            </w:r>
          </w:p>
        </w:tc>
      </w:tr>
      <w:tr>
        <w:trPr>
          <w:trHeight w:val="219"/>
        </w:trPr>
        <w:tc>
          <w:tcPr>
            <w:tcW w:w="74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Capital restructuring bonuses</w:t>
            </w:r>
            <w:r>
              <w:rPr>
                <w:rFonts w:ascii="Arial" w:cs="Arial" w:eastAsia="Arial" w:hAnsi="Arial"/>
                <w:sz w:val="21"/>
                <w:szCs w:val="21"/>
                <w:color w:val="auto"/>
                <w:vertAlign w:val="superscript"/>
              </w:rPr>
              <w:t>(b)</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2,702</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Gain on foreign currency and embedded derivatives</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(d)</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(1,041)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3,932</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(f)</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1,825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2,649</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64,939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44,262</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(h)</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44,793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36,671</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(j)</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(k)</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(51,454)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(43,536)</w:t>
            </w:r>
          </w:p>
        </w:tc>
      </w:tr>
      <w:tr>
        <w:trPr>
          <w:trHeight w:val="20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203,862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99,124</w:t>
            </w:r>
          </w:p>
        </w:tc>
      </w:tr>
      <w:tr>
        <w:trPr>
          <w:trHeight w:val="212"/>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215,259</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(l)</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63,432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63,309</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(m)</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95,620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42,167</w:t>
            </w:r>
          </w:p>
        </w:tc>
      </w:tr>
      <w:tr>
        <w:trPr>
          <w:trHeight w:val="210"/>
        </w:trPr>
        <w:tc>
          <w:tcPr>
            <w:tcW w:w="744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469,616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419,859</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40" w:hanging="310"/>
        <w:spacing w:after="0"/>
        <w:tabs>
          <w:tab w:leader="none" w:pos="440" w:val="left"/>
        </w:tabs>
        <w:numPr>
          <w:ilvl w:val="0"/>
          <w:numId w:val="9"/>
        </w:numPr>
        <w:rPr>
          <w:rFonts w:ascii="Arial" w:cs="Arial" w:eastAsia="Arial" w:hAnsi="Arial"/>
          <w:sz w:val="15"/>
          <w:szCs w:val="15"/>
          <w:color w:val="231F20"/>
        </w:rPr>
      </w:pPr>
      <w:r>
        <w:rPr>
          <w:rFonts w:ascii="Arial" w:cs="Arial" w:eastAsia="Arial" w:hAnsi="Arial"/>
          <w:sz w:val="15"/>
          <w:szCs w:val="15"/>
          <w:color w:val="auto"/>
        </w:rPr>
        <w:t>Includes non-cash share-based compensation expense.</w:t>
      </w:r>
    </w:p>
    <w:p>
      <w:pPr>
        <w:spacing w:after="0" w:line="43" w:lineRule="exact"/>
        <w:rPr>
          <w:rFonts w:ascii="Arial" w:cs="Arial" w:eastAsia="Arial" w:hAnsi="Arial"/>
          <w:sz w:val="15"/>
          <w:szCs w:val="15"/>
          <w:color w:val="231F20"/>
        </w:rPr>
      </w:pPr>
    </w:p>
    <w:p>
      <w:pPr>
        <w:ind w:left="440" w:hanging="310"/>
        <w:spacing w:after="0"/>
        <w:tabs>
          <w:tab w:leader="none" w:pos="440"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cash bonuses for members of management primarily relating to the November 2020 IPO.</w:t>
      </w:r>
    </w:p>
    <w:p>
      <w:pPr>
        <w:spacing w:after="0" w:line="43" w:lineRule="exact"/>
        <w:rPr>
          <w:rFonts w:ascii="Arial" w:cs="Arial" w:eastAsia="Arial" w:hAnsi="Arial"/>
          <w:sz w:val="15"/>
          <w:szCs w:val="15"/>
          <w:color w:val="231F20"/>
        </w:rPr>
      </w:pPr>
    </w:p>
    <w:p>
      <w:pPr>
        <w:ind w:left="460" w:right="200" w:hanging="330"/>
        <w:spacing w:after="0" w:line="284" w:lineRule="auto"/>
        <w:tabs>
          <w:tab w:leader="none" w:pos="454" w:val="left"/>
        </w:tabs>
        <w:numPr>
          <w:ilvl w:val="0"/>
          <w:numId w:val="9"/>
        </w:numPr>
        <w:rPr>
          <w:rFonts w:ascii="Arial" w:cs="Arial" w:eastAsia="Arial" w:hAnsi="Arial"/>
          <w:sz w:val="14"/>
          <w:szCs w:val="14"/>
          <w:color w:val="231F20"/>
        </w:rPr>
      </w:pPr>
      <w:r>
        <w:rPr>
          <w:rFonts w:ascii="Arial" w:cs="Arial" w:eastAsia="Arial" w:hAnsi="Arial"/>
          <w:sz w:val="14"/>
          <w:szCs w:val="14"/>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0" w:lineRule="exact"/>
        <w:rPr>
          <w:rFonts w:ascii="Arial" w:cs="Arial" w:eastAsia="Arial" w:hAnsi="Arial"/>
          <w:sz w:val="14"/>
          <w:szCs w:val="14"/>
          <w:color w:val="231F20"/>
        </w:rPr>
      </w:pPr>
    </w:p>
    <w:p>
      <w:pPr>
        <w:ind w:left="460" w:right="120" w:hanging="330"/>
        <w:spacing w:after="0" w:line="24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5"/>
          <w:szCs w:val="15"/>
          <w:color w:val="auto"/>
        </w:rPr>
        <w:t>Represents (i) certain direct and incremental costs related to the acquisitions of the noncontrolling interests in our China subsidiaries and BioScience Labs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spacing w:after="0" w:line="20" w:lineRule="exact"/>
        <w:rPr>
          <w:rFonts w:ascii="Arial" w:cs="Arial" w:eastAsia="Arial" w:hAnsi="Arial"/>
          <w:sz w:val="16"/>
          <w:szCs w:val="16"/>
          <w:color w:val="auto"/>
        </w:rPr>
      </w:pPr>
    </w:p>
    <w:p>
      <w:pPr>
        <w:ind w:left="460" w:right="320" w:hanging="330"/>
        <w:spacing w:after="0" w:line="314" w:lineRule="auto"/>
        <w:tabs>
          <w:tab w:leader="none" w:pos="454"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professional fees, contract termination and exit costs, severance and other payroll costs, and other costs associated with business optimization and cost savings projects relating to the integration of recent acquisitions, the Sotera Health rebranding, operating structure realignment and other process enhancement projects.</w:t>
      </w:r>
    </w:p>
    <w:p>
      <w:pPr>
        <w:ind w:left="460" w:right="180" w:hanging="330"/>
        <w:spacing w:after="0" w:line="262" w:lineRule="auto"/>
        <w:tabs>
          <w:tab w:leader="none" w:pos="451"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w:t>
      </w:r>
    </w:p>
    <w:p>
      <w:pPr>
        <w:spacing w:after="0" w:line="1" w:lineRule="exact"/>
        <w:rPr>
          <w:rFonts w:ascii="Arial" w:cs="Arial" w:eastAsia="Arial" w:hAnsi="Arial"/>
          <w:sz w:val="15"/>
          <w:szCs w:val="15"/>
          <w:color w:val="231F20"/>
        </w:rPr>
      </w:pPr>
    </w:p>
    <w:p>
      <w:pPr>
        <w:ind w:left="460" w:right="20" w:hanging="330"/>
        <w:spacing w:after="0" w:line="314" w:lineRule="auto"/>
        <w:tabs>
          <w:tab w:leader="none" w:pos="449" w:val="left"/>
        </w:tabs>
        <w:numPr>
          <w:ilvl w:val="0"/>
          <w:numId w:val="9"/>
        </w:numPr>
        <w:rPr>
          <w:rFonts w:ascii="Arial" w:cs="Arial" w:eastAsia="Arial" w:hAnsi="Arial"/>
          <w:sz w:val="13"/>
          <w:szCs w:val="13"/>
          <w:color w:val="231F20"/>
        </w:rPr>
      </w:pPr>
      <w:r>
        <w:rPr>
          <w:rFonts w:ascii="Arial" w:cs="Arial" w:eastAsia="Arial" w:hAnsi="Arial"/>
          <w:sz w:val="13"/>
          <w:szCs w:val="13"/>
          <w:color w:val="auto"/>
        </w:rPr>
        <w:t>Represents expenses incurred in connection with the repricing of our Term Loan in January 2021, full redemption of the First Lien Notes in August 2021, and paydown of debt following the November 2020 IPO, including accelerated amortization of prior debt issuance and discount costs, and premiums paid in connection with early extinguishment.</w:t>
      </w:r>
    </w:p>
    <w:p>
      <w:pPr>
        <w:ind w:left="440" w:hanging="310"/>
        <w:spacing w:after="0"/>
        <w:tabs>
          <w:tab w:leader="none" w:pos="440"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professional fees related to litigation associated with our EO sterilization facilities and other related professional fees.</w:t>
      </w:r>
    </w:p>
    <w:p>
      <w:pPr>
        <w:spacing w:after="0" w:line="43" w:lineRule="exact"/>
        <w:rPr>
          <w:rFonts w:ascii="Arial" w:cs="Arial" w:eastAsia="Arial" w:hAnsi="Arial"/>
          <w:sz w:val="15"/>
          <w:szCs w:val="15"/>
          <w:color w:val="231F20"/>
        </w:rPr>
      </w:pPr>
    </w:p>
    <w:p>
      <w:pPr>
        <w:ind w:left="460" w:right="240" w:hanging="330"/>
        <w:spacing w:after="0" w:line="256" w:lineRule="auto"/>
        <w:tabs>
          <w:tab w:leader="none" w:pos="456"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5"/>
          <w:szCs w:val="15"/>
          <w:color w:val="231F20"/>
        </w:rPr>
      </w:pPr>
    </w:p>
    <w:p>
      <w:pPr>
        <w:ind w:left="460" w:right="20" w:hanging="330"/>
        <w:spacing w:after="0" w:line="272" w:lineRule="auto"/>
        <w:tabs>
          <w:tab w:leader="none" w:pos="456" w:val="left"/>
        </w:tabs>
        <w:numPr>
          <w:ilvl w:val="0"/>
          <w:numId w:val="9"/>
        </w:numPr>
        <w:rPr>
          <w:rFonts w:ascii="Arial" w:cs="Arial" w:eastAsia="Arial" w:hAnsi="Arial"/>
          <w:sz w:val="15"/>
          <w:szCs w:val="15"/>
          <w:color w:val="231F20"/>
        </w:rPr>
      </w:pPr>
      <w:r>
        <w:rPr>
          <w:rFonts w:ascii="Arial" w:cs="Arial" w:eastAsia="Arial" w:hAnsi="Arial"/>
          <w:sz w:val="15"/>
          <w:szCs w:val="15"/>
          <w:color w:val="auto"/>
        </w:rPr>
        <w:t>Represents non-recurring costs associated with the COVID-19 pandemic, including donations to related charitable causes, special bonuses for front-line personnel working on-site during lockdown periods and incremental costs to implement workplace health and safety measures.</w:t>
      </w:r>
    </w:p>
    <w:p>
      <w:pPr>
        <w:ind w:left="460" w:right="80" w:hanging="330"/>
        <w:spacing w:after="0" w:line="281" w:lineRule="auto"/>
        <w:tabs>
          <w:tab w:leader="none" w:pos="449" w:val="left"/>
        </w:tabs>
        <w:numPr>
          <w:ilvl w:val="0"/>
          <w:numId w:val="9"/>
        </w:numPr>
        <w:rPr>
          <w:rFonts w:ascii="Arial" w:cs="Arial" w:eastAsia="Arial" w:hAnsi="Arial"/>
          <w:sz w:val="14"/>
          <w:szCs w:val="14"/>
          <w:color w:val="231F20"/>
        </w:rPr>
      </w:pPr>
      <w:r>
        <w:rPr>
          <w:rFonts w:ascii="Arial" w:cs="Arial" w:eastAsia="Arial" w:hAnsi="Arial"/>
          <w:sz w:val="14"/>
          <w:szCs w:val="14"/>
          <w:color w:val="231F20"/>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Arial" w:cs="Arial" w:eastAsia="Arial" w:hAnsi="Arial"/>
          <w:sz w:val="14"/>
          <w:szCs w:val="14"/>
          <w:color w:val="231F20"/>
        </w:rPr>
      </w:pPr>
    </w:p>
    <w:p>
      <w:pPr>
        <w:ind w:left="440" w:hanging="310"/>
        <w:spacing w:after="0"/>
        <w:tabs>
          <w:tab w:leader="none" w:pos="440" w:val="left"/>
        </w:tabs>
        <w:numPr>
          <w:ilvl w:val="0"/>
          <w:numId w:val="9"/>
        </w:numPr>
        <w:rPr>
          <w:rFonts w:ascii="Arial" w:cs="Arial" w:eastAsia="Arial" w:hAnsi="Arial"/>
          <w:sz w:val="15"/>
          <w:szCs w:val="15"/>
          <w:color w:val="231F20"/>
        </w:rPr>
      </w:pPr>
      <w:r>
        <w:rPr>
          <w:rFonts w:ascii="Arial" w:cs="Arial" w:eastAsia="Arial" w:hAnsi="Arial"/>
          <w:sz w:val="15"/>
          <w:szCs w:val="15"/>
          <w:color w:val="231F20"/>
        </w:rPr>
        <w:t>Includes depreciation of Co-60 held at gamma irradiation sites.</w:t>
      </w:r>
    </w:p>
    <w:p>
      <w:pPr>
        <w:spacing w:after="0" w:line="43" w:lineRule="exact"/>
        <w:rPr>
          <w:rFonts w:ascii="Arial" w:cs="Arial" w:eastAsia="Arial" w:hAnsi="Arial"/>
          <w:sz w:val="15"/>
          <w:szCs w:val="15"/>
          <w:color w:val="231F20"/>
        </w:rPr>
      </w:pPr>
    </w:p>
    <w:p>
      <w:pPr>
        <w:ind w:left="460" w:right="60" w:hanging="330"/>
        <w:spacing w:after="0" w:line="272" w:lineRule="auto"/>
        <w:tabs>
          <w:tab w:leader="none" w:pos="451" w:val="left"/>
        </w:tabs>
        <w:numPr>
          <w:ilvl w:val="0"/>
          <w:numId w:val="9"/>
        </w:numPr>
        <w:rPr>
          <w:rFonts w:ascii="Arial" w:cs="Arial" w:eastAsia="Arial" w:hAnsi="Arial"/>
          <w:sz w:val="15"/>
          <w:szCs w:val="15"/>
          <w:color w:val="231F20"/>
        </w:rPr>
      </w:pPr>
      <w:r>
        <w:rPr>
          <w:rFonts w:ascii="Arial" w:cs="Arial" w:eastAsia="Arial" w:hAnsi="Arial"/>
          <w:sz w:val="15"/>
          <w:szCs w:val="15"/>
          <w:color w:val="231F20"/>
        </w:rPr>
        <w:t>Represents the difference between income tax expense or benefit as determined under U.S. GAAP and the income tax benefit associated with pre-tax adjustments described in footnote (k).</w:t>
      </w:r>
    </w:p>
    <w:p>
      <w:pPr>
        <w:ind w:left="460" w:right="220" w:hanging="330"/>
        <w:spacing w:after="0" w:line="274" w:lineRule="auto"/>
        <w:tabs>
          <w:tab w:leader="none" w:pos="449" w:val="left"/>
        </w:tabs>
        <w:numPr>
          <w:ilvl w:val="0"/>
          <w:numId w:val="9"/>
        </w:numPr>
        <w:rPr>
          <w:rFonts w:ascii="Arial" w:cs="Arial" w:eastAsia="Arial" w:hAnsi="Arial"/>
          <w:sz w:val="15"/>
          <w:szCs w:val="15"/>
          <w:color w:val="231F20"/>
        </w:rPr>
      </w:pPr>
      <w:r>
        <w:rPr>
          <w:rFonts w:ascii="Arial" w:cs="Arial" w:eastAsia="Arial" w:hAnsi="Arial"/>
          <w:sz w:val="15"/>
          <w:szCs w:val="15"/>
          <w:color w:val="231F20"/>
        </w:rPr>
        <w:t>$83.9 million and $82.6 million of the adjustments for the twelve months ended September 30, 2021 and December 31, 2020, respectively, are included in cost of revenues, primarily consisting of amortization of intangibles, depreciation, and accretion of asset retirement obligations.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sectPr>
      <w:pgSz w:w="11900" w:h="16838" w:orient="portrait"/>
      <w:cols w:equalWidth="0" w:num="1">
        <w:col w:w="11180"/>
      </w:cols>
      <w:pgMar w:left="360"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2021-11-10T06:39:22Z</dcterms:created>
  <dcterms:modified xsi:type="dcterms:W3CDTF">2021-11-10T06:39:22Z</dcterms:modified>
</cp:coreProperties>
</file>