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2, 2020</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333-249648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Amendment No. 1 to</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94615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Sotera Health Company</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20"/>
          </w:cols>
          <w:pgMar w:left="440" w:top="223" w:right="439" w:bottom="1440" w:gutter="0" w:footer="0" w:header="0"/>
        </w:sectPr>
      </w:pPr>
    </w:p>
    <w:p>
      <w:pPr>
        <w:spacing w:after="0" w:line="1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960"/>
        <w:spacing w:after="0" w:line="227"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7389</w:t>
      </w:r>
    </w:p>
    <w:p>
      <w:pPr>
        <w:jc w:val="center"/>
        <w:ind w:right="740"/>
        <w:spacing w:after="0" w:line="227" w:lineRule="auto"/>
        <w:rPr>
          <w:sz w:val="20"/>
          <w:szCs w:val="20"/>
          <w:color w:val="auto"/>
        </w:rPr>
      </w:pPr>
      <w:r>
        <w:rPr>
          <w:rFonts w:ascii="Times New Roman" w:cs="Times New Roman" w:eastAsia="Times New Roman" w:hAnsi="Times New Roman"/>
          <w:sz w:val="14"/>
          <w:szCs w:val="14"/>
          <w:b w:val="1"/>
          <w:bCs w:val="1"/>
          <w:color w:val="auto"/>
        </w:rPr>
        <w:t>(Primary Standard Industrial</w:t>
      </w:r>
    </w:p>
    <w:p>
      <w:pPr>
        <w:spacing w:after="0" w:line="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47-3531161</w:t>
      </w:r>
    </w:p>
    <w:p>
      <w:pPr>
        <w:spacing w:after="0" w:line="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334" w:lineRule="exact"/>
        <w:rPr>
          <w:sz w:val="24"/>
          <w:szCs w:val="24"/>
          <w:color w:val="auto"/>
        </w:rPr>
      </w:pPr>
    </w:p>
    <w:p>
      <w:pPr>
        <w:sectPr>
          <w:pgSz w:w="11900" w:h="16838" w:orient="portrait"/>
          <w:cols w:equalWidth="0" w:num="3">
            <w:col w:w="3980" w:space="720"/>
            <w:col w:w="2580" w:space="720"/>
            <w:col w:w="3020"/>
          </w:cols>
          <w:pgMar w:left="440" w:top="22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(440) 262-1410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99060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Matthew J. Klaben, Esq.</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Sotera Health Company</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(440) 262-1409</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0"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David Lopez, Esq.</w:t>
            </w:r>
          </w:p>
        </w:tc>
        <w:tc>
          <w:tcPr>
            <w:tcW w:w="4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0" w:type="dxa"/>
            <w:vAlign w:val="bottom"/>
          </w:tcPr>
          <w:p>
            <w:pPr>
              <w:spacing w:after="0"/>
              <w:rPr>
                <w:sz w:val="1"/>
                <w:szCs w:val="1"/>
                <w:color w:val="auto"/>
              </w:rPr>
            </w:pPr>
          </w:p>
        </w:tc>
      </w:tr>
      <w:tr>
        <w:trPr>
          <w:trHeight w:val="148"/>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John C. Ericson,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One Liberty Plaza</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10006</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425 Lexington Avenue</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(212) 225-2000</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hereof.</w:t>
      </w:r>
    </w:p>
    <w:p>
      <w:pPr>
        <w:spacing w:after="0" w:line="29"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56" w:lineRule="exact"/>
        <w:rPr>
          <w:sz w:val="24"/>
          <w:szCs w:val="24"/>
          <w:color w:val="auto"/>
        </w:rPr>
      </w:pPr>
    </w:p>
    <w:p>
      <w:pPr>
        <w:ind w:right="3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4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83185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ind w:right="5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92075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ind w:right="36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3"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sole purpose of this Amendment No. 1 to the Registration Statement on Form S-1 of Sotera Health Company is to file exhibits 3.1, 3.2, 4.2, 10.8, 10.9 and 21.1. Accordingly, this Amendment No. 1 consists only of the facing page, this explanatory note, Part II, including the signature page and the exhibit index, and the exhibits filed herewith.</w:t>
      </w:r>
    </w:p>
    <w:p>
      <w:pPr>
        <w:spacing w:after="0" w:line="38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2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9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13.</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of Issuance and Distribution.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Estimated expenses payable in connection with the sale of the common stock in this offering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Miscellaneous</w:t>
            </w:r>
          </w:p>
        </w:tc>
        <w:tc>
          <w:tcPr>
            <w:tcW w:w="9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completed by amendment.</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expenses shown above.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2" w:name="page3"/>
    <w:bookmarkEnd w:id="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expected to be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PIK Toggle Notes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 November 24, 2017, Sotera Health Company (formerly known as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PIK Toggle Notes were offered and sold to qualified institutional buyers pursuant to Rule 144A under the Securities Act or to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outside the United States in compliance with Regulation S of the Securities Act.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20"/>
          </w:cols>
          <w:pgMar w:left="440" w:top="270" w:right="5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is set forth in beginning on page II-4 of this Registration Statement and is incorporated herein by reference.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 financial statement schedules are provided because the information called for is not applicable or is shown in the financial statements or notes thereto.</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t>Item 17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Undertakings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36"/>
        <w:spacing w:after="0" w:line="254"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580" w:hanging="14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registrant hereby undertakes that:</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0"/>
          </w:cols>
          <w:pgMar w:left="440" w:top="266"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20" w:type="dxa"/>
            <w:vAlign w:val="bottom"/>
            <w:gridSpan w:val="12"/>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2"/>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21"/>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19"/>
                <w:szCs w:val="19"/>
                <w:color w:val="auto"/>
              </w:rPr>
            </w:pPr>
          </w:p>
        </w:tc>
        <w:tc>
          <w:tcPr>
            <w:tcW w:w="95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06"/>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Form of Certificate of Incorporation of the Registrant</w:t>
              </w:r>
            </w:hyperlink>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Form of Bylaws of the Registrant</w:t>
              </w:r>
            </w:hyperlink>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Form of Amended and Restated Registration Rights Agreement</w:t>
              </w:r>
            </w:hyperlink>
          </w:p>
        </w:tc>
      </w:tr>
      <w:tr>
        <w:trPr>
          <w:trHeight w:val="283"/>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24"/>
                <w:szCs w:val="24"/>
                <w:color w:val="auto"/>
              </w:rPr>
            </w:pPr>
          </w:p>
        </w:tc>
        <w:tc>
          <w:tcPr>
            <w:tcW w:w="9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Indenture, dated as of December 13, 2019, among Sotera Health Holdings, LLC, the Registrant, the intermediate parents and</w:t>
              </w:r>
            </w:hyperlink>
          </w:p>
        </w:tc>
        <w:tc>
          <w:tcPr>
            <w:tcW w:w="580" w:type="dxa"/>
            <w:vAlign w:val="bottom"/>
            <w:gridSpan w:val="8"/>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subsidiary note parties thereto and Wilmington Trust, National Association, as second lien notes collateral agent, calculation agent</w:t>
              </w:r>
            </w:hyperlink>
          </w:p>
        </w:tc>
        <w:tc>
          <w:tcPr>
            <w:tcW w:w="22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4">
              <w:r>
                <w:rPr>
                  <w:rFonts w:ascii="Times New Roman" w:cs="Times New Roman" w:eastAsia="Times New Roman" w:hAnsi="Times New Roman"/>
                  <w:sz w:val="18"/>
                  <w:szCs w:val="18"/>
                  <w:color w:val="0000EE"/>
                  <w:w w:val="94"/>
                </w:rPr>
                <w:t>and trustee</w:t>
              </w:r>
            </w:hyperlink>
          </w:p>
        </w:tc>
        <w:tc>
          <w:tcPr>
            <w:tcW w:w="8820" w:type="dxa"/>
            <w:vAlign w:val="bottom"/>
            <w:gridSpan w:val="12"/>
          </w:tcPr>
          <w:p>
            <w:pPr>
              <w:spacing w:after="0"/>
              <w:rPr>
                <w:sz w:val="17"/>
                <w:szCs w:val="17"/>
                <w:color w:val="auto"/>
              </w:rPr>
            </w:pPr>
          </w:p>
        </w:tc>
      </w:tr>
      <w:tr>
        <w:trPr>
          <w:trHeight w:val="30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Indenture, dated as of July 31, 2020, among Sotera Health Holdings, LLC, the Registrant, the intermediate parents and subsidiary</w:t>
              </w:r>
            </w:hyperlink>
          </w:p>
        </w:tc>
      </w:tr>
      <w:tr>
        <w:trPr>
          <w:trHeight w:val="236"/>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Borders>
              <w:top w:val="single" w:sz="8" w:color="0000EE"/>
            </w:tcBorders>
            <w:gridSpan w:val="10"/>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note parties thereto and Wilmington Trust, National Association, as first lien notes collateral agent, calculation agent and trustee</w:t>
              </w:r>
            </w:hyperlink>
          </w:p>
        </w:tc>
        <w:tc>
          <w:tcPr>
            <w:tcW w:w="240" w:type="dxa"/>
            <w:vAlign w:val="bottom"/>
            <w:gridSpan w:val="3"/>
          </w:tcPr>
          <w:p>
            <w:pPr>
              <w:spacing w:after="0"/>
              <w:rPr>
                <w:sz w:val="20"/>
                <w:szCs w:val="20"/>
                <w:color w:val="auto"/>
              </w:rPr>
            </w:pP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Form of Senior Secured Second Lien Floating Rate Note due 2027 (included in Exhibit 4.3)</w:t>
              </w:r>
            </w:hyperlink>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Form of Senior Secured First Lien Floating Rate Note due 2026 (included in Exhibit 4.4)</w:t>
              </w:r>
            </w:hyperlink>
          </w:p>
        </w:tc>
      </w:tr>
      <w:tr>
        <w:trPr>
          <w:trHeight w:val="283"/>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First Supplemental Indenture, dated as of July 31, 2020, among Sotera Health Holdings, LLC, the additional guarantors party</w:t>
              </w:r>
            </w:hyperlink>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thereto and Wilmington Trust, National Association, as trustee and second lien notes collateral agent</w:t>
              </w:r>
            </w:hyperlink>
          </w:p>
        </w:tc>
        <w:tc>
          <w:tcPr>
            <w:tcW w:w="1820" w:type="dxa"/>
            <w:vAlign w:val="bottom"/>
            <w:tcBorders>
              <w:top w:val="single" w:sz="8" w:color="0000EE"/>
            </w:tcBorders>
            <w:gridSpan w:val="2"/>
          </w:tcPr>
          <w:p>
            <w:pPr>
              <w:spacing w:after="0"/>
              <w:rPr>
                <w:sz w:val="17"/>
                <w:szCs w:val="17"/>
                <w:color w:val="auto"/>
              </w:rPr>
            </w:pPr>
          </w:p>
        </w:tc>
        <w:tc>
          <w:tcPr>
            <w:tcW w:w="540" w:type="dxa"/>
            <w:vAlign w:val="bottom"/>
            <w:gridSpan w:val="7"/>
          </w:tcPr>
          <w:p>
            <w:pPr>
              <w:spacing w:after="0"/>
              <w:rPr>
                <w:sz w:val="17"/>
                <w:szCs w:val="17"/>
                <w:color w:val="auto"/>
              </w:rPr>
            </w:pPr>
          </w:p>
        </w:tc>
      </w:tr>
      <w:tr>
        <w:trPr>
          <w:trHeight w:val="30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Second Supplemental Indenture, dated as of October 9, 2020, among Sotera Health Holdings, LLC and Wilmington Trust, National</w:t>
              </w:r>
            </w:hyperlink>
          </w:p>
        </w:tc>
        <w:tc>
          <w:tcPr>
            <w:tcW w:w="1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Association, as trustee and second lien notes collateral agent</w:t>
              </w:r>
            </w:hyperlink>
          </w:p>
        </w:tc>
      </w:tr>
      <w:tr>
        <w:trPr>
          <w:trHeight w:val="345"/>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24"/>
                <w:szCs w:val="24"/>
                <w:color w:val="auto"/>
              </w:rPr>
            </w:pPr>
          </w:p>
        </w:tc>
        <w:tc>
          <w:tcPr>
            <w:tcW w:w="4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Opinion of Cleary Gottlieb Steen &amp; Hamilton LLP</w:t>
            </w:r>
          </w:p>
        </w:tc>
        <w:tc>
          <w:tcPr>
            <w:tcW w:w="5260" w:type="dxa"/>
            <w:vAlign w:val="bottom"/>
            <w:gridSpan w:val="11"/>
          </w:tcPr>
          <w:p>
            <w:pPr>
              <w:spacing w:after="0"/>
              <w:rPr>
                <w:sz w:val="24"/>
                <w:szCs w:val="24"/>
                <w:color w:val="auto"/>
              </w:rPr>
            </w:pP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10.1*+</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Michael B. Petras, Jr.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10.2*+</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Scott J. Leffler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10.3*+</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Matthew J. Klaben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10.4*+</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Sotera Health Supplemental Retirement Benefit Plan, effective as of January 1, 2018</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10.5*+</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Sotera Health Company 2020 Omnibus Incentive Plan</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10.6*+</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Award Agreement Under 2020 Plan</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10.7*+</w:t>
            </w:r>
          </w:p>
        </w:tc>
        <w:tc>
          <w:tcPr>
            <w:tcW w:w="76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Restricted Stock Agreement and Acknowledgement</w:t>
            </w:r>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5"/>
              </w:rPr>
              <w:t>10.8</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Form of Indemnification Agreement entered into between the Registrant and each director and executive officer</w:t>
              </w:r>
            </w:hyperlink>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5"/>
              </w:rPr>
              <w:t>10.9</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Form of Stockholders’ Agreement</w:t>
              </w:r>
            </w:hyperlink>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60" w:type="dxa"/>
            <w:vAlign w:val="bottom"/>
          </w:tcPr>
          <w:p>
            <w:pPr>
              <w:spacing w:after="0"/>
              <w:rPr>
                <w:sz w:val="24"/>
                <w:szCs w:val="24"/>
                <w:color w:val="auto"/>
              </w:rPr>
            </w:pPr>
          </w:p>
        </w:tc>
        <w:tc>
          <w:tcPr>
            <w:tcW w:w="9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Credit Agreement, dated as of December 13, 2019, among the Registrant, Sotera Health Holdings, LLC, the lenders and issuing</w:t>
              </w:r>
            </w:hyperlink>
          </w:p>
        </w:tc>
        <w:tc>
          <w:tcPr>
            <w:tcW w:w="360" w:type="dxa"/>
            <w:vAlign w:val="bottom"/>
            <w:gridSpan w:val="6"/>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80" w:type="dxa"/>
            <w:vAlign w:val="bottom"/>
            <w:gridSpan w:val="13"/>
          </w:tcPr>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banks party thereto and Jefferies Finance LLC, as first lien administrative agent and first lien collateral agent</w:t>
              </w:r>
            </w:hyperlink>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60" w:type="dxa"/>
            <w:vAlign w:val="bottom"/>
          </w:tcPr>
          <w:p>
            <w:pPr>
              <w:spacing w:after="0"/>
              <w:rPr>
                <w:sz w:val="24"/>
                <w:szCs w:val="24"/>
                <w:color w:val="auto"/>
              </w:rPr>
            </w:pPr>
          </w:p>
        </w:tc>
        <w:tc>
          <w:tcPr>
            <w:tcW w:w="9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Guarantee Agreement, dated as of December 13, 2019, among the Registrant, Sotera Health Holdings, LLC, the other guarantors</w:t>
              </w:r>
            </w:hyperlink>
          </w:p>
        </w:tc>
        <w:tc>
          <w:tcPr>
            <w:tcW w:w="28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party thereto and Jefferies Finance LLC, as first lien collateral agent</w:t>
              </w:r>
            </w:hyperlink>
          </w:p>
        </w:tc>
      </w:tr>
      <w:tr>
        <w:trPr>
          <w:trHeight w:val="20"/>
        </w:trPr>
        <w:tc>
          <w:tcPr>
            <w:tcW w:w="68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4880" w:type="dxa"/>
            <w:vAlign w:val="bottom"/>
            <w:gridSpan w:val="3"/>
            <w:shd w:val="clear" w:color="auto" w:fill="0000EE"/>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60" w:type="dxa"/>
            <w:vAlign w:val="bottom"/>
          </w:tcPr>
          <w:p>
            <w:pPr>
              <w:spacing w:after="0"/>
              <w:rPr>
                <w:sz w:val="24"/>
                <w:szCs w:val="24"/>
                <w:color w:val="auto"/>
              </w:rPr>
            </w:pPr>
          </w:p>
        </w:tc>
        <w:tc>
          <w:tcPr>
            <w:tcW w:w="9580" w:type="dxa"/>
            <w:vAlign w:val="bottom"/>
            <w:gridSpan w:val="1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Collateral Agreement, dated as of December 13, 2019, among the Registrant, Sotera Health Holdings, LLC, the other guarantors</w:t>
              </w:r>
            </w:hyperlink>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party thereto and Jefferies Finance LLC, as first lien collateral agent</w:t>
              </w:r>
            </w:hyperlink>
          </w:p>
        </w:tc>
        <w:tc>
          <w:tcPr>
            <w:tcW w:w="320" w:type="dxa"/>
            <w:vAlign w:val="bottom"/>
            <w:gridSpan w:val="5"/>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4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35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40" w:type="dxa"/>
            <w:vAlign w:val="bottom"/>
          </w:tcPr>
          <w:p>
            <w:pPr>
              <w:spacing w:after="0"/>
              <w:rPr>
                <w:sz w:val="23"/>
                <w:szCs w:val="23"/>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Patent Security Agreement, dated as of December 13, 2019, between Sterigenics U.S., LLC and Jefferies Finance LLC, as collateral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40" w:type="dxa"/>
            <w:vAlign w:val="bottom"/>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Trademark Security Agreement, dated as of December</w:t>
              </w:r>
            </w:hyperlink>
          </w:p>
        </w:tc>
        <w:tc>
          <w:tcPr>
            <w:tcW w:w="5660" w:type="dxa"/>
            <w:vAlign w:val="bottom"/>
            <w:gridSpan w:val="23"/>
          </w:tcPr>
          <w:p>
            <w:pPr>
              <w:ind w:left="6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collateral agent</w:t>
              </w:r>
            </w:hyperlink>
          </w:p>
        </w:tc>
        <w:tc>
          <w:tcPr>
            <w:tcW w:w="2420" w:type="dxa"/>
            <w:vAlign w:val="bottom"/>
            <w:tcBorders>
              <w:top w:val="single" w:sz="8" w:color="0000EE"/>
            </w:tcBorders>
            <w:gridSpan w:val="4"/>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40" w:type="dxa"/>
            <w:vAlign w:val="bottom"/>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Trademark Security Agreement, dated as of December</w:t>
              </w:r>
            </w:hyperlink>
          </w:p>
        </w:tc>
        <w:tc>
          <w:tcPr>
            <w:tcW w:w="5660" w:type="dxa"/>
            <w:vAlign w:val="bottom"/>
            <w:gridSpan w:val="23"/>
          </w:tcPr>
          <w:p>
            <w:pPr>
              <w:ind w:left="6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13, 2019, between Nelson Laboratories, LLC and Jefferies Finance LLC, as</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collateral agent</w:t>
              </w:r>
            </w:hyperlink>
          </w:p>
        </w:tc>
        <w:tc>
          <w:tcPr>
            <w:tcW w:w="2420" w:type="dxa"/>
            <w:vAlign w:val="bottom"/>
            <w:tcBorders>
              <w:top w:val="single" w:sz="8" w:color="0000EE"/>
            </w:tcBorders>
            <w:gridSpan w:val="4"/>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Trademark Security Agreement, dated as of December 13, 2019, between Sotera Health LLC and Jefferies Finance LLC, as</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5">
              <w:r>
                <w:rPr>
                  <w:rFonts w:ascii="Times New Roman" w:cs="Times New Roman" w:eastAsia="Times New Roman" w:hAnsi="Times New Roman"/>
                  <w:sz w:val="18"/>
                  <w:szCs w:val="18"/>
                  <w:color w:val="0000EE"/>
                  <w:w w:val="97"/>
                </w:rPr>
                <w:t>collateral agent</w:t>
              </w:r>
            </w:hyperlink>
          </w:p>
        </w:tc>
        <w:tc>
          <w:tcPr>
            <w:tcW w:w="2420" w:type="dxa"/>
            <w:vAlign w:val="bottom"/>
            <w:tcBorders>
              <w:top w:val="single" w:sz="8" w:color="0000EE"/>
            </w:tcBorders>
            <w:gridSpan w:val="4"/>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Copyright Security Agreement, dated as of December 13, 2019, among Jefferies Finance LLC and Nelson Laboratories, LLC, as</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6">
              <w:r>
                <w:rPr>
                  <w:rFonts w:ascii="Times New Roman" w:cs="Times New Roman" w:eastAsia="Times New Roman" w:hAnsi="Times New Roman"/>
                  <w:sz w:val="18"/>
                  <w:szCs w:val="18"/>
                  <w:color w:val="0000EE"/>
                  <w:w w:val="97"/>
                </w:rPr>
                <w:t>collateral agent</w:t>
              </w:r>
            </w:hyperlink>
          </w:p>
        </w:tc>
        <w:tc>
          <w:tcPr>
            <w:tcW w:w="2420" w:type="dxa"/>
            <w:vAlign w:val="bottom"/>
            <w:tcBorders>
              <w:top w:val="single" w:sz="8" w:color="0000EE"/>
            </w:tcBorders>
            <w:gridSpan w:val="4"/>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40" w:type="dxa"/>
            <w:vAlign w:val="bottom"/>
          </w:tcPr>
          <w:p>
            <w:pPr>
              <w:spacing w:after="0"/>
              <w:rPr>
                <w:sz w:val="24"/>
                <w:szCs w:val="24"/>
                <w:color w:val="auto"/>
              </w:rPr>
            </w:pPr>
          </w:p>
        </w:tc>
        <w:tc>
          <w:tcPr>
            <w:tcW w:w="94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Second Lien Collateral Agreement, dated as of December 13, 2019, among the Registrant, Sotera Health Holdings, LLC, the other</w:t>
              </w:r>
            </w:hyperlink>
          </w:p>
        </w:tc>
        <w:tc>
          <w:tcPr>
            <w:tcW w:w="160" w:type="dxa"/>
            <w:vAlign w:val="bottom"/>
            <w:gridSpan w:val="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grantors party thereto and Wilmington Trust, National Association, as second lien notes collateral agent</w:t>
              </w:r>
            </w:hyperlink>
          </w:p>
        </w:tc>
        <w:tc>
          <w:tcPr>
            <w:tcW w:w="2140" w:type="dxa"/>
            <w:vAlign w:val="bottom"/>
            <w:gridSpan w:val="18"/>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Patent Security Agreement, dated as of December 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40" w:type="dxa"/>
            <w:vAlign w:val="bottom"/>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Trademark Security Agreement, dated as of December</w:t>
              </w:r>
            </w:hyperlink>
          </w:p>
        </w:tc>
        <w:tc>
          <w:tcPr>
            <w:tcW w:w="5660" w:type="dxa"/>
            <w:vAlign w:val="bottom"/>
            <w:gridSpan w:val="23"/>
          </w:tcPr>
          <w:p>
            <w:pPr>
              <w:ind w:left="60"/>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Trademark Security Agreement, dated as of December 13, 2019, between Nelson Laboratories, LLC and Wilmington Trust,</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National Association, as second lien notes collateral agent</w:t>
              </w:r>
            </w:hyperlink>
          </w:p>
        </w:tc>
        <w:tc>
          <w:tcPr>
            <w:tcW w:w="660" w:type="dxa"/>
            <w:vAlign w:val="bottom"/>
            <w:gridSpan w:val="16"/>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Trademark Security Agreement, dated as of December 13, 2019, between Sotera Health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40" w:type="dxa"/>
            <w:vAlign w:val="bottom"/>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Copyright Security Agreement, dated as of December</w:t>
              </w:r>
            </w:hyperlink>
          </w:p>
        </w:tc>
        <w:tc>
          <w:tcPr>
            <w:tcW w:w="5660" w:type="dxa"/>
            <w:vAlign w:val="bottom"/>
            <w:gridSpan w:val="23"/>
          </w:tcPr>
          <w:p>
            <w:pPr>
              <w:ind w:left="20"/>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13, 2019, between Nelson Laboratories,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First/Second Lien Intercreditor Agreement, dated as of December 13, 2019, among the Registrant, Sotera Health Holdings, LLC, the</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other grantors party thereto, Jefferies Finance LLC, as first lien collateral agent and Wilmington Trust, National Association, as</w:t>
              </w:r>
            </w:hyperlink>
          </w:p>
        </w:tc>
        <w:tc>
          <w:tcPr>
            <w:tcW w:w="6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initial second priority representative</w:t>
              </w:r>
            </w:hyperlink>
          </w:p>
        </w:tc>
        <w:tc>
          <w:tcPr>
            <w:tcW w:w="920" w:type="dxa"/>
            <w:vAlign w:val="bottom"/>
            <w:tcBorders>
              <w:top w:val="single" w:sz="8" w:color="0000EE"/>
            </w:tcBorders>
            <w:gridSpan w:val="2"/>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First Lien Pari Passu Intercreditor Agreement, dated as of July 31, 2020, among Sotera Health Holdings, LLC, the Registrant,</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Jefferies Finance LLC as Collateral Agent and Authorized Representative, and Wilmington Trust, National Association as</w:t>
              </w:r>
            </w:hyperlink>
          </w:p>
        </w:tc>
        <w:tc>
          <w:tcPr>
            <w:tcW w:w="560" w:type="dxa"/>
            <w:vAlign w:val="bottom"/>
            <w:gridSpan w:val="1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Additional First Lien Collateral Agent and Initial Authorized Representative</w:t>
              </w:r>
            </w:hyperlink>
          </w:p>
        </w:tc>
        <w:tc>
          <w:tcPr>
            <w:tcW w:w="3280" w:type="dxa"/>
            <w:vAlign w:val="bottom"/>
            <w:tcBorders>
              <w:top w:val="single" w:sz="8" w:color="0000EE"/>
            </w:tcBorders>
            <w:gridSpan w:val="3"/>
          </w:tcPr>
          <w:p>
            <w:pPr>
              <w:spacing w:after="0"/>
              <w:rPr>
                <w:sz w:val="17"/>
                <w:szCs w:val="17"/>
                <w:color w:val="auto"/>
              </w:rPr>
            </w:pPr>
          </w:p>
        </w:tc>
        <w:tc>
          <w:tcPr>
            <w:tcW w:w="820" w:type="dxa"/>
            <w:vAlign w:val="bottom"/>
            <w:gridSpan w:val="17"/>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40" w:type="dxa"/>
            <w:vAlign w:val="bottom"/>
          </w:tcPr>
          <w:p>
            <w:pPr>
              <w:spacing w:after="0"/>
              <w:rPr>
                <w:sz w:val="24"/>
                <w:szCs w:val="24"/>
                <w:color w:val="auto"/>
              </w:rPr>
            </w:pPr>
          </w:p>
        </w:tc>
        <w:tc>
          <w:tcPr>
            <w:tcW w:w="3520" w:type="dxa"/>
            <w:vAlign w:val="bottom"/>
            <w:gridSpan w:val="6"/>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First Lien Collateral Agreement, dated as of July</w:t>
              </w:r>
            </w:hyperlink>
          </w:p>
        </w:tc>
        <w:tc>
          <w:tcPr>
            <w:tcW w:w="6080" w:type="dxa"/>
            <w:vAlign w:val="bottom"/>
            <w:gridSpan w:val="24"/>
          </w:tcPr>
          <w:p>
            <w:pPr>
              <w:ind w:left="80"/>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31, 2020, among the Registrant, Sotera Health Holdings, LLC, the other grantors</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party thereto and Wilmington Trust, National Association, as first lien notes collateral agent</w:t>
              </w:r>
            </w:hyperlink>
          </w:p>
        </w:tc>
        <w:tc>
          <w:tcPr>
            <w:tcW w:w="180" w:type="dxa"/>
            <w:vAlign w:val="bottom"/>
            <w:gridSpan w:val="7"/>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Patent Security Agreement, dated as of July 31, 2020, between Sterigenics U.S., LLC and Wilmington Trust, National Association,</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as first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40" w:type="dxa"/>
            <w:vAlign w:val="bottom"/>
          </w:tcPr>
          <w:p>
            <w:pPr>
              <w:spacing w:after="0"/>
              <w:rPr>
                <w:sz w:val="24"/>
                <w:szCs w:val="24"/>
                <w:color w:val="auto"/>
              </w:rPr>
            </w:pPr>
          </w:p>
        </w:tc>
        <w:tc>
          <w:tcPr>
            <w:tcW w:w="3520" w:type="dxa"/>
            <w:vAlign w:val="bottom"/>
            <w:gridSpan w:val="6"/>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Trademark Security Agreement, dated as of July</w:t>
              </w:r>
            </w:hyperlink>
          </w:p>
        </w:tc>
        <w:tc>
          <w:tcPr>
            <w:tcW w:w="6080" w:type="dxa"/>
            <w:vAlign w:val="bottom"/>
            <w:gridSpan w:val="24"/>
          </w:tcPr>
          <w:p>
            <w:pPr>
              <w:ind w:left="40"/>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31, 2020, between Sotera Health Holdings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Association, as first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40" w:type="dxa"/>
            <w:vAlign w:val="bottom"/>
          </w:tcPr>
          <w:p>
            <w:pPr>
              <w:spacing w:after="0"/>
              <w:rPr>
                <w:sz w:val="24"/>
                <w:szCs w:val="24"/>
                <w:color w:val="auto"/>
              </w:rPr>
            </w:pPr>
          </w:p>
        </w:tc>
        <w:tc>
          <w:tcPr>
            <w:tcW w:w="3520" w:type="dxa"/>
            <w:vAlign w:val="bottom"/>
            <w:gridSpan w:val="6"/>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Copyright Security Agreement, dated as of July</w:t>
              </w:r>
            </w:hyperlink>
          </w:p>
        </w:tc>
        <w:tc>
          <w:tcPr>
            <w:tcW w:w="6080" w:type="dxa"/>
            <w:vAlign w:val="bottom"/>
            <w:gridSpan w:val="24"/>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31, 2020, between Nelson Laboratories, LLC and Wilmington Trust, National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Association, as first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320" w:type="dxa"/>
            <w:vAlign w:val="bottom"/>
            <w:gridSpan w:val="1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10.30**†</w:t>
            </w:r>
          </w:p>
        </w:tc>
        <w:tc>
          <w:tcPr>
            <w:tcW w:w="740" w:type="dxa"/>
            <w:vAlign w:val="bottom"/>
          </w:tcPr>
          <w:p>
            <w:pPr>
              <w:spacing w:after="0"/>
              <w:rPr>
                <w:sz w:val="24"/>
                <w:szCs w:val="24"/>
                <w:color w:val="auto"/>
              </w:rPr>
            </w:pPr>
          </w:p>
        </w:tc>
        <w:tc>
          <w:tcPr>
            <w:tcW w:w="9600" w:type="dxa"/>
            <w:vAlign w:val="bottom"/>
            <w:gridSpan w:val="30"/>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Restated Supply Agreement, dated as of October 6, 2020, between a counterparty and Sterigenics U.S., LLC, Sterigenics S. De R.L.</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De C.V., Sterigenics Costa Rica S.R.L. and Sterigenics EO Canada, Inc.</w:t>
              </w:r>
            </w:hyperlink>
          </w:p>
        </w:tc>
        <w:tc>
          <w:tcPr>
            <w:tcW w:w="100" w:type="dxa"/>
            <w:vAlign w:val="bottom"/>
            <w:gridSpan w:val="3"/>
          </w:tcPr>
          <w:p>
            <w:pPr>
              <w:spacing w:after="0"/>
              <w:rPr>
                <w:sz w:val="17"/>
                <w:szCs w:val="17"/>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40" w:type="dxa"/>
            <w:vAlign w:val="bottom"/>
          </w:tcPr>
          <w:p>
            <w:pPr>
              <w:spacing w:after="0"/>
              <w:rPr>
                <w:sz w:val="24"/>
                <w:szCs w:val="24"/>
                <w:color w:val="auto"/>
              </w:rPr>
            </w:pPr>
          </w:p>
        </w:tc>
        <w:tc>
          <w:tcPr>
            <w:tcW w:w="352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List of Subsidiaries</w:t>
              </w:r>
            </w:hyperlink>
          </w:p>
        </w:tc>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II-5</w:t>
            </w: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4" w:type="dxa"/>
        <w:tblCellMar>
          <w:top w:w="0" w:type="dxa"/>
          <w:left w:w="0" w:type="dxa"/>
          <w:bottom w:w="0" w:type="dxa"/>
          <w:right w:w="0" w:type="dxa"/>
        </w:tblCellMar>
      </w:tblPr>
      <w:tr>
        <w:trPr>
          <w:trHeight w:val="18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 w:type="dxa"/>
            <w:vAlign w:val="bottom"/>
          </w:tcPr>
          <w:p>
            <w:pPr>
              <w:spacing w:after="0"/>
              <w:rPr>
                <w:sz w:val="15"/>
                <w:szCs w:val="15"/>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3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Consent of Cleary Gottlieb Steen &amp; Hamilton LLP (included in Exhibit 5.1)</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40" w:type="dxa"/>
            <w:vAlign w:val="bottom"/>
          </w:tcPr>
          <w:p>
            <w:pPr>
              <w:spacing w:after="0"/>
              <w:rPr>
                <w:sz w:val="24"/>
                <w:szCs w:val="24"/>
                <w:color w:val="auto"/>
              </w:rPr>
            </w:pPr>
          </w:p>
        </w:tc>
        <w:tc>
          <w:tcPr>
            <w:tcW w:w="9400" w:type="dxa"/>
            <w:vAlign w:val="bottom"/>
          </w:tcPr>
          <w:p>
            <w:pPr>
              <w:spacing w:after="0"/>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tcPr>
          <w:p>
            <w:pPr>
              <w:spacing w:after="0"/>
              <w:rPr>
                <w:sz w:val="24"/>
                <w:szCs w:val="24"/>
                <w:color w:val="auto"/>
              </w:rPr>
            </w:pPr>
          </w:p>
        </w:tc>
        <w:tc>
          <w:tcPr>
            <w:tcW w:w="9400" w:type="dxa"/>
            <w:vAlign w:val="bottom"/>
          </w:tcPr>
          <w:p>
            <w:pPr>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Powers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 w:right="5620" w:hanging="4"/>
        <w:spacing w:after="0" w:line="261"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 To be filed by amendment.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424" w:right="140" w:hanging="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24"/>
          </w:cols>
          <w:pgMar w:left="436" w:top="263"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November 2,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B. Petras,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B. Petras,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020"/>
          </w:cols>
          <w:pgMar w:left="440" w:top="266" w:right="439" w:bottom="1440" w:gutter="0" w:footer="0" w:header="0"/>
        </w:sectPr>
      </w:pPr>
    </w:p>
    <w:p>
      <w:pPr>
        <w:spacing w:after="0" w:line="18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David A. Donnini</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Stephanie Geveda</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Ann R. Klee</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James C. Neary</w:t>
      </w:r>
    </w:p>
    <w:p>
      <w:pPr>
        <w:spacing w:after="0" w:line="200" w:lineRule="exact"/>
        <w:rPr>
          <w:sz w:val="20"/>
          <w:szCs w:val="20"/>
          <w:color w:val="auto"/>
        </w:rPr>
      </w:pPr>
    </w:p>
    <w:p>
      <w:pPr>
        <w:spacing w:after="0" w:line="26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24765</wp:posOffset>
            </wp:positionV>
            <wp:extent cx="2486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spacing w:after="0"/>
              <w:rPr>
                <w:sz w:val="15"/>
                <w:szCs w:val="15"/>
                <w:color w:val="auto"/>
              </w:rPr>
            </w:pPr>
          </w:p>
        </w:tc>
      </w:tr>
      <w:tr>
        <w:trPr>
          <w:trHeight w:val="407"/>
        </w:trPr>
        <w:tc>
          <w:tcPr>
            <w:tcW w:w="4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Chairman and Chief Executive Officer (Principal Executive</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34"/>
        </w:trPr>
        <w:tc>
          <w:tcPr>
            <w:tcW w:w="4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1"/>
        </w:trPr>
        <w:tc>
          <w:tcPr>
            <w:tcW w:w="4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34"/>
        </w:trPr>
        <w:tc>
          <w:tcPr>
            <w:tcW w:w="4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6"/>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675"/>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675"/>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675"/>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675"/>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675"/>
        </w:trPr>
        <w:tc>
          <w:tcPr>
            <w:tcW w:w="4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2,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2">
            <w:col w:w="3740" w:space="720"/>
            <w:col w:w="6560"/>
          </w:cols>
          <w:pgMar w:left="440" w:top="266" w:right="4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OTERA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Sotera Health Company was organized by filing its original Certificate of Formation with the Secretary of State of the State of Delaware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2015 as Sterigenics-Nordion Topco, LLC. On November 7, 2017, Sterigenics-Nordion Topco, LLC converted to a corporation and 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name to Sotera Health Topco, Inc. This Amended and Restated Certificate of Incorporation was duly adopted in accordance with Sections 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245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by the written consent of its stockholders in accordance with Section 228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This Amended and Restated Certificate of Incorporation amends and restates the Certificate of Incorporation of the corporation in its entirety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 - Name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Sotera Health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 - Agent</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Wilmington, New Castle County, Delaware 19808. The name of its registered agent at that address is Corporation Service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 - Purpose</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purpose for which the Corporation is organized is to engage in any lawful act or activity for which corporations may be organized under the DGCL.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 – Capital Stock</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stock that the Corporation shall have authority to issue is [●] shares of capital stock, consisting of:</w:t>
      </w:r>
    </w:p>
    <w:p>
      <w:pPr>
        <w:spacing w:after="0" w:line="54" w:lineRule="exact"/>
        <w:rPr>
          <w:sz w:val="20"/>
          <w:szCs w:val="20"/>
          <w:color w:val="auto"/>
        </w:rPr>
      </w:pPr>
    </w:p>
    <w:p>
      <w:pPr>
        <w:ind w:left="1240" w:hanging="381"/>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with a par value of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with a par value of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60" w:firstLine="440"/>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any outstanding class or series of Preferred Stock, the number of authorized shares of Common Stock or Preferred Stock may be increased or decreased (but not below the number of shares thereof then outstanding) by the holders of a majority in voting power of the outstanding capital stock of the Corporation entitled to vote thereon, voting as a single class, and no separate vote of the holders of any class shall be required therefor irrespective of the provisions of Section 242(b)(2) of the DGCL.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 w:name="page10"/>
    <w:bookmarkEnd w:id="9"/>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Preferred Stock.</w:t>
      </w:r>
    </w:p>
    <w:p>
      <w:pPr>
        <w:spacing w:after="0" w:line="117" w:lineRule="exact"/>
        <w:rPr>
          <w:sz w:val="20"/>
          <w:szCs w:val="20"/>
          <w:color w:val="auto"/>
        </w:rPr>
      </w:pPr>
    </w:p>
    <w:p>
      <w:pPr>
        <w:ind w:right="180" w:firstLine="419"/>
        <w:spacing w:after="0" w:line="256" w:lineRule="auto"/>
        <w:tabs>
          <w:tab w:leader="none" w:pos="7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to provide, without approval of the stockholders of the Corporation, for the issuance of shares of Preferred Stock in one or more series, to establish from time to time the number of shares to be included in each such series, to fix the designations, powers (including voting powers, full or limited, or no voting powers), preferences and relative, optional or other special rights, if any, and the qualifications, limitations and restrictions thereof, if any, of the shares of each such series, and to file with the Secretary of State of the State of Delaware a certificate pursuant to the DGCL describing such number, designations, powers, preferences, rights and other terms, as applicable (a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560" w:firstLine="419"/>
        <w:spacing w:after="0" w:line="282" w:lineRule="auto"/>
        <w:tabs>
          <w:tab w:leader="none" w:pos="8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 Preferred Stock Designation or required by law, shares of Preferred Stock shall not entitle the holders thereof to vote at or receive notice of any meeting of stockholders.</w:t>
      </w:r>
    </w:p>
    <w:p>
      <w:pPr>
        <w:spacing w:after="0" w:line="2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19"/>
        <w:spacing w:after="0" w:line="253" w:lineRule="auto"/>
        <w:tabs>
          <w:tab w:leader="none" w:pos="8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in a Preferred Stock Designation or required by law, the holders of outstanding shares of Common Stock (including, but not limited to, shares of Common Stock that remain subject to vesting requirements) shall have the exclusive right to vote for the election of directors and on all other matters submitted to a vote of the stockholders of the Corporation. Each holder of outstanding shares of Common Stock shall be entitled to one vote in respect of each share of Common Stock held as of the applicable date on any matter that is submitted to a vote of stockholders of the Corporation. Except as otherwise required by law, shares of Common Stock shall not entitle the holders thereof to vote on any amendment to this Amended and Restated Certificate of Incorporation (as the same may be amended and/or restated from time to time, including by a Preferred Stock Designation, this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that alters or changes the powers, preferences, rights or other terms of solely one or more outstanding series of Preferred Stock if the holders of such affected series are entitled, separately or together with the holders of one or more other such series, to vote on such amendment pursuant to this Certificate of Incorporation (including a Preferred Stock Designation) or pursuant to the DGCL.</w:t>
      </w:r>
    </w:p>
    <w:p>
      <w:pPr>
        <w:spacing w:after="0" w:line="86" w:lineRule="exact"/>
        <w:rPr>
          <w:rFonts w:ascii="Times New Roman" w:cs="Times New Roman" w:eastAsia="Times New Roman" w:hAnsi="Times New Roman"/>
          <w:sz w:val="18"/>
          <w:szCs w:val="18"/>
          <w:color w:val="auto"/>
        </w:rPr>
      </w:pPr>
    </w:p>
    <w:p>
      <w:pPr>
        <w:ind w:right="260" w:firstLine="419"/>
        <w:spacing w:after="0" w:line="266" w:lineRule="auto"/>
        <w:tabs>
          <w:tab w:leader="none" w:pos="8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any preferential dividend rights of the holders of any outstanding series of Preferred Stock provided in the relevant Preferred Stock Designation, the holders of Common Stock shall be entitled to receive dividends out of funds legally available therefor at such times and in such amounts as the Board may determine in its sole discretion.</w:t>
      </w:r>
    </w:p>
    <w:p>
      <w:pPr>
        <w:spacing w:after="0" w:line="6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 up of the affairs of the Corporation, whether voluntary or involuntary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0" w:name="page11"/>
    <w:bookmarkEnd w:id="10"/>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payment or provision for payment of all debts and liabilities of the Corporation, and subject to the right, if any, of the holders of any outstanding series of Preferred Stock or any other outstanding class or series of stock of the Corporation having a preference over or the right to participate with the Common Stock as to distributions upon dissolution or liquidation or winding up of the Corporation, the holders of Common Stock shall be entitled to share ratably in the remaining assets of the Corporation available for distribution. For the avoidance of doubt, the term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shall not be deemed to be occasioned by or to include, without limitation, any voluntary consolidation, reorganization, conversion or merger of the Corporation with or into any other corporation or entity or other corporations or entities or a sale, lease, transfer, exchange or conveyance of all or a part of the Corporation’s assets.</w:t>
      </w:r>
    </w:p>
    <w:p>
      <w:pPr>
        <w:spacing w:after="0" w:line="81" w:lineRule="exact"/>
        <w:rPr>
          <w:sz w:val="20"/>
          <w:szCs w:val="20"/>
          <w:color w:val="auto"/>
        </w:rPr>
      </w:pPr>
    </w:p>
    <w:p>
      <w:pPr>
        <w:ind w:right="140" w:firstLine="419"/>
        <w:spacing w:after="0" w:line="282" w:lineRule="auto"/>
        <w:tabs>
          <w:tab w:leader="none" w:pos="8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Shares of Common Stock shall not entitle any holder thereof to any pre-emptive, subscription, redemption or conversion rights.</w:t>
      </w:r>
    </w:p>
    <w:p>
      <w:pPr>
        <w:spacing w:after="0" w:line="3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u w:val="single" w:color="auto"/>
          <w:color w:val="auto"/>
        </w:rPr>
        <w:t>Article V - Existence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 – Board of Directors</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Number; Classification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19"/>
        <w:spacing w:after="0" w:line="269" w:lineRule="auto"/>
        <w:tabs>
          <w:tab w:leader="none" w:pos="80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The business and affairs of the Corporation shall be managed by or under the direction of a Board, consisting of not fewer than three individuals. Subject to the rights granted to Warburg Pincus Private Equity XI, L.P., Warburg Pincus XI Partners, L.P., WP XI Partners, L.P., Warburg Pincus Private Equity XI-B, L.P. and Warburg Pincus Private Equity XI-C, L.P. and their respective Affiliates (as such term is defined in the Stockholders’ Agreement) (collectively, “</w:t>
      </w:r>
      <w:r>
        <w:rPr>
          <w:rFonts w:ascii="Times New Roman" w:cs="Times New Roman" w:eastAsia="Times New Roman" w:hAnsi="Times New Roman"/>
          <w:sz w:val="17"/>
          <w:szCs w:val="17"/>
          <w:u w:val="single" w:color="auto"/>
          <w:color w:val="auto"/>
        </w:rPr>
        <w:t>Warburg Pincus</w:t>
      </w:r>
      <w:r>
        <w:rPr>
          <w:rFonts w:ascii="Times New Roman" w:cs="Times New Roman" w:eastAsia="Times New Roman" w:hAnsi="Times New Roman"/>
          <w:sz w:val="17"/>
          <w:szCs w:val="17"/>
          <w:color w:val="auto"/>
        </w:rPr>
        <w:t>”) and GTCR Fund XI/A VCOC, GTCR Fund XI/C VCOC and GTCR Co-Invest XI LP and their respective Affiliates (as such term is defined in the Stockholders’ Agreement) (collectively, “</w:t>
      </w:r>
      <w:r>
        <w:rPr>
          <w:rFonts w:ascii="Times New Roman" w:cs="Times New Roman" w:eastAsia="Times New Roman" w:hAnsi="Times New Roman"/>
          <w:sz w:val="17"/>
          <w:szCs w:val="17"/>
          <w:u w:val="single" w:color="auto"/>
          <w:color w:val="auto"/>
        </w:rPr>
        <w:t>GTCR</w:t>
      </w:r>
      <w:r>
        <w:rPr>
          <w:rFonts w:ascii="Times New Roman" w:cs="Times New Roman" w:eastAsia="Times New Roman" w:hAnsi="Times New Roman"/>
          <w:sz w:val="17"/>
          <w:szCs w:val="17"/>
          <w:color w:val="auto"/>
        </w:rPr>
        <w:t>” and together with Warburg Pincus, the “</w:t>
      </w:r>
      <w:r>
        <w:rPr>
          <w:rFonts w:ascii="Times New Roman" w:cs="Times New Roman" w:eastAsia="Times New Roman" w:hAnsi="Times New Roman"/>
          <w:sz w:val="17"/>
          <w:szCs w:val="17"/>
          <w:u w:val="single" w:color="auto"/>
          <w:color w:val="auto"/>
        </w:rPr>
        <w:t>Sponsors</w:t>
      </w:r>
      <w:r>
        <w:rPr>
          <w:rFonts w:ascii="Times New Roman" w:cs="Times New Roman" w:eastAsia="Times New Roman" w:hAnsi="Times New Roman"/>
          <w:sz w:val="17"/>
          <w:szCs w:val="17"/>
          <w:color w:val="auto"/>
        </w:rPr>
        <w:t>”) pursuant to the stockholders’ agreement, dated as of [date], by and among the Corporation, Warburg Pincus, GTCR and the other stockholders party thereto (as the same may be amended, supplemented, restated or otherwise modified from time to time, the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the exact number of directors shall be determined from time to time by resolution adopted by the affirmative vote of a majority of the number of directors then in office (but not less than one-third of the total number of directors constituting the Board), provided that, without the consent of Warburg Pincus or GTCR, the number of directors shall not exceed eleven individuals (exclusive of directors referred to in clause (d) of this Section 1); provided, further, that the consent of Warburg Pincus or GTCR shall be required only at such time as Warburg Pincus or GTCR, as the case may be, has the right to designate at least one director of the Corporation under the Stockholders’ Agreement.</w:t>
      </w:r>
    </w:p>
    <w:p>
      <w:pPr>
        <w:spacing w:after="0" w:line="70" w:lineRule="exact"/>
        <w:rPr>
          <w:rFonts w:ascii="Times New Roman" w:cs="Times New Roman" w:eastAsia="Times New Roman" w:hAnsi="Times New Roman"/>
          <w:sz w:val="17"/>
          <w:szCs w:val="17"/>
          <w:color w:val="auto"/>
        </w:rPr>
      </w:pPr>
    </w:p>
    <w:p>
      <w:pPr>
        <w:ind w:right="280" w:firstLine="419"/>
        <w:spacing w:after="0" w:line="282" w:lineRule="auto"/>
        <w:tabs>
          <w:tab w:leader="none" w:pos="8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Classes</w:t>
      </w:r>
      <w:r>
        <w:rPr>
          <w:rFonts w:ascii="Times New Roman" w:cs="Times New Roman" w:eastAsia="Times New Roman" w:hAnsi="Times New Roman"/>
          <w:sz w:val="18"/>
          <w:szCs w:val="18"/>
          <w:color w:val="auto"/>
        </w:rPr>
        <w:t>. From and after the date of the filing of this Certificate of Incorporation with the Secretary of State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special rights of the holders of one or more series of Preferred Stock to elect directors, the directors shall be divided into three classes, designated Class I, Class II and Class III. Each class shall consist, as nearly as may be possible, of one-third of the total number of directors so divided into classes. The Board is authorized to assign members of the Board already in office to Class I, Class II or Class III at the time such classification becomes effective. Class I directors shall serve for an initial term ending at the first annual meeting of stockholders following the Effective Time, Class II directors shall serve for an initial term ending at the second annual meeting of stockholders following the Effective Time and Class III directors shall serve for an initial term ending at the third annual meeting of stockholders following the Effective Time. Commencing with the first annual meeting of stockholders following the Effective Time, successors to the directors of the class whose term has expired at that annual meeting shall be elected for a three-year term and shall serve until the election and qualification of their respective successors in office or until their earlier death, resignation, disqualification or removal.</w:t>
      </w:r>
    </w:p>
    <w:p>
      <w:pPr>
        <w:spacing w:after="0" w:line="80" w:lineRule="exact"/>
        <w:rPr>
          <w:sz w:val="20"/>
          <w:szCs w:val="20"/>
          <w:color w:val="auto"/>
        </w:rPr>
      </w:pPr>
    </w:p>
    <w:p>
      <w:pPr>
        <w:ind w:right="340" w:firstLine="419"/>
        <w:spacing w:after="0" w:line="282"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Ballot Not Required</w:t>
      </w:r>
      <w:r>
        <w:rPr>
          <w:rFonts w:ascii="Times New Roman" w:cs="Times New Roman" w:eastAsia="Times New Roman" w:hAnsi="Times New Roman"/>
          <w:sz w:val="18"/>
          <w:szCs w:val="18"/>
          <w:color w:val="auto"/>
        </w:rPr>
        <w:t>. Unless and except to the extent that the bylaws of the Corporation (as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so require, the election of directors of the Corporation need not be by written ballot.</w:t>
      </w:r>
    </w:p>
    <w:p>
      <w:pPr>
        <w:spacing w:after="0" w:line="53" w:lineRule="exact"/>
        <w:rPr>
          <w:rFonts w:ascii="Times New Roman" w:cs="Times New Roman" w:eastAsia="Times New Roman" w:hAnsi="Times New Roman"/>
          <w:sz w:val="18"/>
          <w:szCs w:val="18"/>
          <w:color w:val="auto"/>
        </w:rPr>
      </w:pPr>
    </w:p>
    <w:p>
      <w:pPr>
        <w:ind w:firstLine="419"/>
        <w:spacing w:after="0" w:line="252" w:lineRule="auto"/>
        <w:tabs>
          <w:tab w:leader="none" w:pos="8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Notwithstanding the foregoing and notwithstanding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(but subject to the rights of the Sponsors under the Stockholders’ Agreement), whenever a Preferred Stock Designation expressly provides holders of any one or more series of Preferred Stock issued by the Corporation the right, voting separately by series or as a class, to elect directors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the total number of Preferred Stock Directors and the election, term of office, filling of vacancies and other features of such Preferred Stock directorships shall be governed by the applicable Preferred Stock Designation and the provisions of the DGCL applicable to Preferred Stock Directors and directorships. Upon commencement and for the duration of the period during which such right continues, (i) the total number of directors of the Corporation authorized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automatically increase by the number of Preferred Stock Directors specified in the applicable Preferred Stock Designation, and (ii) each such additional Preferred Stock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(including any Preferred Stock Designation), whenever the holders of any series of Preferred Stock having the special right to elect additional Preferred Stock Directors are divested of such right pursuant to this Certificate of Incorporation (including any Preferred Stock Designation), the terms of office of each such additional Preferred Stock Directors elected by the holders of such series, or appointed to fill any vacancies resulting from the death, resignation, disqualification or removal of such additional Preferred Stock Director, shall forthwith terminate and the total authorized number of directors of the Corporation shall be reduced accordingly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12" w:name="page13"/>
    <w:bookmarkEnd w:id="12"/>
    <w:p>
      <w:pPr>
        <w:ind w:left="4"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special rights of the holders of one or more outstanding series of Preferred Stock as provided in the relevant Preferred Stock Designation(s), and subject to any rights in the Stockholders’ Agreement granting a Designated Sponsor Fund (as defined in the Stockholders’ Agreement) the right to fill vacancies or newly created directorships, any newly created directorship that results from an increase in the total number of directors constituting the Board, or any vacancy that results from the death, resignation, disqualification or removal of any director or from any other cause shall be filled by the affirmative vote of a majority of the directors then in office, even if less than a quorum, or by a sole remaining director. Any director elected to fill a vacancy shall hold office for the remaining term of the class to which such director has been appointed and until his or her successor is duly elected and qualified, subject to his or her earlier death, resignation, disqualification or removal. If the number of directors is changed, any increase or decrease shall be apportioned among the classes as determined by the Board so as to maintain the number of directors in each class as nearly equal as possible, and any additional director of any class elected to fill a newly created directorship shall hold office for the remaining term of that class and until his or her successor is duly elected and qualified, subject to his or her earlier death, resignation, disqualification or removal. In no case shall a decrease in the total number of directors constituting the Board shorten the term of any incumbent director.</w:t>
      </w:r>
    </w:p>
    <w:p>
      <w:pPr>
        <w:spacing w:after="0" w:line="19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special rights of the holders of one or more outstanding series of Preferred Stock as provided in the relevant Preferred Stock Designation(s), any director or the entire Board may be removed from office at any time, but only for cause and only by the affirmative vote of the holders of at least 75% of the voting power of the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Trigger Date (as defined below), if a Designated Sponsor Fund shall have provided the Corporation its written consent to the removal without cause of any director designated by it in accordance with the Stockholders’ Agreement, any such director may be removed, with or without cause, by the affirmative vote of the holders of a majority in voting power of the outstanding capital stock of the Corporation entitled to vote generally in the election of directors.</w:t>
      </w:r>
    </w:p>
    <w:p>
      <w:pPr>
        <w:spacing w:after="0" w:line="187"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 majority of the directors at any time in office (but not less than one-third of the total number of directors constituting the Board) shall constitute a quorum of the Board for the transaction of business at any meeting of the Board; provided, however, that (i) for so long as Warburg Pincus shall have a contractual right to designate at least one director of the Corporation and has not irrevocably waived such contractual right, a quorum of the Board shall require at least one director designated by Warburg Pincus (unless Warburg Pincus waives such quorum requirement) and</w:t>
      </w:r>
    </w:p>
    <w:p>
      <w:pPr>
        <w:spacing w:after="0" w:line="3" w:lineRule="exact"/>
        <w:rPr>
          <w:sz w:val="20"/>
          <w:szCs w:val="20"/>
          <w:color w:val="auto"/>
        </w:rPr>
      </w:pPr>
    </w:p>
    <w:p>
      <w:pPr>
        <w:ind w:left="4" w:right="140" w:hanging="4"/>
        <w:spacing w:after="0" w:line="25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GTCR shall have a contractual right to designate at least one director of the Corporation and has not irrevocably waived such contractual right, a quorum of the Board shall require at least one director designated by GTCR (unless GTCR waives such quorum requirement); provided further, however, that if a meeting of the Board duly called in accordance with this Certificate of Incorporation and the Bylaws of the Corporation fails to achieve a quorum solely due to the absence of any director designated by Warburg Pincus or any director designated by GTCR, as the case may be, then a new notice of meeting of the Board may be given in accordance with this Certificate of Incorporation and the Bylaws of the Corporation and a quorum at such meeting shall not require the presence of (A) in the event that the preceding meeting of the Board failed to achieve a quorum due to the absence of any director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3" w:name="page14"/>
    <w:bookmarkEnd w:id="1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designated by Warburg, any director designated by Warburg or (B) in the event that the preceding meeting of the Board failed to achieve a quorum due to the absence of any director designated by GTCR, any director designated by GTCR. If at any meeting of the Board there shall be less than such a quorum, a majority of the directors present may adjourn the meeting from time to time without further notice other than announcement at the meeting, until a quorum shall be present.</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Every act or decision done or made by a majority of the directors present at a meeting duly held at which a quorum is present shall be regarded as the act of the Board unless a greater number is required by applicable law, the Bylaws or by this Certificate of Incorporation.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 – Liability of Directors and Officers and Certain Other Persons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Elimination of Certain Liability of Directors</w:t>
      </w:r>
      <w:r>
        <w:rPr>
          <w:rFonts w:ascii="Times New Roman" w:cs="Times New Roman" w:eastAsia="Times New Roman" w:hAnsi="Times New Roman"/>
          <w:sz w:val="18"/>
          <w:szCs w:val="18"/>
          <w:color w:val="auto"/>
        </w:rPr>
        <w:t>. To the fullest extent permitted by the DGCL, a director of the Corporation shall not be personally liable to the Corporation or its stockholders for monetary damages for breach of fiduciary duty as a director. If the DGCL is amended after the Effective Date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Indemnification of Directors, Officers and Certain Other Persons</w:t>
      </w:r>
    </w:p>
    <w:p>
      <w:pPr>
        <w:spacing w:after="0" w:line="117" w:lineRule="exact"/>
        <w:rPr>
          <w:sz w:val="20"/>
          <w:szCs w:val="20"/>
          <w:color w:val="auto"/>
        </w:rPr>
      </w:pPr>
    </w:p>
    <w:p>
      <w:pPr>
        <w:ind w:left="440" w:firstLine="419"/>
        <w:spacing w:after="0" w:line="253" w:lineRule="auto"/>
        <w:tabs>
          <w:tab w:leader="none" w:pos="12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to Indemnify in Action, Suits or Proceedings</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the Corporation shall, to the fullest extent permitted by the DGCL (as it presently exists or may hereafter be amended but, in the case of any such amendment, only to the extent that such amendment permits the Corporation to provide broader indemnification rights than permitted prior to such amendment), indemnify and hold harmless any person made or threatened to be made a party to, or is otherwise involved in, any action, suit or proceeding, whether criminal, civil, administrative, or investigative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such person, or the legal representative of such person, is or was a director or officer of the Corporation or, while a director or officer of the Corporation, is or was serving at the request of the Corporation as a director, officer, employee, agent or manager of any other corporation, partnership, limited liability company, joint venture, trust or other enterprise or nonprofit entity, including service with respect to an employee benefit plan (each such person, an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whether the basis of such proceeding is alleged action in an official capacity as an Eligible Person or in any other capacity while serving in such official capacity, against all expense, liability and loss (including attorneys’ and other professionals’ fees, judgments, fines, taxes under the Employee Retirement Income Security Act of 1974, as amended, or penalties and amounts to be paid in settlement) actually and reasonably incurred or suffered by such person in connection therewith.</w:t>
      </w:r>
    </w:p>
    <w:p>
      <w:pPr>
        <w:spacing w:after="0" w:line="81"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2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 To the fullest extent permitted by the DGCL, each Eligible Person shall, subject in all events to satisfaction of the terms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4" w:name="page15"/>
    <w:bookmarkEnd w:id="1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conditions set forth in or imposed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to the limitations contained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have the right to be paid by the Corporation the expenses (including attorneys’ and other professionals’ fees and disbursements and court costs) actually and reasonably incurred in defending any proceeding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in advance of its final disposition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upon the receipt of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Eligible Person to repay all amounts so advanced if it is ultimately determined by final judicial decision from which there is no further right to appeal (a “</w:t>
      </w:r>
      <w:r>
        <w:rPr>
          <w:rFonts w:ascii="Times New Roman" w:cs="Times New Roman" w:eastAsia="Times New Roman" w:hAnsi="Times New Roman"/>
          <w:sz w:val="18"/>
          <w:szCs w:val="18"/>
          <w:u w:val="single" w:color="auto"/>
          <w:color w:val="auto"/>
        </w:rPr>
        <w:t>final adjudication</w:t>
      </w:r>
      <w:r>
        <w:rPr>
          <w:rFonts w:ascii="Times New Roman" w:cs="Times New Roman" w:eastAsia="Times New Roman" w:hAnsi="Times New Roman"/>
          <w:sz w:val="18"/>
          <w:szCs w:val="18"/>
          <w:color w:val="auto"/>
        </w:rPr>
        <w:t xml:space="preserve">”) that such person is not entitled to be indemnified by the Corporation for such expenses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(it being understood that no collateral securing or other assurance of performance of such undertaking shall be required of such Eligible Person by the Corporation).</w:t>
      </w:r>
    </w:p>
    <w:p>
      <w:pPr>
        <w:spacing w:after="0" w:line="81" w:lineRule="exact"/>
        <w:rPr>
          <w:sz w:val="20"/>
          <w:szCs w:val="20"/>
          <w:color w:val="auto"/>
        </w:rPr>
      </w:pPr>
    </w:p>
    <w:p>
      <w:pPr>
        <w:jc w:val="both"/>
        <w:ind w:right="500" w:firstLine="419"/>
        <w:spacing w:after="0" w:line="266" w:lineRule="auto"/>
        <w:tabs>
          <w:tab w:leader="none" w:pos="8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Advancement of Expenses to Certain Other Persons.</w:t>
      </w:r>
      <w:r>
        <w:rPr>
          <w:rFonts w:ascii="Times New Roman" w:cs="Times New Roman" w:eastAsia="Times New Roman" w:hAnsi="Times New Roman"/>
          <w:sz w:val="18"/>
          <w:szCs w:val="18"/>
          <w:color w:val="auto"/>
        </w:rPr>
        <w:t xml:space="preserve"> The Corporation may from time to time grant rights to indemnification and advancement of expenses to such other persons and with such scope and effect as the Board may determine, subject to applicable law.</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8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No Eligible Person shall be entitled to any advancement of expenses for, or to indemnification from or to be held harmless by the Corporation against expenses, liabilities or losses, incurred by him or her in asserting any claim or commencing or prosecuting any proceeding (except as provided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but such advancement of expenses and indemnification and hold harmless rights may be provided by the Corporation in any specific instance as permitted by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2(g)</w:t>
      </w:r>
      <w:r>
        <w:rPr>
          <w:rFonts w:ascii="Times New Roman" w:cs="Times New Roman" w:eastAsia="Times New Roman" w:hAnsi="Times New Roman"/>
          <w:sz w:val="18"/>
          <w:szCs w:val="18"/>
          <w:color w:val="auto"/>
        </w:rPr>
        <w:t>, or in any specific instance in which the Board or any person designated to grant such authorization pursuant to a resolution adopted by the Board first authorizes the commencement or prosecution of such a proceeding or the assertion of such a claim.</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8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rights to indemnification and advancement of expenses provided by, or granted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enforceable by any person entitled to such indemnification or advancement of expenses. To the fullest extent permitted by law, if successful in whole or in part in any such proceeding, or in a proceeding brought by the Corporation to recover an advancement of expenses, the person entitled to such indemnification or advancement of expenses shall be entitled to be paid also the expense of prosecuting or defending such suit. Notice of any application to a court by any such person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given to the Corporation promptly upon the filing of such application; provided, however, that such notice shall not be required for an award of or a determination of entitlement to indemnification or advancement of expenses.</w:t>
      </w:r>
    </w:p>
    <w:p>
      <w:pPr>
        <w:spacing w:after="0" w:line="80"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and Survival of Indemnification.</w:t>
      </w:r>
    </w:p>
    <w:p>
      <w:pPr>
        <w:spacing w:after="0" w:line="117" w:lineRule="exact"/>
        <w:rPr>
          <w:rFonts w:ascii="Times New Roman" w:cs="Times New Roman" w:eastAsia="Times New Roman" w:hAnsi="Times New Roman"/>
          <w:sz w:val="18"/>
          <w:szCs w:val="18"/>
          <w:color w:val="auto"/>
        </w:rPr>
      </w:pPr>
    </w:p>
    <w:p>
      <w:pPr>
        <w:jc w:val="both"/>
        <w:ind w:right="20" w:firstLine="1371"/>
        <w:spacing w:after="0" w:line="261" w:lineRule="auto"/>
        <w:tabs>
          <w:tab w:leader="none" w:pos="172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to the advancement of expenses provided by or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independent of, and shall not be deemed exclusive of or a limitation on, any other rights to which any person seeking indemnification or advancement of expenses may be entitled or may hereafter acquire under any statute, provision of this Certificate of Incorporation, provision of the Bylaws, Stockholders’ Agreement, other agreement, vote of stockholders or of</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70" w:right="47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disinterested directors or otherwise, both as to such person’s official capacity and as to action in another capacity while holding such office. It is the intent of the Corporation that indemnification of and advancement of expenses to Eligible Persons shall be made to the fullest extent permitted by law.</w:t>
      </w:r>
    </w:p>
    <w:p>
      <w:pPr>
        <w:spacing w:after="0" w:line="68" w:lineRule="exact"/>
        <w:rPr>
          <w:sz w:val="20"/>
          <w:szCs w:val="20"/>
          <w:color w:val="auto"/>
        </w:rPr>
      </w:pPr>
    </w:p>
    <w:p>
      <w:pPr>
        <w:ind w:right="160" w:firstLine="1371"/>
        <w:spacing w:after="0" w:line="258" w:lineRule="auto"/>
        <w:tabs>
          <w:tab w:leader="none" w:pos="17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obligation, if any, to indemnify, to hold harmless, or to provide advancement of expenses to any Eligible Person who was or is serving at its request as a director, officer, employee, agent or manager of another corporation, partnership, limited liability company, joint venture, trust or other enterprise or nonprofit entity (including service with respect to an employee benefit plan) shall be reduced by any amount such Eligible Person actually collects as indemnification, holding harmless, or advancement of expenses from such other corporation, partnership, limited liability company, joint venture, trust or other enterprise nonprofit entity.</w:t>
      </w:r>
    </w:p>
    <w:p>
      <w:pPr>
        <w:spacing w:after="0" w:line="75" w:lineRule="exact"/>
        <w:rPr>
          <w:rFonts w:ascii="Times New Roman" w:cs="Times New Roman" w:eastAsia="Times New Roman" w:hAnsi="Times New Roman"/>
          <w:sz w:val="18"/>
          <w:szCs w:val="18"/>
          <w:color w:val="auto"/>
        </w:rPr>
      </w:pPr>
    </w:p>
    <w:p>
      <w:pPr>
        <w:ind w:firstLine="1371"/>
        <w:spacing w:after="0" w:line="252" w:lineRule="auto"/>
        <w:tabs>
          <w:tab w:leader="none" w:pos="18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provided by, or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contract rights, and such rights shall continue as to a person who has ceased to be an officer or director of the Corporation (or in the case of any other person who may or shall be entitled to rights to indemnification or advancement of expenses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has ceased to serve the Corporation) and shall inure to the benefit of the estate, heirs, legatees, distributees, executors, administrators and other comparable legal representatives of such person. A right to indemnification or to advancement of expenses arising under any provision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not be eliminated or impaired by an amendment, alteration or repeal of any provision of this Certificate of Incorporation after the occurrence of the act or omission that is the subject of the proceeding for which indemnification or advancement of expenses is sought (even in the case of a proceeding based on a state of facts that is commenced after such time). Any reference to an officer of the Corporation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refer exclusively to the Chairperson, the Chief Executive Officer, the Chief Financial Officer, the President, the Treasurer and the Secretary, and any other officer expressly appointed as such pursuant to and in accordance with Article IV of the Bylaws (or any successor provision),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w:t>
      </w:r>
    </w:p>
    <w:p>
      <w:pPr>
        <w:spacing w:after="0" w:line="89" w:lineRule="exact"/>
        <w:rPr>
          <w:rFonts w:ascii="Times New Roman" w:cs="Times New Roman" w:eastAsia="Times New Roman" w:hAnsi="Times New Roman"/>
          <w:sz w:val="18"/>
          <w:szCs w:val="18"/>
          <w:color w:val="auto"/>
        </w:rPr>
      </w:pPr>
    </w:p>
    <w:p>
      <w:pPr>
        <w:ind w:firstLine="419"/>
        <w:spacing w:after="0" w:line="256" w:lineRule="auto"/>
        <w:tabs>
          <w:tab w:leader="none" w:pos="8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but shall not be required to, purchase and maintain insurance, at its expense, on behalf of itself and any person who is or was a director, officer, employee, agent or manager of the Corporation or any other enterprise or entity, including service with respect to an employee benefit plan, against any expense, liability or loss, whether or not the Corporation would have the power, the ability or the obligation to indemnify such person against such expense, liability or loss under the DGCL. Nothing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prevent the Corporation from entering into any agreement with any person that provides independent indemnification, hold harmless or advancement rights to such person or further regulates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16" w:name="page17"/>
    <w:bookmarkEnd w:id="16"/>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terms on which indemnification, hold harmless or advancement rights are to be provided to such person or provides independent assurance of the Corporation’s obligation to indemnify, hold harmless and/or advance the expenses of such person, whether or not such indemnification, hold harmless or advancement rights are on the same or different terms than provided for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is in respect of such person acting in any other capacity, and nothing contained herein shall be exclusive of, or a limitation on, any right to indemnification, to be held harmless, or to an advancement of expenses to which any person is otherwise entitled. The Corporation may create a trust fund, grant a security interest or use other means (including a letter of credit) to ensure the payment of such amounts as may be necessary to effect indemnification and the advancement of expenses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right="120" w:firstLine="419"/>
        <w:spacing w:after="0" w:line="261"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all or any portion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invalidated or held to be unenforceable on any ground by any court of competent jurisdiction, the decision of which has not been reversed on appeal,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be modified to the minimum extent necessary to avoid a violation of law and, as so modified, shall remain valid and enforceable in accordance with its terms to the fullest extent permitted by law.</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Repeal, Etc.</w:t>
      </w:r>
      <w:r>
        <w:rPr>
          <w:rFonts w:ascii="Times New Roman" w:cs="Times New Roman" w:eastAsia="Times New Roman" w:hAnsi="Times New Roman"/>
          <w:sz w:val="18"/>
          <w:szCs w:val="18"/>
          <w:color w:val="auto"/>
        </w:rPr>
        <w:t xml:space="preserve"> No amendment or repeal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nor the adoption of any provision of this Certificate of Incorporation inconsistent with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nor, to the fullest extent permitted by the DGCL, any modification of law, shall adversely affect any right or protection hereunder of any person in respect of any act or omission occurring prior to the time of such amendment, repeal or adoption of an inconsistent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 – Corporate Opportunity</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 of Certain Affairs</w:t>
      </w:r>
      <w:r>
        <w:rPr>
          <w:rFonts w:ascii="Times New Roman" w:cs="Times New Roman" w:eastAsia="Times New Roman" w:hAnsi="Times New Roman"/>
          <w:sz w:val="18"/>
          <w:szCs w:val="18"/>
          <w:color w:val="auto"/>
        </w:rPr>
        <w:t>. In recognition and anticipation that (a) certain direct or indirect partners, equityholders, principals, directors, officers, members, managers, employees and/or other representatives of the Sponsors (each of the foregoing persons or entities, other than the Sponsors,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may serve as directors, officers or agents of the Corporation or its subsidiaries, (b) the Corporation or its subsidiaries and the Sponsors may now engage and may continue to engage in the same or similar activities (which shall include, without limitation, other business activities that overlap with or compete with those in which the Corporation or its subsidiaries, directly or indirectly, may engage) or lines of business and have an interest in the same or similar areas of corporate opportunities; and (c) there will be benefits to be derived by the Corporation or its subsidiaries through its contractual, corporate and business relations with the Sponsors (including possible service of Identified Persons as officers and directors of the Corporation or its subsidiaries) and there will be benefits in providing guidelines for the Identified Persons and of the Corporation with respect to the allocation of corporate opportunities and other matters;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set forth to regulate, define and guide the conduct of certain affairs of the Corporation and its subsidiaries with respect to certain classes or categories of business opportunities as they may involve the Sponsors and the Identified Persons, and the powers, rights, duties and liabilities of the Corporation and its officers, directors and stockholders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will impair the Corporation’s ability to enter into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7" w:name="page18"/>
    <w:bookmarkEnd w:id="17"/>
    <w:p>
      <w:pPr>
        <w:ind w:left="4"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contractual arrangements with a stockholder of the Corporation, which arrangements restrict the stockholder from engaging in activities otherwise allowed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the following provisions shall be subject to any such contractual obligation of the Corporation.</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 No contract, agreement, arrangement or transaction between or among the Corporation or its subsidiaries, on the one hand, and any Sponsor or any Identified Person, on the other, shall be void or voidable solely for the reason that any Sponsor or Identified Person is a party thereto, and, to the fullest extent permitted by law, any such Sponsor or Identified Person (a) shall have fully satisfied and fulfilled the fiduciary duties, if any, owed by such Sponsor or Identified Person to the Corporation and its subsidiaries or their respective stockholders or equityholders with respect thereto; (b) shall not be liable to the Corporation or its subsidiaries or their respective stockholders or equityholders for breach of any fiduciary duty owed by such Sponsor or Identified Person by reason of the entering into, performance or consummation of any such contract, agreement, arrangement or transaction; (c) shall be deemed to have acted in good faith and in a manner such Sponsor and/or Identified Person reasonably believed to be in and not opposed to the best interests of the Corporation and its subsidiaries and their respective stockholders or equityholders; and (d) shall be deemed not to have breached any fiduciary duty (including the duty of loyalty) owed to the Corporation or its subsidiaries and their respective stockholders or equityholders, and not to have received an improper personal gain or otherwise derived an improper personal benefit therefrom, if (i) the material facts as to the contract, agreement, arrangement or transaction are disclosed or are known to the Board or the committee thereof that authorizes the contract, agreement, arrangement or transaction, and (ii) the Board or such committee in good faith authorizes the contract, agreement, arrangement or transaction by the affirmative vote of a majority of the disinterested directors, even though less than a quorum. Directors of the Corporation who are also Identified Persons may be counted in determining the presence of a quorum at a meeting of the Board or of a committee that authorizes any such contract, agreement, arrangement or transaction.</w:t>
      </w:r>
    </w:p>
    <w:p>
      <w:pPr>
        <w:spacing w:after="0" w:line="196"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Competition and Corporate Opportunities</w:t>
      </w:r>
      <w:r>
        <w:rPr>
          <w:rFonts w:ascii="Times New Roman" w:cs="Times New Roman" w:eastAsia="Times New Roman" w:hAnsi="Times New Roman"/>
          <w:sz w:val="17"/>
          <w:szCs w:val="17"/>
          <w:color w:val="auto"/>
        </w:rPr>
        <w:t>. Subject to any contractual provisions to the contrary, the Sponsors and Identified Persons shall have the right to, and, to the fullest extent permitted by law, shall have no duty (contractual, fiduciary or otherwise) to refrain from, directly or indirectly, (a) engaging in the same or similar activities or lines of business as the Corporation or any of its subsidiaries, on its own account, or in partnership with, or as an employee, officer, director or stockholder of any other person, including those lines of business deemed to be competing with the Corporation or any of its subsidiaries; (b) doing business with any potential or actual customer or supplier of the Corporation or its subsidiaries; or</w:t>
      </w:r>
    </w:p>
    <w:p>
      <w:pPr>
        <w:spacing w:after="0" w:line="3" w:lineRule="exact"/>
        <w:rPr>
          <w:sz w:val="20"/>
          <w:szCs w:val="20"/>
          <w:color w:val="auto"/>
        </w:rPr>
      </w:pPr>
    </w:p>
    <w:p>
      <w:pPr>
        <w:ind w:left="4" w:right="140" w:hanging="4"/>
        <w:spacing w:after="0" w:line="253"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employing or otherwise engaging any officer or employee of the Corporation or its subsidiaries. To the fullest extent permitted by law, neither the Sponsors nor any Identified Person (except as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be liable to the Corporation or its stockholders for breach of any fiduciary duty by reason of any such activities of the Sponsors or Identified Persons, or such person’s participation therein. None of the Corporation or its stockholders or any of its subsidiaries or their stockholders shall have any rights in and to the business ventures of any Sponsor or Identified Person or the income or profits derived therefrom.</w:t>
      </w:r>
    </w:p>
    <w:p>
      <w:pPr>
        <w:spacing w:after="0" w:line="18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law, (i) the Corporation, on behalf of itself and its subsidiaries and its and their respective stockholders or equityholders, renounces any interest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expectancy of the Corporation and its subsidiaries in, or in being offered an opportunity to participate in, business opportunities that are from time to time presented to, or acquired, created or developed by, or that otherwise come into the possession of, any of the Sponsors or any Identified Person, even if the opportunity is one that the Corporation or its subsidiaries might reasonably be deemed to have pursued or had the ability or desire to pursue if granted the opportunity to do so, (ii) no Sponsor or Identified Person shall have any duty (contractual, fiduciary or otherwise) to communicate or offer such business opportunity to the Corporation or any of its subsidiaries or any of their respective stockholders, and no such person shall be liable to the Corporation or any of its subsidiaries or any of their respective stockholders for breach of any duty (contractual, fiduciary or otherwise), as a stockholder,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w:t>
      </w:r>
    </w:p>
    <w:p>
      <w:pPr>
        <w:spacing w:after="0" w:line="19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person purchasing or otherwise acquiring any interest in any shares of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this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of this Article VIII in respect of any matter occurring, or any cause of action, suit or claim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would accrue or arise, with respect to any action or omission occurring prior to such alteration, amendment, repeal or adoption. Following any amendment, modification or elimination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any contract, agreement, arrangement or transaction involving a corporate opportunity shall not by reason thereof result in any breach of any duty (contractual, fiduciary or otherwise) or failure to act in good faith or in the best interests of the Corporation or derivation of any improper benefit or personal economic gain on the part of any Sponsor, Identified Person or other person or entity, but shall be governed by the other provisions of this Certificate of Incorporation, the Bylaws, the DGCL and other applicable law.</w:t>
      </w:r>
    </w:p>
    <w:p>
      <w:pPr>
        <w:spacing w:after="0" w:line="188" w:lineRule="exact"/>
        <w:rPr>
          <w:sz w:val="20"/>
          <w:szCs w:val="20"/>
          <w:color w:val="auto"/>
        </w:rPr>
      </w:pPr>
    </w:p>
    <w:p>
      <w:pPr>
        <w:ind w:right="4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so long as either Warburg Pincus or GTCR has the right to designate at least one director of the Corporation under the Stockholders’ Agreement, in addition to and notwithstanding the foregoing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corporate opportunity shall not be deemed to be a potential opportunity for the Corporation or any of its subsidiaries (and shall be expressly renounced) if it is a business opportunity that (i) the Corporation is not financially able or contractually permitted or legally able to undertake, (ii) from its nature, is not in the line of the Corporation’s business or is of no practical advantage to it or (iii) is one in which the Corporation has no interest or reasonable expectancy.</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any portion hereof shall be invalidated or held to be unenforceable on any ground by any court of competent jurisdiction, the decision of which shall not have been reversed on appeal,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be modified to the minimum extent necessary to avoid a violation of law and, as so modified,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remaining provisions hereof shall remain valid and enforceable in accordance with their terms to the fullest extent permitted by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 – Stockholder Action</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Actions at Meetings Duly Called; No Written Consents</w:t>
      </w:r>
      <w:r>
        <w:rPr>
          <w:rFonts w:ascii="Times New Roman" w:cs="Times New Roman" w:eastAsia="Times New Roman" w:hAnsi="Times New Roman"/>
          <w:sz w:val="18"/>
          <w:szCs w:val="18"/>
          <w:color w:val="auto"/>
        </w:rPr>
        <w:t>. Except as provided with respect to the holders of any outstanding series of Preferred Stock in the relevant Preferred Stock Designation(s), any action required or permitted to be taken at any annual or special meeting of the stockholders of the Corporation may be taken only upon the vote of the stockholders at an annual or special meeting duly called and may not be taken by consent of the stockholders in lieu of a meeting; provided, however, that prior to the date on which the Sponsors no longer collectively beneficially own (as such term is used in Rule 13d-5 under the Exchange Act, as such Rule is in effect as of the date of this Certificate of Incorporation) more than 50% of the total voting power of all the then outstanding shares of stock of the Corporation entitled to vote generally in the election of directors (the “</w:t>
      </w:r>
      <w:r>
        <w:rPr>
          <w:rFonts w:ascii="Times New Roman" w:cs="Times New Roman" w:eastAsia="Times New Roman" w:hAnsi="Times New Roman"/>
          <w:sz w:val="18"/>
          <w:szCs w:val="18"/>
          <w:u w:val="single" w:color="auto"/>
          <w:color w:val="auto"/>
        </w:rPr>
        <w:t>Trigger Date</w:t>
      </w:r>
      <w:r>
        <w:rPr>
          <w:rFonts w:ascii="Times New Roman" w:cs="Times New Roman" w:eastAsia="Times New Roman" w:hAnsi="Times New Roman"/>
          <w:sz w:val="18"/>
          <w:szCs w:val="18"/>
          <w:color w:val="auto"/>
        </w:rPr>
        <w:t>”), any action required or permitted to be taken at any annual or special meeting of the stockholders of the Corporation may be taken by consent of the stockholders in lieu of a meeting, if a consent or consents setting forth the action so taken shall be signed by the holders of outstanding stock having not less than the minimum number of votes that would be necessary to authorize or take such action at a meeting of stockholders at which all shares entitled to vote thereon were presented and voted and shall be delivered to the Corporation in the manner required by applicable law.</w:t>
      </w:r>
    </w:p>
    <w:p>
      <w:pPr>
        <w:spacing w:after="0" w:line="194"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 of Stockholder Submissions</w:t>
      </w:r>
      <w:r>
        <w:rPr>
          <w:rFonts w:ascii="Times New Roman" w:cs="Times New Roman" w:eastAsia="Times New Roman" w:hAnsi="Times New Roman"/>
          <w:sz w:val="18"/>
          <w:szCs w:val="18"/>
          <w:color w:val="auto"/>
        </w:rPr>
        <w:t>. The Bylaws may establish procedures regulating the submission by stockholders of nominations, proposals and other business for consideration at meetings of stockholders of the Corporation.</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provided with respect to the rights of the holders of Preferred Stock of any outstanding series of Preferred Stock as provided in the relevant Preferred Stock Designation(s), special meetings of the stockholders of the Corporation may be called at any time only by the Board pursuant to a resolution adopted by the affirmative vote of a majority of the directors then in office, by the Chairperson of the Board or the Chief Executive Officer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prior to the Trigger Date, special meetings of the stockholders of the Corporation may be called at any time only by (i) the Secretary acting at the direction of the holders of a majority in voting power of the outstanding shares of stock of the Corporation entitled to vote generally in the election of directors or (ii) by the Board pursuant to a resolution adopted by the affirmative vote of a majority of the directors then in office.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Article X – Amendment of Certificate of Incorporation</w:t>
      </w:r>
    </w:p>
    <w:p>
      <w:pPr>
        <w:spacing w:after="0" w:line="229" w:lineRule="exact"/>
        <w:rPr>
          <w:sz w:val="20"/>
          <w:szCs w:val="20"/>
          <w:color w:val="auto"/>
        </w:rPr>
      </w:pPr>
    </w:p>
    <w:p>
      <w:pPr>
        <w:jc w:val="both"/>
        <w:ind w:right="200" w:firstLine="436"/>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requirement of applicable law and to the special voting rights of one or more outstanding series of Preferred Stock granted pursuant to any Preferred Stock Designation(s), the Corporation reserves the right at any time from time to time to amend, alter, change or repeal any provision contained in this Certificate of Incorporation, and any other provisions authorized by the DGCL at the time in force, in the manner now or hereafter prescribed by law; and all rights, preferences and privileges of any nature conferred upon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6" w:right="51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stockholders, directors or any other persons by and pursuant to this Certificate of Incorporation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In addition to any affirmative vote required by applicable law or any other provision of this Certificate of Incorporation (including clause (b) below) or specified in any agreement, and in addition to any voting rights granted to or held by the holders of any outstanding class or series of Preferred Stock, (i) for so long as either the WP Designated Sponsor Fund (as defined in the Stockholders’ Agreement) or the GTCR Designated Sponsor Fund (as defined in the Stockholders’ Agreement) has the right individually to designate at least three directors of the Corporation pursuant to the Stockholders’ Agreement, the affirmative vote of 75% of the total number of directors then in office shall be required to amend, alter, change or repeal, or adopt any provision inconsistent with, this Certificate of Incorporation, (ii) prior to the Trigger Date, the affirmative vote of the holders of a majority in voting power of the outstanding stock of the Corporation entitled to vote generally in the election of directors, shall be required to amend, alter, change or repeal, or to adopt any provision inconsistent with, this Certificate of Incorporation and (iii) at all other times, the affirmative vote of at least 66 and 2/3% in voting power of the outstanding shares of stock of the Corporation entitled to vote generally in the election of directors, shall be required to amend, add, alter, change or repeal, or to adopt any provisions inconsistent with, Articles VI, VII, VIII, IX(1), IX(3), X, XI, XII, and XIII of this Certificate of Incorporation.</w:t>
      </w:r>
    </w:p>
    <w:p>
      <w:pPr>
        <w:spacing w:after="0" w:line="190" w:lineRule="exact"/>
        <w:rPr>
          <w:sz w:val="20"/>
          <w:szCs w:val="20"/>
          <w:color w:val="auto"/>
        </w:rPr>
      </w:pPr>
    </w:p>
    <w:p>
      <w:pPr>
        <w:ind w:right="800" w:firstLine="436"/>
        <w:spacing w:after="0" w:line="282" w:lineRule="auto"/>
        <w:tabs>
          <w:tab w:leader="none" w:pos="8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Certificate of Incorporation shall be deemed to limit the ability of the parties to the Stockholders’ Agreement to amend, alter or repeal any provision of the Stockholders’ Agreement pursuant to the terms thereof.</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XI – Bylaws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is expressly authorized to adopt, alter, amend or repeal the Bylaws of the Corporation; provided that for so long as either the WP Designated Sponsor Fund or the GTCR Designated Sponsor Fund has the right individually to designate at least three directors of the Corporation pursuant to the Stockholders’ Agreement, the Board shall not adopt, alter, amend or repeal the Bylaws without the affirmative vote of 75% of the directors then in office. In addition to any vote required by this Certificate of Incorporation or applicable law, (i) prior to the Trigger Date, the affirmative vote of the holders of a majority of the voting power of the outstanding Common Stock shall be required in order for the stockholders to adopt, alter, amend or repeal the Bylaws of the Corporation and (ii) at all other times, the affirmative vote of the holders of not less than 66 and 2/3% in voting power of the outstanding shares of stock of the Corporation entitled to vote generally in the election of directors , shall be required in order for the stockholders to adopt, alter, amend or repeal the Bylaws of the Corporation.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 – Certain Business Combinations</w:t>
      </w:r>
    </w:p>
    <w:p>
      <w:pPr>
        <w:spacing w:after="0" w:line="22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Section 203 of the DGCL</w:t>
      </w:r>
      <w:r>
        <w:rPr>
          <w:rFonts w:ascii="Times New Roman" w:cs="Times New Roman" w:eastAsia="Times New Roman" w:hAnsi="Times New Roman"/>
          <w:sz w:val="17"/>
          <w:szCs w:val="17"/>
          <w:color w:val="auto"/>
        </w:rPr>
        <w:t>. Section 203 of the DGCL shall not apply to the 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1" w:name="page22"/>
    <w:bookmarkEnd w:id="21"/>
    <w:p>
      <w:pPr>
        <w:ind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Combinations with Certain Stockholders</w:t>
      </w:r>
      <w:r>
        <w:rPr>
          <w:rFonts w:ascii="Times New Roman" w:cs="Times New Roman" w:eastAsia="Times New Roman" w:hAnsi="Times New Roman"/>
          <w:sz w:val="18"/>
          <w:szCs w:val="18"/>
          <w:color w:val="auto"/>
        </w:rPr>
        <w:t>. Notwithstanding any other provision in this Certificate of Incorporation to the contrary, the Corporation shall not engage in any Business Combination (as defined hereinafter), at any point in time at which the Common Stock is registered under Section 12(b) or 12(g)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hereinafter) for a period of three years following the time that such stockholder became an Interested Stockholder, unless:</w:t>
      </w:r>
    </w:p>
    <w:p>
      <w:pPr>
        <w:spacing w:after="0" w:line="180" w:lineRule="exact"/>
        <w:rPr>
          <w:sz w:val="20"/>
          <w:szCs w:val="20"/>
          <w:color w:val="auto"/>
        </w:rPr>
      </w:pPr>
    </w:p>
    <w:p>
      <w:pPr>
        <w:ind w:right="160" w:firstLine="43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such stockholder becoming an Interested Stockholder;</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8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such stockholder becoming an Interested Stockholder, such stockholder owned at least eighty-five percent (85%) of the Voting Stock (as defined hereinafter) outstanding at the time the transaction commenced, excluding for purposes of determining the Voting Stock outstanding (but not the outstanding Voting Stock owned by such Interested Stockholder) those shares owned (i) by Persons (as defined hereinafter) who are directors and also officers of the Corporation and (ii) employee stock plans of the Corporation in which employee participants do not have the right to determine confidentially whether shares held subject to the plan will be tendered in a tender or exchange offer; or</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sixty-six and two-thirds percent (66 2/3%) of the Voting Stock which is not owned by such Interested Stockholder.</w:t>
      </w:r>
    </w:p>
    <w:p>
      <w:pPr>
        <w:spacing w:after="0" w:line="176"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Exceptions to Prohibition on Interested Stockholder Transactions</w:t>
      </w:r>
      <w:r>
        <w:rPr>
          <w:rFonts w:ascii="Times New Roman" w:cs="Times New Roman" w:eastAsia="Times New Roman" w:hAnsi="Times New Roman"/>
          <w:sz w:val="17"/>
          <w:szCs w:val="17"/>
          <w:color w:val="auto"/>
        </w:rPr>
        <w:t>. The restrictions contained in this</w:t>
      </w:r>
      <w:r>
        <w:rPr>
          <w:rFonts w:ascii="Times New Roman" w:cs="Times New Roman" w:eastAsia="Times New Roman" w:hAnsi="Times New Roman"/>
          <w:sz w:val="17"/>
          <w:szCs w:val="17"/>
          <w:u w:val="single" w:color="auto"/>
          <w:color w:val="auto"/>
        </w:rPr>
        <w:t xml:space="preserve"> Article XII </w:t>
      </w:r>
      <w:r>
        <w:rPr>
          <w:rFonts w:ascii="Times New Roman" w:cs="Times New Roman" w:eastAsia="Times New Roman" w:hAnsi="Times New Roman"/>
          <w:sz w:val="17"/>
          <w:szCs w:val="17"/>
          <w:color w:val="auto"/>
        </w:rPr>
        <w:t>shall not apply if:</w:t>
      </w:r>
    </w:p>
    <w:p>
      <w:pPr>
        <w:spacing w:after="0" w:line="225" w:lineRule="exact"/>
        <w:rPr>
          <w:sz w:val="20"/>
          <w:szCs w:val="20"/>
          <w:color w:val="auto"/>
        </w:rPr>
      </w:pPr>
    </w:p>
    <w:p>
      <w:pPr>
        <w:ind w:right="100" w:firstLine="436"/>
        <w:spacing w:after="0" w:line="261"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a Business Combination between the Corporation and such stockholder, have been an Interested Stockholder but for the inadvertent acquisition of ownership; or</w:t>
      </w:r>
    </w:p>
    <w:p>
      <w:pPr>
        <w:spacing w:after="0" w:line="179"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announcement or the notice required hereunder of a proposed transaction which (i) constitutes one of the transactions described in the second sentence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(ii) is with or by a Person who either was not an Interested Stockholder during the previous three years or who became an Interested Stockholder with the approval of the Board;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22" w:name="page23"/>
    <w:bookmarkEnd w:id="22"/>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 on a consolidated basis or the aggregate market value of all the outstanding Stock (as defined hereinafter) of the Corporation; or</w:t>
      </w:r>
    </w:p>
    <w:p>
      <w:pPr>
        <w:spacing w:after="0" w:line="3" w:lineRule="exact"/>
        <w:rPr>
          <w:sz w:val="20"/>
          <w:szCs w:val="20"/>
          <w:color w:val="auto"/>
        </w:rPr>
      </w:pPr>
    </w:p>
    <w:p>
      <w:pPr>
        <w:jc w:val="both"/>
        <w:ind w:left="4" w:right="320" w:hanging="4"/>
        <w:spacing w:after="0" w:line="255"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proposed tender or exchange offer for fifty percent (50%) or more of the of the Voting Stock. The Corporation shall give not less than 20 days’ notice to all Interested Stockholders prior to the consummation of any of the transactions described in clause (x) or (y) of the second sentence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Definitions. As used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only, and unless otherwise provided by the express terms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following terms shall have the meanings ascribed to them as set forth in this Section 4:</w:t>
      </w:r>
    </w:p>
    <w:p>
      <w:pPr>
        <w:spacing w:after="0" w:line="162" w:lineRule="exact"/>
        <w:rPr>
          <w:sz w:val="20"/>
          <w:szCs w:val="20"/>
          <w:color w:val="auto"/>
        </w:rPr>
      </w:pPr>
    </w:p>
    <w:p>
      <w:pPr>
        <w:ind w:left="4" w:right="200" w:firstLine="436"/>
        <w:spacing w:after="0" w:line="282" w:lineRule="auto"/>
        <w:tabs>
          <w:tab w:leader="none" w:pos="8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8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general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83"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9" w:lineRule="auto"/>
        <w:tabs>
          <w:tab w:leader="none" w:pos="126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merger or consolidation of the Corporation or any direct or indirect majority-owned subsidiary of the Corporation with (A) the Interested Stockholder, or (B) any other corporation, partnership, unincorporated association or entity if the merger or consolidation is caused by the Interested Stockholder and as a result of such merger or consolidation, Section 2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is not applicable to the surviving entity;</w:t>
      </w:r>
    </w:p>
    <w:p>
      <w:pPr>
        <w:spacing w:after="0" w:line="49" w:lineRule="exact"/>
        <w:rPr>
          <w:rFonts w:ascii="Times New Roman" w:cs="Times New Roman" w:eastAsia="Times New Roman" w:hAnsi="Times New Roman"/>
          <w:sz w:val="17"/>
          <w:szCs w:val="17"/>
          <w:color w:val="auto"/>
        </w:rPr>
      </w:pPr>
    </w:p>
    <w:p>
      <w:pPr>
        <w:ind w:left="444" w:right="60" w:firstLine="419"/>
        <w:spacing w:after="0" w:line="258" w:lineRule="auto"/>
        <w:tabs>
          <w:tab w:leader="none" w:pos="12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75"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36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3" w:name="page24"/>
    <w:bookmarkEnd w:id="23"/>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such Stock; or (E) any issuance or transfer of Stock by the Corporation; provided however, that in no case under items (C)-(E) of this Section 4(c)(iii)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84" w:lineRule="exact"/>
        <w:rPr>
          <w:sz w:val="20"/>
          <w:szCs w:val="20"/>
          <w:color w:val="auto"/>
        </w:rPr>
      </w:pPr>
    </w:p>
    <w:p>
      <w:pPr>
        <w:ind w:left="440" w:right="20" w:firstLine="419"/>
        <w:spacing w:after="0" w:line="258" w:lineRule="auto"/>
        <w:tabs>
          <w:tab w:leader="none" w:pos="13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29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receipt by the Interested Stockholder of the benefit, directly or indirectly (except proportionately as a stockholder of the Corporation), of any loans, advances, guarantees, pledges or other financial benefits (other than those expressly permitted in </w:t>
      </w:r>
      <w:r>
        <w:rPr>
          <w:rFonts w:ascii="Times New Roman" w:cs="Times New Roman" w:eastAsia="Times New Roman" w:hAnsi="Times New Roman"/>
          <w:sz w:val="18"/>
          <w:szCs w:val="18"/>
          <w:u w:val="single" w:color="auto"/>
          <w:color w:val="auto"/>
        </w:rPr>
        <w:t>Sections 4(c)(i)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provided by or through the Corporation or any direct or indirect majority-owned subsidiary of the Corporation;</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8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91" w:lineRule="exact"/>
        <w:rPr>
          <w:rFonts w:ascii="Times New Roman" w:cs="Times New Roman" w:eastAsia="Times New Roman" w:hAnsi="Times New Roman"/>
          <w:sz w:val="18"/>
          <w:szCs w:val="18"/>
          <w:color w:val="auto"/>
        </w:rPr>
      </w:pPr>
    </w:p>
    <w:p>
      <w:pPr>
        <w:ind w:right="80" w:firstLine="436"/>
        <w:spacing w:after="0" w:line="261" w:lineRule="auto"/>
        <w:tabs>
          <w:tab w:leader="none" w:pos="8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and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three-year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immediately prior to the date on which it is sought to be determined whether such Person is an Interested Stockholder, and the Affiliates and Associates of such Person. Notwithstanding anything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 the term “Interested Stockholder” shall not include: (x) Sponsors or any of their Affiliates, or any other Person with whom any of the foregoing are acting as a group or in concert for the purpose of acquiring, holding, voting or disposing of shares of Stock of the Corporation, (y) any Person who would otherwise be an Interested Stockholder either in connection with or because of a transfer, sale, assignment, conveyance, hypothecation, encumbrance, or other disposition of five percent (5%) or more of the outstanding Voting Stock of the Corporation (in one transaction or a series of transactions) by Sponsors or any of their Affiliates or Associates to such Person; provided, however, that such Person was not an Interested Stockholder prior to such transfer, sale, assignment, conveyance, hypothecation, encumbrance, or other disposition; or (z) any Person whose ownership of shares in excess of the fifteen percent (15%) limitation set forth herein is the result of action taken solely by the Corporation, provided that, for purposes of this clause (z) only, such Person shall be an Interested Stockholder if thereafter such Person acquires additional shares of Voting Stock of the Corporation, except as a result of further action by the Corporation not caused, directly or indirectly, by such Person; provided, that, for the purpose of determining whether a Person is an Interested Stockholder, the Voting Stock of the Corporation deemed to be outstanding shall include Stock deemed to be owned by the Person through application of this definition of “owned” but shall not include any other unissued Stock of the Corporation which may be issuable pursuant to any agreement, arrangement or understanding, or upon exercise of conversion rights, warrants or options, or otherwise;</w:t>
      </w:r>
    </w:p>
    <w:p>
      <w:pPr>
        <w:spacing w:after="0" w:line="197" w:lineRule="exact"/>
        <w:rPr>
          <w:sz w:val="20"/>
          <w:szCs w:val="20"/>
          <w:color w:val="auto"/>
        </w:rPr>
      </w:pPr>
    </w:p>
    <w:p>
      <w:pPr>
        <w:ind w:right="20" w:firstLine="436"/>
        <w:spacing w:after="0" w:line="253" w:lineRule="auto"/>
        <w:tabs>
          <w:tab w:leader="none" w:pos="8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xml:space="preserve">”, including the terms “own” and “owned,” when used with respect to any Stock, means a Person that individually or with or through any of its Affiliates or Associates beneficially owns (as such term is used in Rule 13d-5 under the Exchange Act, as such Rule is in effect as of the date of this Certificate of Incorporation) such Stock, directly or indirectly; or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(C) has any agreement, arrangement or understanding for the purpose of acquiring, holding, voting (except voting pursuant to a revocable proxy or consent as described in (B) of this Section 4(f)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or disposing of such Stock with any other Person that beneficially owns, or whose Affiliates or Associates beneficially own, directly or indirectly, such Stock;</w:t>
      </w:r>
    </w:p>
    <w:p>
      <w:pPr>
        <w:spacing w:after="0" w:line="189"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5" w:name="page26"/>
    <w:bookmarkEnd w:id="25"/>
    <w:p>
      <w:pPr>
        <w:ind w:left="-60" w:right="48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any capital stock of such corporation and, with respect to any other entity, any equity interest of such entity; and</w:t>
      </w:r>
    </w:p>
    <w:p>
      <w:pPr>
        <w:spacing w:after="0" w:line="161" w:lineRule="exact"/>
        <w:rPr>
          <w:rFonts w:ascii="Times New Roman" w:cs="Times New Roman" w:eastAsia="Times New Roman" w:hAnsi="Times New Roman"/>
          <w:sz w:val="18"/>
          <w:szCs w:val="18"/>
          <w:color w:val="auto"/>
        </w:rPr>
      </w:pPr>
    </w:p>
    <w:p>
      <w:pPr>
        <w:ind w:left="-60" w:right="40" w:firstLine="436"/>
        <w:spacing w:after="0" w:line="266"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xml:space="preserve">”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refer to such percentage of the votes of such Voting Stock.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XIII –Forum Selection</w:t>
      </w:r>
    </w:p>
    <w:p>
      <w:pPr>
        <w:spacing w:after="0" w:line="229" w:lineRule="exact"/>
        <w:rPr>
          <w:sz w:val="20"/>
          <w:szCs w:val="20"/>
          <w:color w:val="auto"/>
        </w:rPr>
      </w:pPr>
    </w:p>
    <w:p>
      <w:pPr>
        <w:ind w:left="-60" w:firstLine="436"/>
        <w:spacing w:after="0" w:line="25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Court of Chancery of the State of Delaware shall be the sole and exclusive forum for (i) any derivative action, suit or proceeding brought on behalf of the Corporation, (ii) any action, suit or proceeding asserting a claim of breach of a fiduciary duty owed or allegedly owed by any director, officer, employee or stockholder of the Corporation to the Corporation or the Corporation’s stockholders, (iii) any action, suit or proceeding asserting a claim against the Corporation or any director, officer, employee or stockholder of the Corporation arising pursuant to, or seeking to enforce any right, obligation or remedy under, any provision of the DGCL, this Certificate of Incorporation or the Bylaws of the Corporation or as to which the DGCL confers jurisdiction on the Court of Chancery of the State of Delaware, (iv) for any action, suit or proceeding asserting a claim against the Corporation or any director, officer, employee or stockholder of the Corporation governed by the internal affairs doctrine or (v) any other action, suit, or proceeding asserting an “internal corporate claim” as that term is defined in Section 115 of the DGCL.</w:t>
      </w:r>
    </w:p>
    <w:p>
      <w:pPr>
        <w:spacing w:after="0" w:line="188" w:lineRule="exact"/>
        <w:rPr>
          <w:rFonts w:ascii="Times New Roman" w:cs="Times New Roman" w:eastAsia="Times New Roman" w:hAnsi="Times New Roman"/>
          <w:sz w:val="18"/>
          <w:szCs w:val="18"/>
          <w:color w:val="auto"/>
        </w:rPr>
      </w:pPr>
    </w:p>
    <w:p>
      <w:pPr>
        <w:ind w:left="-60" w:right="20" w:firstLine="436"/>
        <w:spacing w:after="0" w:line="258" w:lineRule="auto"/>
        <w:tabs>
          <w:tab w:leader="none" w:pos="7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the subject matter of which is within the scope of paragraph (a) above is filed in a court other than the Court of Chancery of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the fullest extent permitted by law, to have consented to (i) the personal jurisdiction of the Court of Chancery of the State of Delaware in connection with any action brought in any such court to enforce paragraph (a) above (an “</w:t>
      </w:r>
      <w:r>
        <w:rPr>
          <w:rFonts w:ascii="Times New Roman" w:cs="Times New Roman" w:eastAsia="Times New Roman" w:hAnsi="Times New Roman"/>
          <w:sz w:val="18"/>
          <w:szCs w:val="18"/>
          <w:u w:val="single" w:color="auto"/>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w:t>
      </w:r>
    </w:p>
    <w:p>
      <w:pPr>
        <w:spacing w:after="0" w:line="183" w:lineRule="exact"/>
        <w:rPr>
          <w:rFonts w:ascii="Times New Roman" w:cs="Times New Roman" w:eastAsia="Times New Roman" w:hAnsi="Times New Roman"/>
          <w:sz w:val="18"/>
          <w:szCs w:val="18"/>
          <w:color w:val="auto"/>
        </w:rPr>
      </w:pPr>
    </w:p>
    <w:p>
      <w:pPr>
        <w:jc w:val="both"/>
        <w:ind w:left="-60" w:right="20" w:firstLine="436"/>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75"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entity owning,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70" w:right="499" w:bottom="1440" w:gutter="0" w:footer="0" w:header="0"/>
        </w:sectPr>
      </w:pPr>
    </w:p>
    <w:bookmarkStart w:id="26" w:name="page27"/>
    <w:bookmarkEnd w:id="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Amended and Restated Certificate of Incorporation of the Corporation has been executed by its duly authorized officer this [•] day of [•]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440" w:top="270" w:right="6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Sotera Health Company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Corporation’s certificate of incorporation (as amended and/or restated from time to time, and including any certificates of designation then in effect,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at any time establish other offices at any place or places where the Corporation is qualified to do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for the election of directors and for the transaction of such other business as may properly be brought before the meeting shall be held on a date and at a time designated by the Board. The Board may postpone, reschedule or cancel any annual meeting of stockholders previously scheduled by the Board.</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only be called in the manner provided in the Certificate of Incorporation. Any special meeting of the stockholders shall be held on the date and at the time determined by the Board or as the Chief Executive Officer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the Chairperson of the Board (the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or the Secretary of the Corporation (the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shall designate and state in the notice of the meeting. The Board may postpone, reschedule or cancel any such meeting scheduled by the Board, the CEO or the Chairperson; provided, however, that with respect to any special meeting of stockholders previously scheduled at the request of the holders of a majority in voting power of the outstanding stock of the Corporation entitled to vote generally in the election of directors in accordance with the Certificate of Incorporation, the Board shall not postpone, reschedule or cancel such special meeting without the prior written consent of such stockholders. Business transacted at any such meeting shall be limited to the purpose(s) stated in the notice.</w:t>
      </w:r>
    </w:p>
    <w:p>
      <w:pPr>
        <w:spacing w:after="0" w:line="19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Meetings of stockholders shall be held at any place, either within or without the State of Delaware, or by remote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as authorized by Section 211(a)(2) of the General Corporation Law of the State of Delaware (as in effect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determined by the Board and as specified in the notice of meeting. In the absence of such a determination, a meeting of stockholders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held at the principal executive office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8" w:name="page29"/>
    <w:bookmarkEnd w:id="28"/>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or as provided in these Bylaws or the Certificate of Incorporation, notice of the date, time and place or means of remote communication of all meetings of stockholders and the record date for determining stockholders entitled to vote at the meeting (if such date is different from the record date for stockholders entitled to notice of the meeting) shall be delivered no fewer than 10 nor more than 60 days before the meeting date to each stockholder entitled to vote at such meeting as of the record date for determining the stockholders entitled to notice of the meeting. The notice of a special meeting shall state, in addition to the foregoing, the purpose or purposes for which the meeting is called.</w:t>
      </w:r>
    </w:p>
    <w:p>
      <w:pPr>
        <w:spacing w:after="0" w:line="183" w:lineRule="exact"/>
        <w:rPr>
          <w:rFonts w:ascii="Times New Roman" w:cs="Times New Roman" w:eastAsia="Times New Roman" w:hAnsi="Times New Roman"/>
          <w:sz w:val="18"/>
          <w:szCs w:val="18"/>
          <w:color w:val="auto"/>
        </w:rPr>
      </w:pPr>
    </w:p>
    <w:p>
      <w:pPr>
        <w:ind w:right="20" w:firstLine="436"/>
        <w:spacing w:after="0" w:line="252" w:lineRule="auto"/>
        <w:tabs>
          <w:tab w:leader="none" w:pos="8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are deemed given (i) if by mail, when deposited in the United States mail, postage prepaid, directed to the stockholder at such stockholder’s address as it appears on the records of the Corporation or, if a stockholder has filed with the Secretary a written request that notices to such stockholder be mailed to some other address, then directed to such stockholder at such other address; (ii) if by overnight courier, the earlier of when the notice is received or left at such stockholder’s address; (iii) if by facsimile, when directed to a number at which the stockholder has consented to receive notice, including pursuant to the Stockholders’ Agreement by and among the Corporation, the Sponsors (as defined in the Certificate of Incorporation) and the other stockholders party thereto from time to time (as the same may be amended, modified, supplemented and/or restated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(iv) if by electronic mail, when directed to such stockholder’s electronic mail address (including any address provided pursuant to the Stockholders’ Agreement) unless the stockholder has notified the Corporation in writing or by electronic transmission of an objection to receiving notice by electronic mail or if such notice is prohibited by the DGCL; (v) if by posting on an electronic network together with a separate notice to the stockholder of such specific posting, upon the later to occur of (A) such posting and (B) the giving of such separate notice of such posting; and (vi) if by any other form of electronic transmission, when directed to the stockholder as required by law and, to the extent required by applicable law, in the manner consented to by the stockholder, including pursuant to the Stockholders’ Agreement. An affidavit of the mailing or other means of giving any notice of any stockholders’ meeting, executed by the Secretary, an Assistant Secretary or any transfer agent of the Corporation giving the notice,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giving of such notice or report. Notice shall be deemed to have been given to all stockholders of record who share an address if notice is given in accordance with the “householding” rules set forth in Rule 14a-3(e)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Section 233 of the DGCL.</w:t>
      </w:r>
    </w:p>
    <w:p>
      <w:pPr>
        <w:spacing w:after="0" w:line="19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Adjourned Meeting</w:t>
      </w:r>
      <w:r>
        <w:rPr>
          <w:rFonts w:ascii="Times New Roman" w:cs="Times New Roman" w:eastAsia="Times New Roman" w:hAnsi="Times New Roman"/>
          <w:sz w:val="18"/>
          <w:szCs w:val="18"/>
          <w:color w:val="auto"/>
        </w:rPr>
        <w:t xml:space="preserve">. If an annual or special meeting of stockholders is adjourned to a different date, time or place (if any), notice of the adjourned meeting need not be given if the date, time, place (if any) or means of remote communication are announced at the meeting at which the adjournment is taken before the adjournment;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adjournment lasts for more than 30 days, or if a new record date for determining stockholders entitled to vote at the meeting is fixed for the adjourned meeting, notice of the adjourned meeting shall be given in conformity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At the adjourned meeting, any business may be transacted which could have been transacted at the original meeting.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 w:name="page30"/>
    <w:bookmarkEnd w:id="2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Notice of a meeting of stockholders shall not be required to be given to any stockholder who attends such meeting in person or by proxy and does not, at the beginning of such meeting, object to the transaction of any business because the meeting has not been lawfully called or convened, or who, either before or after the meeting, waives notice in writing or by electronic transmission. Any stockholder so waiving notice of a meeting shall be bound by the proceedings of such meeting in all respects as if due notice thereof had been given.</w:t>
      </w:r>
    </w:p>
    <w:p>
      <w:pPr>
        <w:spacing w:after="0" w:line="2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80" w:firstLine="436"/>
        <w:spacing w:after="0" w:line="256"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different quorum is required by applicable law, the Certificate of Incorporation or the rules or regulations of any stock exchange applicable to the Corporation, at any meeting of stockholders, the holders of a majority of the voting power of the outstanding shares of capital stock entitled to vote at the meeting, present in person or by proxy, shall constitute a quorum. Where a separate vote by one or more series or classes is required, a majority of the voting power of the outstanding shares of such one or more series or classes present in person or by proxy shall constitute a quorum entitled to take action with respect to the vote on such matter. A quorum, once established, shall not be broken by the withdrawal of enough votes to leave less than a quorum.</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8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quorum is not present at a meeting, the chair of the meeting or the holders of a majority of the voting power of the outstanding shares of capital stock present in person or by proxy at the meeting may adjourn the meeting to another place, if any, date or time, without notice other than as specified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Chairperson or such person as the Chairperson has designated or, in his or her absence, such person as the Board has designated or, in his or her absence, the CEO or, in his or her absence, such person as has been chosen by the holders of a majority of the voting power of the outstanding shares of capital stock present in person or by proxy at the meeting shall call to order any meeting of stockholders and act as chair of the meeting. In the absence of the Secretary, the secretary of the meeting shall be such person as the chair of the meeting appoints.</w:t>
      </w:r>
    </w:p>
    <w:p>
      <w:pPr>
        <w:spacing w:after="0" w:line="2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5" w:lineRule="auto"/>
        <w:tabs>
          <w:tab w:leader="none" w:pos="8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and time of the opening and the closing of the polls for each matter upon which the stockholders will vote at a meeting shall be announced at the meeting by the chair of the meeting. The Board may adopt by resolution such rules and regulations for the conduct of any meeting of stockholders as it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rules and regulations are not inconsistent with any other provision of these Bylaws or the Certificate of Incorporation. Except to the extent inconsistent with the rules and regulations adopted by the Board, the chair of the meeting shall have the right and authority to convene, recess and/or adjourn the meeting, to determine the order of business and the procedure at the meeting, including such rules and regulations of the manner of voting, the conduct of discussion and such other matters as seems to him or her in order, and to do all such acts as, in the judgment of the chair of the meeting, are appropriate for the proper conduct of the meeting.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0" w:name="page31"/>
    <w:bookmarkEnd w:id="30"/>
    <w:p>
      <w:pPr>
        <w:ind w:right="80" w:firstLine="436"/>
        <w:spacing w:after="0" w:line="255"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and regulations relating to the conduct of any meeting of stockholders, whether adopted by the Board or prescribed by the chair of the meeting, may include, among other things,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(v) restrictions on the dissemination of solicitation materials and use of audio or visual recording devices at the meeting; and (vi) limitations on the time allotted to questions or comments by participants and on stockholder proposals.</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8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chair of any meeting of stockholders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Times New Roman" w:cs="Times New Roman" w:eastAsia="Times New Roman" w:hAnsi="Times New Roman"/>
          <w:sz w:val="18"/>
          <w:szCs w:val="18"/>
          <w:u w:val="single" w:color="auto"/>
          <w:color w:val="auto"/>
        </w:rPr>
        <w:t>Section 2.14(a)(iii)(C))</w:t>
      </w:r>
      <w:r>
        <w:rPr>
          <w:rFonts w:ascii="Times New Roman" w:cs="Times New Roman" w:eastAsia="Times New Roman" w:hAnsi="Times New Roman"/>
          <w:sz w:val="18"/>
          <w:szCs w:val="18"/>
          <w:color w:val="auto"/>
        </w:rPr>
        <w:t>. If the chair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or the chair of the meeting, meetings of stockholders shall not be required to be held in accordance with the rules of parliamentary procedure.</w:t>
      </w:r>
    </w:p>
    <w:p>
      <w:pPr>
        <w:spacing w:after="0" w:line="30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Voting and Proxies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36"/>
        <w:spacing w:after="0" w:line="254" w:lineRule="auto"/>
        <w:tabs>
          <w:tab w:leader="none" w:pos="8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meetings of stockholders, a stockholder may vote by proxy as provided under Section 212(c) of the DGCL or as otherwise provided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proxy shall be voted after three years from its date, unless the proxy provides for a longer period; provided, further, that any proxy to be voted or acted upon at a meeting of stockholders must be delivered to the Secretary or his or her representative at or before the meeting. Except as otherwise provided therein, a proxy that entitles the agent authorized thereby to vote at a meeting of stockholders shall entitle such agent to vote at any adjournment or postponement of such meeting but shall not be valid after final adjournment of such meeting. A proxy with respect to stock held of record in the name of two or more persons shall be valid if executed by one of them unless prior to voting in accordance with the directions of the proxy, the Corporation receives a specific written notice to the contrary from any one of them and is furnished with a copy of the instrument or order appointing the proxy.</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applicable law, or determined by the chair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any meeting of stockholders, the Corporation shall appoint one or more inspectors to act at the meeting or any adjournment thereof and make a written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1" w:name="page32"/>
    <w:bookmarkEnd w:id="3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thereof, and may designate one or more persons as alternate inspectors to replace any inspector who fails to act. If no inspector or alternate is able to act at a meeting of stockholders, the chair of the meeting shall appoint one or more inspectors to act at the meeting. Each inspector, before entering upon the discharge of his or her duties, shall take and sign an oath to faithfully execute the duties of inspector with strict impartiality and according to the best of his or her ability, and may perform such other duties not inconsistent herewith as may be requested by the Corporation.</w:t>
      </w:r>
    </w:p>
    <w:p>
      <w:pPr>
        <w:spacing w:after="0" w:line="180"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Action at Meeting</w:t>
      </w:r>
      <w:r>
        <w:rPr>
          <w:rFonts w:ascii="Times New Roman" w:cs="Times New Roman" w:eastAsia="Times New Roman" w:hAnsi="Times New Roman"/>
          <w:sz w:val="17"/>
          <w:szCs w:val="17"/>
          <w:color w:val="auto"/>
        </w:rPr>
        <w:t>. In all matters, other than the election of directors and except as required by law, the rules or regulations of any stock exchange applicable to the Corporation, the Certificate of Incorporation or any other provision of these Bylaws, the affirmative vote of a majority of the voting power of the shares present or represented by proxy at the meeting and entitled to vote on the subject matter shall be the act of the stockholders.</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Board may fix the record date in order to determine the stockholders entitled to notice of a meeting of stockholders, which record date shall not precede the date on which the resolution fixing the record date is adopted by the Board, and which record date may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in its discretion may fix a new record date for determining the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at the adjourned meeting. If no record date is fixed pursuant to this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92" w:lineRule="exact"/>
        <w:rPr>
          <w:sz w:val="20"/>
          <w:szCs w:val="20"/>
          <w:color w:val="auto"/>
        </w:rPr>
      </w:pPr>
    </w:p>
    <w:p>
      <w:pPr>
        <w:ind w:right="60" w:firstLine="436"/>
        <w:spacing w:after="0" w:line="258" w:lineRule="auto"/>
        <w:tabs>
          <w:tab w:leader="none" w:pos="8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fix a record date in order to determine the stockholders entitled to receive payment of any dividend or other distribution, the allotment of any rights, the stockholders entitled to exercise any rights in respect of any change, conversion or exchange of stock, or for the purpose of any other lawful action, which record date shall not precede the date upon which the resolution fixing the record date is adopted, and which record date shall be not more than 60 days prior to such action. If no record date is fixed pursuant to this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record date for determining stockholders for any such purpose shall be at the close of business on the day on which the Board adopts the resolution relating thereto.</w:t>
      </w:r>
    </w:p>
    <w:p>
      <w:pPr>
        <w:spacing w:after="0" w:line="183" w:lineRule="exact"/>
        <w:rPr>
          <w:rFonts w:ascii="Times New Roman" w:cs="Times New Roman" w:eastAsia="Times New Roman" w:hAnsi="Times New Roman"/>
          <w:sz w:val="18"/>
          <w:szCs w:val="18"/>
          <w:color w:val="auto"/>
        </w:rPr>
      </w:pPr>
    </w:p>
    <w:p>
      <w:pPr>
        <w:ind w:right="180" w:firstLine="436"/>
        <w:spacing w:after="0" w:line="261"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in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 to corporate action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288"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Stockholders List for Meeting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36"/>
        <w:spacing w:after="0" w:line="258" w:lineRule="auto"/>
        <w:tabs>
          <w:tab w:leader="none" w:pos="8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prepare, at least 10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record date for determining the stockholders entitled to vote is less than 10 days before the meeting date, the list shall reflect the stockholders entitled to vote as of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before the meeting date), arranged in alphabetical order and showing the address of and number of shares registered in the name of each stockholder, but need not include an e-mail address or other electronic contact information for any stockholder.</w:t>
      </w:r>
    </w:p>
    <w:p>
      <w:pPr>
        <w:spacing w:after="0" w:line="183"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stockholders shall be made available for inspection in accordance with Section 219 of the DGCL.</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stock ledger shall be the only evidence as to who are the stockholders entitled to examine the list of stockholders required by this Section 2.13 or to vote in person or by proxy at any meeting of stockholders.</w:t>
      </w:r>
    </w:p>
    <w:p>
      <w:pPr>
        <w:spacing w:after="0" w:line="2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Notice of Stockholder Business and Nominations; Director Qualifications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40" w:firstLine="436"/>
        <w:spacing w:after="0" w:line="253"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At any annual meeting of stockholders, only such nominations of persons for election to the Board shall be made, and only such other business shall be conducted or considered, as have been properly brought before the meeting. To be properly brought before an annual meeting, nominations of persons for election or re-election to the Board or other business must be (A) specified in the notice of meeting (or any supplement thereto) given by or at the direction of the Board; (B) otherwise properly brought before the meeting by or at the direction of the Board; (C) otherwise properly brought before the meeting in accordance with the Stockholders’ Agreement or (D) otherwise properly brought before the meeting by a stockholder in accordance with clauses (ii), (iii) and (iv)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(this clause (D) being the exclusive means for a stockholder to bring nominations or other business before an annual meeting of stockholders, other than business properly included in the Corporation’s proxy materials pursuant to Rule 14a-8 under the Exchange Act or properly brought pursuant to the immediately preceding clause (C)). The provisions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and the following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apply to all nominations of persons for election to the Board and other business proposed to be brought before a meeting pursuant to clause (D).</w:t>
      </w:r>
    </w:p>
    <w:p>
      <w:pPr>
        <w:spacing w:after="0" w:line="194" w:lineRule="exact"/>
        <w:rPr>
          <w:rFonts w:ascii="Times New Roman" w:cs="Times New Roman" w:eastAsia="Times New Roman" w:hAnsi="Times New Roman"/>
          <w:sz w:val="18"/>
          <w:szCs w:val="18"/>
          <w:color w:val="auto"/>
        </w:rPr>
      </w:pPr>
    </w:p>
    <w:p>
      <w:pPr>
        <w:ind w:right="240" w:firstLine="987"/>
        <w:spacing w:after="0" w:line="261" w:lineRule="auto"/>
        <w:tabs>
          <w:tab w:leader="none" w:pos="13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of any person for election or re-election to the Board or other business to be properly brought before an annual meeting by a stockholder (A) the stockholder must have given timely notice thereof in writing to the Secretary, which notice must also fulfill the requirements of clause (iii)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(B) the subject matter of any proposed business must be a matter that is a proper subject matter for stockholder action at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meeting; and (C) the stockholder must be a stockholder of record of the Corporation at the time the notice required by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is delivered to the Corporation and must be entitled to vote at the meeting.</w:t>
      </w:r>
    </w:p>
    <w:p>
      <w:pPr>
        <w:spacing w:after="0" w:line="162" w:lineRule="exact"/>
        <w:rPr>
          <w:sz w:val="20"/>
          <w:szCs w:val="20"/>
          <w:color w:val="auto"/>
        </w:rPr>
      </w:pPr>
    </w:p>
    <w:p>
      <w:pPr>
        <w:ind w:right="20" w:firstLine="987"/>
        <w:spacing w:after="0" w:line="253" w:lineRule="auto"/>
        <w:tabs>
          <w:tab w:leader="none" w:pos="143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timely notice, a stockholder’s notice must be received by the Secretary at the principal executive office of the Corporation not earlier than the opening of business 120 days before, and not later than the close of business 90 days before, the first anniversary of the date of the preceding year’s annual meeting of stockholders (which date shall, for purposes of the Corporation’s first annual meeting of stockholders after its shares of Common Stock are first publicly traded, be deemed to have occurred on May 28, 2020). If no annual meeting was held in the previous year, or if the date of the applicable annual meeting has been changed by more than 30 days from the date of the previous year’s annual meeting, then a stockholder’s notice, in order to be considered timely, must be received by the Secretary at the principal executive offices of the Corporation not earlier than the opening of business 120 days before the date of such annual meeting, and not later than the close of business on the later of (x) 90 days prior to the date of such annual meeting; and (y)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annual meeting was first made. In no event shall the public announcement of an adjournment or postponement of an annual meeting or of a new record date for determining stockholders entitled to notice of or to vote at an annual meeting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must also be delivered with and at the same time as such notice):</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2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policy of the Corporation governing the selection of directors and publicly available (whether on the Corporation’s website or otherwise) as of the date of such notice; (2) such person’s written consent to being named in the proxy statement as a nominee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w:t>
      </w:r>
    </w:p>
    <w:p>
      <w:pPr>
        <w:spacing w:after="0" w:line="83" w:lineRule="exact"/>
        <w:rPr>
          <w:rFonts w:ascii="Times New Roman" w:cs="Times New Roman" w:eastAsia="Times New Roman" w:hAnsi="Times New Roman"/>
          <w:sz w:val="18"/>
          <w:szCs w:val="18"/>
          <w:color w:val="auto"/>
        </w:rPr>
      </w:pPr>
    </w:p>
    <w:p>
      <w:pPr>
        <w:jc w:val="both"/>
        <w:ind w:left="440" w:right="40" w:firstLine="419"/>
        <w:spacing w:after="0" w:line="272" w:lineRule="auto"/>
        <w:tabs>
          <w:tab w:leader="none" w:pos="1283"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text of the proposed amendment); (3) the reasons for conducting such business at the meeting; and</w:t>
      </w:r>
    </w:p>
    <w:p>
      <w:pPr>
        <w:spacing w:after="0" w:line="1" w:lineRule="exact"/>
        <w:rPr>
          <w:rFonts w:ascii="Times New Roman" w:cs="Times New Roman" w:eastAsia="Times New Roman" w:hAnsi="Times New Roman"/>
          <w:sz w:val="17"/>
          <w:szCs w:val="17"/>
          <w:color w:val="auto"/>
        </w:rPr>
      </w:pPr>
    </w:p>
    <w:p>
      <w:pPr>
        <w:ind w:left="440" w:right="160" w:hanging="4"/>
        <w:spacing w:after="0" w:line="260"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direct or indirect material interest of the stockholder or of any beneficial owner on whose behalf the proposal is made, or their respective affiliates, in such business, and all agreements, arrangements and understandings between such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4" w:name="page35"/>
    <w:bookmarkEnd w:id="34"/>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or any such beneficial owner or their respective affiliates and any other person or persons (naming such person or persons) in connection with the proposal of such business;</w:t>
      </w:r>
    </w:p>
    <w:p>
      <w:pPr>
        <w:spacing w:after="0" w:line="54" w:lineRule="exact"/>
        <w:rPr>
          <w:sz w:val="20"/>
          <w:szCs w:val="20"/>
          <w:color w:val="auto"/>
        </w:rPr>
      </w:pPr>
    </w:p>
    <w:p>
      <w:pPr>
        <w:ind w:firstLine="419"/>
        <w:spacing w:after="0" w:line="251"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each beneficial owner, if any, on whose behalf the business is proposed or nomination is made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(1) the name and address of such Party (in the case of each stockholder, as they appear on the Corporation’s books and records); (2) the class or series and number of shares of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w:t>
      </w:r>
      <w:r>
        <w:rPr>
          <w:rFonts w:ascii="Times New Roman" w:cs="Times New Roman" w:eastAsia="Times New Roman" w:hAnsi="Times New Roman"/>
          <w:sz w:val="18"/>
          <w:szCs w:val="18"/>
          <w:u w:val="single" w:color="auto"/>
          <w:color w:val="auto"/>
        </w:rPr>
        <w:t>Disclosable Arrangement</w:t>
      </w:r>
      <w:r>
        <w:rPr>
          <w:rFonts w:ascii="Times New Roman" w:cs="Times New Roman" w:eastAsia="Times New Roman" w:hAnsi="Times New Roman"/>
          <w:sz w:val="18"/>
          <w:szCs w:val="18"/>
          <w:color w:val="auto"/>
        </w:rPr>
        <w:t>”),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 Corporation; (5) any rights to dividends on the shares of the Corporation owned, directly or indirectly, beneficially by such Party that are separated or separable from the underlying shares of the Corporation; (6) any proportionate interest in shares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based on any increase or decrease in the value of shares of the Corporation or Disclosable Arrangements, if any, as of the date of such notice, including any such interests held by members of such Party’s immediate family sharing the same household; (8) a representation that the stockholder is a holder of record of stock of the Corporation at the time of the giving of the notice, is entitled to vote at such meeting and will appear in person or by proxy at the meeting to propose such business or nomination; and (9) a representation as to whether such Party intends, or is part of a group which intends, (x) to deliver a proxy statement and/or form of proxy to</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35" w:name="page36"/>
    <w:bookmarkEnd w:id="35"/>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of at least the percentage of the Corporation’s outstanding shares of capital stock required to approve or adopt the proposal or elect the nominee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w:t>
      </w:r>
    </w:p>
    <w:p>
      <w:pPr>
        <w:spacing w:after="0" w:line="79" w:lineRule="exact"/>
        <w:rPr>
          <w:sz w:val="20"/>
          <w:szCs w:val="20"/>
          <w:color w:val="auto"/>
        </w:rPr>
      </w:pPr>
    </w:p>
    <w:p>
      <w:pPr>
        <w:jc w:val="both"/>
        <w:ind w:left="440" w:right="160" w:firstLine="419"/>
        <w:spacing w:after="0" w:line="256" w:lineRule="auto"/>
        <w:tabs>
          <w:tab w:leader="none" w:pos="12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undertaking by each Party to notify the Corporation in writing of any change in the information previously disclosed pursuant to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2.14(a)(iii)</w:t>
      </w:r>
      <w:r>
        <w:rPr>
          <w:rFonts w:ascii="Times New Roman" w:cs="Times New Roman" w:eastAsia="Times New Roman" w:hAnsi="Times New Roman"/>
          <w:sz w:val="18"/>
          <w:szCs w:val="18"/>
          <w:color w:val="auto"/>
        </w:rPr>
        <w:t xml:space="preserve"> as of the record date for determining stockholders entitled to receive notice of such meeting and as of the date that is 15 days prior to the meeting or any adjournment or postponement thereof, by written notice received by the Secretary at the principal executive offices of the Corporation not later than 5 days following such record date and not later than 10 days prior to the date for the meeting or any adjournment or postponement thereof, and thereafter by written notice so given and received within two business days of any change in such information (and, in any event, by the close of business on the day preceding the meeting date).</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shall promptly provide any other information reasonably requested by the Corporation.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89" w:lineRule="exact"/>
        <w:rPr>
          <w:sz w:val="20"/>
          <w:szCs w:val="20"/>
          <w:color w:val="auto"/>
        </w:rPr>
      </w:pPr>
    </w:p>
    <w:p>
      <w:pPr>
        <w:ind w:right="40" w:firstLine="436"/>
        <w:spacing w:after="0" w:line="255"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clause (iii)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to the contrary, in the event that the number of directors to be elected to the Board at an annual meeting of stockholders is increased and there is no public announcement by the Corporation naming the nominees for the additional directorships at least 100 days prior to the first anniversary of the preceding year’s annual meeting of stockholders, a stockholder’s notice required by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shall also be considered timely, but only with respect to nominees for the additional directorships, if it is received by the Secretary at the principal executive offices of the Corporation not later than the close of business on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such public announcement is first made by the Corporation (it being understood that such notice must nevertheless comply with the requirements of clause (iii)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20" w:firstLine="436"/>
        <w:spacing w:after="0" w:line="282" w:lineRule="auto"/>
        <w:tabs>
          <w:tab w:leader="none" w:pos="8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by the stockholders as a director of the Corporation or to serve as a director of the Corporation, a potential nominee 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2.14(a)(i)(D)</w:t>
      </w:r>
      <w:r>
        <w:rPr>
          <w:rFonts w:ascii="Times New Roman" w:cs="Times New Roman" w:eastAsia="Times New Roman" w:hAnsi="Times New Roman"/>
          <w:sz w:val="18"/>
          <w:szCs w:val="18"/>
          <w:color w:val="auto"/>
        </w:rPr>
        <w:t xml:space="preserve"> must deliver (not later than the deadline prescribed for delivery of notice under clause (iii) or (iv), as applicable, of</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to the Secretary a written questionnaire with respect to the background and qualifications of such potential nominee and, if applicable, the background of any other person on whose behalf the nomination is being made (which questionnaire shall be provided by the Secretary upon written request) and a written representation and agreement (in the form provided by the Secretary upon written request) that, among other matters, such potential nominee or other person: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and (iii) in such potential nominee’s individual capacity and on behalf of any person on whose behalf the nomination is being made, would be in compliance, if elected or re-elected as a director, and will comply with, applicable law and all corporate governance, conflict of interest, confidentiality and other policies and guidelines of the Corporation applicable to directors generally and publicly available (whether on the Corporation’s website or otherwise) as of the date of such representation and agreement.</w:t>
      </w:r>
    </w:p>
    <w:p>
      <w:pPr>
        <w:spacing w:after="0" w:line="192" w:lineRule="exact"/>
        <w:rPr>
          <w:sz w:val="20"/>
          <w:szCs w:val="20"/>
          <w:color w:val="auto"/>
        </w:rPr>
      </w:pPr>
    </w:p>
    <w:p>
      <w:pPr>
        <w:ind w:firstLine="436"/>
        <w:spacing w:after="0" w:line="253"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business shall be conducted at a special meeting of stockholders as (A) has been specified in the notice of meeting (or any supplement thereto) (or any supplement thereto) pursuant to the Corporation’s notice of such meeting. Nominations of persons for election to the Board may be made at a special meeting of stockholders at which directors are to be elected pursuant to the Corporation’s notice of meeting (i) by or at the direction of the Board or any committee thereof, (ii) as provided in the Stockholders’ Agreement and (iii) so long as and provided that the Board has determined that Directors shall be elected at such meeting, by any stockholder of the Corporation who is a stockholder of record at the time the notice provided for in </w:t>
      </w:r>
      <w:r>
        <w:rPr>
          <w:rFonts w:ascii="Times New Roman" w:cs="Times New Roman" w:eastAsia="Times New Roman" w:hAnsi="Times New Roman"/>
          <w:sz w:val="18"/>
          <w:szCs w:val="18"/>
          <w:u w:val="single" w:color="auto"/>
          <w:color w:val="auto"/>
        </w:rPr>
        <w:t>Section 2.14(a)(iii)</w:t>
      </w:r>
      <w:r>
        <w:rPr>
          <w:rFonts w:ascii="Times New Roman" w:cs="Times New Roman" w:eastAsia="Times New Roman" w:hAnsi="Times New Roman"/>
          <w:sz w:val="18"/>
          <w:szCs w:val="18"/>
          <w:color w:val="auto"/>
        </w:rPr>
        <w:t xml:space="preserve"> is delivered to the Secretary, who is entitled to vote at the meeting and upon such election and who complies with the requirements set forth in </w:t>
      </w:r>
      <w:r>
        <w:rPr>
          <w:rFonts w:ascii="Times New Roman" w:cs="Times New Roman" w:eastAsia="Times New Roman" w:hAnsi="Times New Roman"/>
          <w:sz w:val="18"/>
          <w:szCs w:val="18"/>
          <w:u w:val="single" w:color="auto"/>
          <w:color w:val="auto"/>
        </w:rPr>
        <w:t>Sections 2.14(a)(iii)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as if such requirements referred to such special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be considered timely notice under this clause (c), a stockholder’s notice must be received by the Secretary at the principal executive offices of the Corporation not later than the close of business on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special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91" w:lineRule="exact"/>
        <w:rPr>
          <w:rFonts w:ascii="Times New Roman" w:cs="Times New Roman" w:eastAsia="Times New Roman" w:hAnsi="Times New Roman"/>
          <w:sz w:val="18"/>
          <w:szCs w:val="18"/>
          <w:color w:val="auto"/>
        </w:rPr>
      </w:pPr>
    </w:p>
    <w:p>
      <w:pPr>
        <w:ind w:right="40" w:firstLine="436"/>
        <w:spacing w:after="0" w:line="266" w:lineRule="auto"/>
        <w:tabs>
          <w:tab w:leader="none" w:pos="8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persons who are nominated for election or re-election as a director of the Corporation in accordance with the procedures, and who meet the other qualifications, set forth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eligible to stand for election as directors and only such business shall be conducted at a meeting of stockholders as has been brought before the meeting in accordance with the procedures set forth in these Bylaws.</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8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applicability of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stockholder who seeks to have any proposal or potential nominee included in the Corporation’s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proxy materials must provide notice as required by and otherwise comply with the applicable requirements of the rules and regulations under the Exchange Act. Except for the immediately preceding sentence, nothing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deemed to affect any rights of (i) stockholders to request inclusion of proposals in the Corporation’s proxy statement pursuant to Rule 14a-8 under the Exchange Act; or (ii) the holders of any outstanding class or series of preferred stock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voting as a class separately from the holders of common stock, to elect directors pursuant to any applicable provisions of such series of Preferred Stock or the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89" w:lineRule="exact"/>
        <w:rPr>
          <w:sz w:val="20"/>
          <w:szCs w:val="20"/>
          <w:color w:val="auto"/>
        </w:rPr>
      </w:pPr>
    </w:p>
    <w:p>
      <w:pPr>
        <w:jc w:val="both"/>
        <w:ind w:right="120" w:firstLine="436"/>
        <w:spacing w:after="0" w:line="266" w:lineRule="auto"/>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as long as the Stockholders’ Agreement remains in effect with respect to a Sponsor (which, for purposes of these Bylaws, shall have the meaning set forth in the Certificate of Incorporation), each Sponsor shall not be subject to the notice provisions set forth in paragraphs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20" w:firstLine="436"/>
        <w:spacing w:after="0" w:line="266" w:lineRule="auto"/>
        <w:tabs>
          <w:tab w:leader="none" w:pos="8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Requirement to Appear</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 a stockholder that has provided timely notice of a nomination or item of business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a qualified representative of such stockholder) does not appear at the annual or special meeting of stockholders to present such nomination or item of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to be considered a qualified representative of a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reliable reproduction of the writing or electronic transmission, at the meeting of the stockholders.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xml:space="preserve">. Whenever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requires one or more persons, including a record or beneficial owner of stock but excluding any party to the Stockholders’ Agreement, to deliver a document or information to the Corporation or any officer, employee or agent thereof (including any notice, request, questionnaire, revocation, representation or other document or agreement), unless the Corporation elects otherwise and except as otherwise expressly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such document or information shall be in writing exclusively (and not in an electronic transmission) and shall be delivered exclusively by hand (including, without limitation, overnight courier service) or by certified or registered mail, return receipt requested addressed to the attention of the Secretary at the principal executive offices of the Corporation, and the Corporation shall not be required to accept delivery of any document not in such written form or so delivered.</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provided by the Certificate of Incorporation of applicable law, the business and affairs of the Corporation shall be managed by or under the direction of the Board.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Election</w:t>
      </w:r>
      <w:r>
        <w:rPr>
          <w:rFonts w:ascii="Times New Roman" w:cs="Times New Roman" w:eastAsia="Times New Roman" w:hAnsi="Times New Roman"/>
          <w:sz w:val="18"/>
          <w:szCs w:val="18"/>
          <w:color w:val="auto"/>
        </w:rPr>
        <w:t>. The total number of directors constituting the Board shall be such number as is from time to time determined in the manner provided in the Certificate of Incorporation and the Stockholders’ Agreement. A nominee for director shall be elected to the Board by a plurality of the votes of the shares present in person or represented by proxy at a meeting and entitled to vote for nominees in the election of directors or in any action by written consent in lieu of such a meeting.</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Vacancies; Reduction of Board</w:t>
      </w:r>
      <w:r>
        <w:rPr>
          <w:rFonts w:ascii="Times New Roman" w:cs="Times New Roman" w:eastAsia="Times New Roman" w:hAnsi="Times New Roman"/>
          <w:sz w:val="18"/>
          <w:szCs w:val="18"/>
          <w:color w:val="auto"/>
        </w:rPr>
        <w:t>. Any vacancy or newly created directorship in the Board, however occurring, shall be filled only in the manner provided in and to the extent permitted under the Certificate of Incorporation. A vacancy that will occur at a specific later date may be filled before the vacancy occurs but the new director may not take office until the vacancy occurs. The Person or Persons entitled to fill such vacancy may, with or without cause, revoke the action filling such vacancy at any time prior to the new director taking office.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by delivering his or her resignation in writing or by electronic transmission to the Board, the Chairperson, the CEO or the Secretary. Such resignation shall be effective upon receipt unless it is specified therein to be effective at some later time or upon the happening of an event or events, and the acceptance of a resignation shall not be necessary to make it effective unless such resignation specifies otherwise.</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director, or the entire Board, may only be removed from office in the manner provided in and to the extent permitted under the Certificate of Incorporation and applicable law.</w:t>
      </w:r>
    </w:p>
    <w:p>
      <w:pPr>
        <w:spacing w:after="0" w:line="16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436"/>
        <w:spacing w:after="0" w:line="266"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at such time or times, on such date or dates and at such place or places (if any) as the Board from time to time determines and publicizes among all directors. A notice of any such regular meetings, the time, date or place or places (if any) of which has been so publicized, shall not be required.</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8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by the Chairperson, the CEO or the Lead Independent Director (if any), and shall be called by the CEO or the Secretary if directed by any director nominated or designated by a Sponsor (which, for purposes of these Bylaws, shall have the meaning set forth in the Certificate of Incorporation), and shall be held on such date and at such time and place (if any) as he or she or they shall fix.</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9" w:name="page40"/>
    <w:bookmarkEnd w:id="3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xml:space="preserve">. Notice of the time, date and place (if any) of all special meetings of the Board shall be given to each director. Except as otherwise provided by law, notice of each such meeting shall be mailed to each director, addressed to such director at his or her residence or usual place of business, on at least four days’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thereof, notice may be delivered to each director personally or by telephone or sent by facsimile, e-mail or other electronic transmission addressed to each director at either of such places on not less than 24 hours’ notice. A notice of a special meeting of the Board need not specify the purposes of the meeting. Notice of any meeting of the Board shall not be required to be given to any director who waives notice in writing or by electronic transmission, whether before or after the meeting, or if he or she is present and does not, at the beginning of such meeting, object to the transaction of any business because the meeting has not been lawfully called or convened; and any meeting of the Board shall be a legal meeting without any notice thereof having been given if all the directors then in office are present or have waived or not so objected to lack of notice thereof.</w:t>
      </w:r>
    </w:p>
    <w:p>
      <w:pPr>
        <w:spacing w:after="0" w:line="18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the Certificate of Incorporation, at any meeting of the Board, the greater of (a) a majority of the directors then in office and (b) one-third of the total number of directors constituting the Board shall constitute a quorum of the Board.</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at which a quorum is present, all matters shall be determined by the vote of a majority of the directors present at such meeting at which there is a quorum, except as is required or provided by the DGCL, the Certificate of Incorporation or any other provision of these Bylaws.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by the Board or a committee thereof may be taken without a meeting if all members of the Board or such committee consent thereto in writing, or by electronic transmission, and any consent may be documented, signed and delivered in any manner permitted by Section 116 of the DGCL. After an action is taken, the consent or consents relating thereto shall be filed with the minutes of the proceedings of the Board or committee thereof.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Meetings by Conference Communications Equipment Meetings</w:t>
      </w:r>
      <w:r>
        <w:rPr>
          <w:rFonts w:ascii="Times New Roman" w:cs="Times New Roman" w:eastAsia="Times New Roman" w:hAnsi="Times New Roman"/>
          <w:sz w:val="18"/>
          <w:szCs w:val="18"/>
          <w:color w:val="auto"/>
        </w:rPr>
        <w:t>. Any or all directors may participate in a regular or special meeting of the Board, or any meeting of any committee thereof, by, or conduct the meeting through the use of, any means of communication by which all directors participating may hear each other during the meeting. A Director participating in a meeting by this means is considered to be present in person at the meeting.</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The Board may adopt such rules and regulations for the conduct of its meetings and the management of the affairs of the Corporation as it may deem proper, and as are not inconsistent with the DGCL, the Certificate of Incorporation or these Bylaws.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0" w:name="page41"/>
    <w:bookmarkEnd w:id="40"/>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3.13 </w:t>
      </w:r>
      <w:r>
        <w:rPr>
          <w:rFonts w:ascii="Times New Roman" w:cs="Times New Roman" w:eastAsia="Times New Roman" w:hAnsi="Times New Roman"/>
          <w:sz w:val="17"/>
          <w:szCs w:val="17"/>
          <w:u w:val="single" w:color="auto"/>
          <w:color w:val="auto"/>
        </w:rPr>
        <w:t>Special Approval Rights</w:t>
      </w:r>
      <w:r>
        <w:rPr>
          <w:rFonts w:ascii="Times New Roman" w:cs="Times New Roman" w:eastAsia="Times New Roman" w:hAnsi="Times New Roman"/>
          <w:sz w:val="17"/>
          <w:szCs w:val="17"/>
          <w:color w:val="auto"/>
        </w:rPr>
        <w:t>. Notwithstanding anything to the contrary set forth herein, for so long as the WP Designated Sponsor Fund (as defined in the Stockholders’ Agreement), and the GTCR Designated Fund (as defined in the Stockholders’ Agreement) shall have a contractual right to designate at least three directors of the Corporation, the approval of seventy-five percent of the total number of directors of the Corporation then in office shall be required for the Board to authorize the Corporation to take or commit to take, or (to the extent applicable) permit any of its subsidiaries to take or commit to take, directly or indirectly, whether by amendment, merger, consolidation, reorganization or otherwise, any of the following actions:</w:t>
      </w:r>
    </w:p>
    <w:p>
      <w:pPr>
        <w:spacing w:after="0" w:line="168" w:lineRule="exact"/>
        <w:rPr>
          <w:sz w:val="20"/>
          <w:szCs w:val="20"/>
          <w:color w:val="auto"/>
        </w:rPr>
      </w:pPr>
    </w:p>
    <w:p>
      <w:pPr>
        <w:ind w:right="440" w:firstLine="436"/>
        <w:spacing w:after="0" w:line="266"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any acquisition of the stock (including a minority interest) or assets of any other entity (other than a subsidiary of the Corporation), in a single transaction or a series of related transactions (whether by purchase, tender offer, exchange offer, merger, other business combination transaction or otherwise), with a value in excess of $300 million in the aggregate;</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8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or other business combination of the Corporation with or into any other entity, or transfer (by lease, assignment, sale or otherwise) of all or substantially all of the Corporation and its subsidiaries’ assets, taken as a whole, to another entity, or a “Change in Control” (or any similar term) as defined in the Corporation or its subsidiaries’ indebtedness documents, other than any such consolidation, merger or other business combination solely between the Corporation and its subsidiaries or between subsidiaries of the Corporation;</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in a single transaction or a series of related transactions, of any assets of the Corporation or any of its subsidiaries with a value in excess of $300 million in the aggregate or for consideration in excess of $300 million, other than the sale of inventory or products in the ordinary course of business, other than a transaction solely between the Corporation and its subsidiaries or between subsidiaries of the Corporation;</w:t>
      </w:r>
    </w:p>
    <w:p>
      <w:pPr>
        <w:spacing w:after="0" w:line="175" w:lineRule="exact"/>
        <w:rPr>
          <w:rFonts w:ascii="Times New Roman" w:cs="Times New Roman" w:eastAsia="Times New Roman" w:hAnsi="Times New Roman"/>
          <w:sz w:val="18"/>
          <w:szCs w:val="18"/>
          <w:color w:val="auto"/>
        </w:rPr>
      </w:pPr>
    </w:p>
    <w:p>
      <w:pPr>
        <w:ind w:left="880" w:hanging="444"/>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size of the Board, other than in accordance with the Stockholders’ Agreement;</w:t>
      </w:r>
    </w:p>
    <w:p>
      <w:pPr>
        <w:spacing w:after="0" w:line="225"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these Bylaws;</w:t>
      </w:r>
    </w:p>
    <w:p>
      <w:pPr>
        <w:spacing w:after="0" w:line="225"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the CEO or designation of a new CEO;</w:t>
      </w:r>
    </w:p>
    <w:p>
      <w:pPr>
        <w:spacing w:after="0" w:line="225"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composition of any committee of the Board;</w:t>
      </w:r>
    </w:p>
    <w:p>
      <w:pPr>
        <w:spacing w:after="0" w:line="225" w:lineRule="exact"/>
        <w:rPr>
          <w:rFonts w:ascii="Times New Roman" w:cs="Times New Roman" w:eastAsia="Times New Roman" w:hAnsi="Times New Roman"/>
          <w:sz w:val="18"/>
          <w:szCs w:val="18"/>
          <w:color w:val="auto"/>
        </w:rPr>
      </w:pPr>
    </w:p>
    <w:p>
      <w:pPr>
        <w:ind w:right="200" w:firstLine="436"/>
        <w:spacing w:after="0" w:line="261" w:lineRule="auto"/>
        <w:tabs>
          <w:tab w:leader="none" w:pos="8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Corporation or (ii) affiliates of (A) the Corporation (other than any subsidiary of the Corporation) or (B) any executive officer of the Corporation;</w:t>
      </w:r>
    </w:p>
    <w:p>
      <w:pPr>
        <w:spacing w:after="0" w:line="179" w:lineRule="exact"/>
        <w:rPr>
          <w:rFonts w:ascii="Times New Roman" w:cs="Times New Roman" w:eastAsia="Times New Roman" w:hAnsi="Times New Roman"/>
          <w:sz w:val="18"/>
          <w:szCs w:val="18"/>
          <w:color w:val="auto"/>
        </w:rPr>
      </w:pPr>
    </w:p>
    <w:p>
      <w:pPr>
        <w:ind w:right="200" w:firstLine="436"/>
        <w:spacing w:after="0" w:line="282" w:lineRule="auto"/>
        <w:tabs>
          <w:tab w:leader="none" w:pos="7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any class or series of capital stock or equity interests of the Corporation or any of its subsidiaries, other than, (A) in the case of the Corporation, any award under any stockholder approved equity compensation plan, (B) in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41" w:name="page42"/>
    <w:bookmarkEnd w:id="41"/>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case of a subsidiary of the Corporation, to the Corporation or another direct or indirect subsidiary of the Corporation and (C) as required by the organizational documents of a subsidiary of the Corporation or a contract to which a subsidiary of the Corporation is party, in each case, that is in effect on the date hereof; or</w:t>
      </w:r>
    </w:p>
    <w:p>
      <w:pPr>
        <w:spacing w:after="0" w:line="176" w:lineRule="exact"/>
        <w:rPr>
          <w:sz w:val="20"/>
          <w:szCs w:val="20"/>
          <w:color w:val="auto"/>
        </w:rPr>
      </w:pPr>
    </w:p>
    <w:p>
      <w:pPr>
        <w:ind w:left="780" w:hanging="344"/>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indebtedness, in a single transaction or a series of related transactions, by the Corporation or any of its</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in an amount in excess of $300 million outstanding at any one time, other than (i) intercompany debt among subsidiaries of the Corporation or the Corporation and any subsidiary and (ii) incurrence of additional indebtedness under the credit agreement or indenture.</w:t>
      </w:r>
    </w:p>
    <w:p>
      <w:pPr>
        <w:spacing w:after="0" w:line="28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36"/>
        <w:spacing w:after="0" w:line="258"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Committees</w:t>
      </w:r>
      <w:r>
        <w:rPr>
          <w:rFonts w:ascii="Times New Roman" w:cs="Times New Roman" w:eastAsia="Times New Roman" w:hAnsi="Times New Roman"/>
          <w:sz w:val="18"/>
          <w:szCs w:val="18"/>
          <w:color w:val="auto"/>
        </w:rPr>
        <w:t>. The Board shall appoint one or more of its members to an Audit Committee, a Compensation Committee and a Nominating and Corporate Governance Committee, and may from time to time establish additional committees of its members, each with such powers and duties not inconsistent with these Bylaws as the Board may or, pursuant to applicable law (including the rules and regulations of any stock exchange applicable to the Corporation), must, lawfully confer. All members of any committee of the Board shall serve at the pleasure of the Board. Any committee to which the Board delegates any of its powers or duties shall keep records of its meetings and shall report its actions to the Board.</w:t>
      </w:r>
    </w:p>
    <w:p>
      <w:pPr>
        <w:spacing w:after="0" w:line="183" w:lineRule="exact"/>
        <w:rPr>
          <w:rFonts w:ascii="Times New Roman" w:cs="Times New Roman" w:eastAsia="Times New Roman" w:hAnsi="Times New Roman"/>
          <w:sz w:val="18"/>
          <w:szCs w:val="18"/>
          <w:color w:val="auto"/>
        </w:rPr>
      </w:pPr>
    </w:p>
    <w:p>
      <w:pPr>
        <w:ind w:right="60" w:firstLine="436"/>
        <w:spacing w:after="0" w:line="256" w:lineRule="auto"/>
        <w:tabs>
          <w:tab w:leader="none" w:pos="8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Alternates; Substitution of Members</w:t>
      </w:r>
      <w:r>
        <w:rPr>
          <w:rFonts w:ascii="Times New Roman" w:cs="Times New Roman" w:eastAsia="Times New Roman" w:hAnsi="Times New Roman"/>
          <w:sz w:val="18"/>
          <w:szCs w:val="18"/>
          <w:color w:val="auto"/>
        </w:rPr>
        <w:t xml:space="preserve">. The Board may, subject to any requirements specifically set forth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designate one or more directors as alternate members of any committee,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to act at the meeting in the place of the absent or disqualified member, subject to any restrictions on committee membership established under applicable law (including the rules and regulations of any stock exchange applicable to the Corporation).</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Delegable Authority</w:t>
      </w:r>
      <w:r>
        <w:rPr>
          <w:rFonts w:ascii="Times New Roman" w:cs="Times New Roman" w:eastAsia="Times New Roman" w:hAnsi="Times New Roman"/>
          <w:sz w:val="18"/>
          <w:szCs w:val="18"/>
          <w:color w:val="auto"/>
        </w:rPr>
        <w:t>. Any committee, to the extent provided in a resolution of the Board and permitted by applicable law, shall have and may exercise all the powers and authority of the Board in the management of the business and affairs of the Corporation, and may authorize the seal of the Corporation to be affixed to all papers that may require it; but no committee shall have the power or authority to (i) approve, adopt or recommend to the stockholders, any action or matter (other than the election or removal of directors) required by the DGCL to be submitted to stockholders for approval; or (ii) adopt, amend or repeal these Bylaws.</w:t>
      </w:r>
    </w:p>
    <w:p>
      <w:pPr>
        <w:spacing w:after="0" w:line="183" w:lineRule="exact"/>
        <w:rPr>
          <w:rFonts w:ascii="Times New Roman" w:cs="Times New Roman" w:eastAsia="Times New Roman" w:hAnsi="Times New Roman"/>
          <w:sz w:val="18"/>
          <w:szCs w:val="18"/>
          <w:color w:val="auto"/>
        </w:rPr>
      </w:pPr>
    </w:p>
    <w:p>
      <w:pPr>
        <w:ind w:right="120" w:firstLine="436"/>
        <w:spacing w:after="0" w:line="261" w:lineRule="auto"/>
        <w:tabs>
          <w:tab w:leader="none" w:pos="8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Board, subject to the requirements specifically set forth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 on the date of his or her death or resignation, removal or disqualification from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2" w:name="page43"/>
    <w:bookmarkEnd w:id="42"/>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Board, but the Board may at any time for any reason remove any individual committee member from any committee and the Board may, subject to any requirements specifically set forth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fill any committee vacancy.</w:t>
      </w:r>
    </w:p>
    <w:p>
      <w:pPr>
        <w:spacing w:after="0" w:line="162" w:lineRule="exact"/>
        <w:rPr>
          <w:sz w:val="20"/>
          <w:szCs w:val="20"/>
          <w:color w:val="auto"/>
        </w:rPr>
      </w:pPr>
    </w:p>
    <w:p>
      <w:pPr>
        <w:ind w:right="60" w:firstLine="436"/>
        <w:spacing w:after="0" w:line="256"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of Committees</w:t>
      </w:r>
      <w:r>
        <w:rPr>
          <w:rFonts w:ascii="Times New Roman" w:cs="Times New Roman" w:eastAsia="Times New Roman" w:hAnsi="Times New Roman"/>
          <w:sz w:val="18"/>
          <w:szCs w:val="18"/>
          <w:color w:val="auto"/>
        </w:rPr>
        <w:t>. Each committee may determine the procedural rules for meeting and conducting its business and shall act in accordance therewith, except as otherwise provided herein or by resolution of the Board or required by law. Adequate provision shall be made for notice to members of a committee of all meetings of the committee. A majority of the members of a committee shall constitute a quorum unless the committee charter specifies otherwise. All matters submitted to a committee shall be determined by a majority vote of the members present at a meeting at which a quorum is present. Each committee of the Board shall keep minutes of its meetings and shall report its proceedings to the Board as specified in its charter or when otherwise requested by the Board.</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shall have the authority to fix the compensation, including fees, equity grants and reimbursement of expenses, of directors for services to the Corporation in any capacity.</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Board may appoint from its members a Chairperson of the Board, who need not be an employee or officer of the Corporation. If the Board appoints a Chairperson of the Board, such Chairperson shall perform such duties and possess such powers as are assigned by the Board and, if the Chairperson of the Board is also designated as the Corporation’s Chief Executive Officer, shall have the powers and duties of the Chief Executive Officer. Unless otherwise provided by the Board, the Chairperson of the Board shall preside at all meetings of the Board.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In the event that the Chairperson is an employee or officer of the Corporation, the Board may choose to appoint from its members a Lead Independent Director, who shall not be an employee or officer of the Corporation. If the Board appoints a Lead Independent Director, such Lead Independent Director shall perform such duties and possess such powers as are assigned by the Board, including presiding at meetings of the Board in the absence of the Chairperson and calling meetings of the Corporation’s independent directors.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Appointment; Term of Office</w:t>
      </w:r>
      <w:r>
        <w:rPr>
          <w:rFonts w:ascii="Times New Roman" w:cs="Times New Roman" w:eastAsia="Times New Roman" w:hAnsi="Times New Roman"/>
          <w:sz w:val="18"/>
          <w:szCs w:val="18"/>
          <w:color w:val="auto"/>
        </w:rPr>
        <w:t>. The Board shall elect at least the following officers: a Chairperson, a CEO, a Chief Financial Officer, a Treasurer and a Secretary. The Board may also elect, appoint, or provide for the appointment of such other officers and agents as may from time to time appear necessary or advisable in the conduct of the affairs of the Corporation, including a President, one or more Vice Presidents, Assistant Secretaries and Assistant Treasurers. Each officer of the Corporation shall hold office for such term as may be prescribed by the Board and until his or her successor is chosen and qualifies or until his or her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3" w:name="page44"/>
    <w:bookmarkEnd w:id="43"/>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earlier death, disqualification, resignation or removal. The Board may fill any vacancy occurring in any office of the Corporation. Two or more offices may be held by the same person. No officer need be a stockholder or Director, except that the Chairperson of the Board shall be chosen from among the directors.</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resignation in writing or by electronic transmission to the Corporation at its principal executive office, and such resignation shall be effective upon receipt unless it is specified to be effective at a later time or upon the happening of an event or events. If a resignation is made effective at a later date or upon the happening of an event and the Corporation accepts the future effective date or the occurrence of a future event or events, the Board may fill the pending vacancy before the effective date or the occurrence of such event or events if the Board provides that the successor shall not take office until the effective date or the occurrence of such event or events. An officer’s resignation shall not affect the Corporation’s contract rights, if any, with the officer.</w:t>
      </w:r>
    </w:p>
    <w:p>
      <w:pPr>
        <w:spacing w:after="0" w:line="187"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The Board may remove any officer at any time with or without cause.</w:t>
      </w:r>
    </w:p>
    <w:p>
      <w:pPr>
        <w:spacing w:after="0" w:line="22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Powers and Duties; Delegation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firstLine="436"/>
        <w:spacing w:after="0" w:line="254" w:lineRule="auto"/>
        <w:tabs>
          <w:tab w:leader="none" w:pos="82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of the Corporation shall have such duties and powers as are customarily incident to his or her office (subject to the direction and control of the Board and except as otherwise provided by these Bylaws or by resolution of the Board), and such other duties and powers as may be designated by the Board or by direction of an officer authorized by the Board to prescribe the duties of such other officer. Notwithstanding anything to the contrary set forth herein, without the prior authorization of the Board given in accordance with Section 3.13 of these Bylaws, no officer shall have the power or authority to take, or cause or permit the Corporation or any of its subsidiaries to take, any of the actions enumerated in paragraphs</w:t>
      </w:r>
    </w:p>
    <w:p>
      <w:pPr>
        <w:spacing w:after="0" w:line="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(j) of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these Bylaws.</w:t>
      </w:r>
    </w:p>
    <w:p>
      <w:pPr>
        <w:spacing w:after="0" w:line="206"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8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 officer or officers is absent, or whenever for any reason the Board may deem it desirable, the Board may delegate the powers and duties of any officer to any Director or directors, or any other officers or agents.</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CAPITAL STOCK</w:t>
      </w:r>
    </w:p>
    <w:p>
      <w:pPr>
        <w:spacing w:after="0" w:line="225"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The shares of stock of the Corporation shall be represented by certificates; provided that the Board may provide by resolution or resolutions that some or all of any or all classes or series of the Corporation’s stock shall be uncertificated shares. Each holder of stock represented by certificates shall be entitled to a certificate signed by, or in the name of the Corporation by, any two authorized officers of the Corporation (it being understood that each of the Chairperson, the CEO, the Chief Financial Officer, the President or a Vice President, the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Treasurer, any Assistant Treasurer, and the Secretary or any Assistant Secretary shall be an authorized officer for such purpose), representing the number of shares registered in certificate form. Any or all of the signatures on the certificate may be by facsimile. If the person who signed, either manually or in facsimile, a share certificate no longer holds office when the certificate is issued, the certificate shall be nevertheless valid. The certificate shall also set forth any information or statement required to be set forth thereon by the DGCL.</w:t>
      </w:r>
    </w:p>
    <w:p>
      <w:pPr>
        <w:spacing w:after="0" w:line="180" w:lineRule="exact"/>
        <w:rPr>
          <w:sz w:val="20"/>
          <w:szCs w:val="20"/>
          <w:color w:val="auto"/>
        </w:rPr>
      </w:pPr>
    </w:p>
    <w:p>
      <w:pPr>
        <w:jc w:val="both"/>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A new share certificate or uncertificated shares may be issued in place of any certificate previously issued by the Corporation and alleged to have been lost, stolen or destroyed. The Corporation may, subject to Section 167 of the DGCL, determine the conditions upon which a new share certificate or uncertificated shares may be issued in place of any certificate alleged to have been lost, destroyed, or stolen. The Corporation may, in its discretion, require the owner of such share certificate, or his or her legal representative, to give a bond, sufficient in the opinion of the Corporation, with or without surety, to indemnify the Corporation against any loss or claim which may arise in connection therewith.</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Transfers of stock shall be made only upon the transfer books of the Corporation kept at an office of the Corporation or by transfer agents designated to transfer shares of stock of the Corporation. Subject to any restrictions on transfer, shares of stock represented by certificates may be transferred on the books of the Corporation by the surrender to the Corporation or its transfer agent of the certificate properly endorsed or accompanied by a 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Section 151(f) of the DGCL. A record shall be made of each transfer and whenever a transfer is made for collateral security, and not absolutely, it shall be so expressed in the entry of the transfer.</w:t>
      </w:r>
    </w:p>
    <w:p>
      <w:pPr>
        <w:spacing w:after="0" w:line="19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issue, transfer, conversion and registration of certificates of stock shall be governed by such other regulations as the Board may establish.</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CORPORATE RECORDS</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Records to be Kept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2" w:lineRule="auto"/>
        <w:tabs>
          <w:tab w:leader="none" w:pos="8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keep as permanent records minutes of all meetings of its stockholders, Board and any committees thereof, and a record of all actions taken by the stockholders or Board or any committees thereof by consent in lieu of a meeting.</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8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keep a copy of such records at its principal executive office or at such other place or places as designated by the Board, in any case as may be required by law.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fixed by the Board. If the Board makes no determination to the contrary, the fiscal year of the Corporation shall be the twelve months ending with December 31 in each year.</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shall have the power to adopt and alter the seal of the Corporation, which seal shall be in the charge of the Secretary. If and when so directed by the Board or a committee thereof, duplicates of the seal may be kept and used by the Treasurer or by an Assistant Treasurer or Assistant Secretary (if there be such officers appointed).</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The Board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otherwise provided by the Board, the CEO, Chief Financial Officer or any Vice President may waive notice, vote or consent, on behalf of the Corporation, or appoint another person or persons to waive notice, vote or consent, on behalf of the Corporation, and act as, or appoint any person or persons to act as, proxy or attorney in fact for the Corporation (with or without discretionary power or power of substitution), with respect to the stock or other securities of any other corporation, entity or organization that may be held by the Corporation.</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Except as otherwise provided by the DGCL, these Bylaws may be added to, amended or repealed, in the manner provided in the Certificate of Incorporation.</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words “include” and “including” and similar terms shall be deemed to be followed by the words “without limitation.” Whenever used in these Bylaws, any noun or pronoun shall be deemed to include the plural as well as the singular and to cover all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6" w:name="page47"/>
    <w:bookmarkEnd w:id="46"/>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genders. Any reference in these Bylaws to a provision of any statute shall be deemed to include any successor provision. Unless the context otherwise requires, the term “person” shall be deemed to include any natural person or any corporation, organization or other entity.</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or by any other person as to matters that such Director, committee member or officer reasonably believes are within such other person’s professional or expert competence and who has been selected with reasonable care by or on behalf of the Corporation.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EMERGENCY BYLAWS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Emergency Board</w:t>
      </w:r>
      <w:r>
        <w:rPr>
          <w:rFonts w:ascii="Times New Roman" w:cs="Times New Roman" w:eastAsia="Times New Roman" w:hAnsi="Times New Roman"/>
          <w:sz w:val="18"/>
          <w:szCs w:val="18"/>
          <w:color w:val="auto"/>
        </w:rPr>
        <w:t>. In case of an attack on the United States or on a locality in which the Corporation conducts its business or customarily holds meetings of the Board or its stockholders, or during any nuclear or atomic disaster, or during the existence of any catastrophe, or other similar emergency condition, including an epidemic or pandemic, as a result of which a quorum of the Board or a committee thereof cannot readily be convened for action in accordance with the provisions of these Bylaws, the business and affairs of the Corporation shall be managed by or under the direction of an Emergency Board (hereinafter called the “</w:t>
      </w:r>
      <w:r>
        <w:rPr>
          <w:rFonts w:ascii="Times New Roman" w:cs="Times New Roman" w:eastAsia="Times New Roman" w:hAnsi="Times New Roman"/>
          <w:sz w:val="18"/>
          <w:szCs w:val="18"/>
          <w:u w:val="single" w:color="auto"/>
          <w:color w:val="auto"/>
        </w:rPr>
        <w:t>Emergency Board</w:t>
      </w:r>
      <w:r>
        <w:rPr>
          <w:rFonts w:ascii="Times New Roman" w:cs="Times New Roman" w:eastAsia="Times New Roman" w:hAnsi="Times New Roman"/>
          <w:sz w:val="18"/>
          <w:szCs w:val="18"/>
          <w:color w:val="auto"/>
        </w:rPr>
        <w:t xml:space="preserve">”) established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Membership of Emergency Board</w:t>
      </w:r>
      <w:r>
        <w:rPr>
          <w:rFonts w:ascii="Times New Roman" w:cs="Times New Roman" w:eastAsia="Times New Roman" w:hAnsi="Times New Roman"/>
          <w:sz w:val="18"/>
          <w:szCs w:val="18"/>
          <w:color w:val="auto"/>
        </w:rPr>
        <w:t xml:space="preserve">. The Emergency Board shall consist of at least three of the following persons present or available at the Emergency Corporate Headquarters determined according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 those persons who were directors at the time of the attack or other event mentioned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(b) any other persons appointed by such directors to the extent required 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Powers of the Emergency Board</w:t>
      </w:r>
      <w:r>
        <w:rPr>
          <w:rFonts w:ascii="Times New Roman" w:cs="Times New Roman" w:eastAsia="Times New Roman" w:hAnsi="Times New Roman"/>
          <w:sz w:val="18"/>
          <w:szCs w:val="18"/>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Emergency Corporate Headquarters</w:t>
      </w:r>
      <w:r>
        <w:rPr>
          <w:rFonts w:ascii="Times New Roman" w:cs="Times New Roman" w:eastAsia="Times New Roman" w:hAnsi="Times New Roman"/>
          <w:sz w:val="18"/>
          <w:szCs w:val="18"/>
          <w:color w:val="auto"/>
        </w:rPr>
        <w:t>. Emergency Corporate Headquarters shall be at such location as the Board or the CEO shall determine prior to the attack or other event, or if not practicable or so determined, at such place as the Emergency Board may determine.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 officer, director or employee acting in accordance with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liable except for willful misconduct.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7" w:name="page48"/>
    <w:bookmarkEnd w:id="4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Amendments; Repeal</w:t>
      </w:r>
      <w:r>
        <w:rPr>
          <w:rFonts w:ascii="Times New Roman" w:cs="Times New Roman" w:eastAsia="Times New Roman" w:hAnsi="Times New Roman"/>
          <w:sz w:val="18"/>
          <w:szCs w:val="18"/>
          <w:color w:val="auto"/>
        </w:rPr>
        <w:t xml:space="preserve">. At any meeting of the Emergency Board, the Emergency Board may modify, amend or add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so as to make any provision that may be practical or necessary for the circumstances of the emergency.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subject to repeal or change by further action of the Board or by action of the stockholders, but no such repeal or change shall modify the provisions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with regard to action or omission occurring prior to the time of such repeal or change.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20"/>
          </w:cols>
          <w:pgMar w:left="440" w:top="270" w:right="6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WARBURG PINCUS PRIVATE EQUITY XI,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WARBURG PINCUS XI PARTNERS,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WP XI PARTNERS, L.P.,</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WARBURG PINCUS PRIVATE EQUITY XI-B,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WARBURG PINCUS PRIVATE EQUITY XI-C, L.P.,</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GTCR FUND XI/A LP,</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GTCR FUND XI/C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BULL CO-INVEST,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GTCR CO-INVEST XI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THE STOCKHOLDERS ON SCHEDULE A HERETO,</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Dated as of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64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r>
      <w:tr>
        <w:trPr>
          <w:trHeight w:val="459"/>
        </w:trPr>
        <w:tc>
          <w:tcPr>
            <w:tcW w:w="21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Demand Registration.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Shelf Registration.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Piggyback Registration.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Black-out Periods.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Procedures.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Underwritten Offerings.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Inconsistent Agreements; Additional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Rules 144 and 144A and Regulation S; Form S-3</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Registrations and Underwritten Offerings.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 Market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In-Kind Distributions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Injunctive Relief</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Attorneys’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Assigns and Transferees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Binding Effect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Joinder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Registration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Banking Services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Activities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729"/>
        </w:trPr>
        <w:tc>
          <w:tcPr>
            <w:tcW w:w="2100" w:type="dxa"/>
            <w:vAlign w:val="bottom"/>
          </w:tcPr>
          <w:p>
            <w:pPr>
              <w:spacing w:after="0"/>
              <w:rPr>
                <w:sz w:val="24"/>
                <w:szCs w:val="24"/>
                <w:color w:val="auto"/>
              </w:rPr>
            </w:pPr>
          </w:p>
        </w:tc>
        <w:tc>
          <w:tcPr>
            <w:tcW w:w="64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AMENDED AND RESTATED REGISTRATION RIGHTS AGREEMENT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This Amended and Restated Registration Rights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entered into and effective as of [•], 2020 by and among Warburg Pincus Private Equity XI, L.P., a Delaware limited partnership (“</w:t>
      </w:r>
      <w:r>
        <w:rPr>
          <w:rFonts w:ascii="Times New Roman" w:cs="Times New Roman" w:eastAsia="Times New Roman" w:hAnsi="Times New Roman"/>
          <w:sz w:val="18"/>
          <w:szCs w:val="18"/>
          <w:u w:val="single" w:color="auto"/>
          <w:color w:val="auto"/>
        </w:rPr>
        <w:t>WP XI</w:t>
      </w:r>
      <w:r>
        <w:rPr>
          <w:rFonts w:ascii="Times New Roman" w:cs="Times New Roman" w:eastAsia="Times New Roman" w:hAnsi="Times New Roman"/>
          <w:sz w:val="18"/>
          <w:szCs w:val="18"/>
          <w:color w:val="auto"/>
        </w:rPr>
        <w:t>”), Warburg Pincus XI Partners, L.P., a Delaware limited partnership (“</w:t>
      </w:r>
      <w:r>
        <w:rPr>
          <w:rFonts w:ascii="Times New Roman" w:cs="Times New Roman" w:eastAsia="Times New Roman" w:hAnsi="Times New Roman"/>
          <w:sz w:val="18"/>
          <w:szCs w:val="18"/>
          <w:u w:val="single" w:color="auto"/>
          <w:color w:val="auto"/>
        </w:rPr>
        <w:t>Warburg XI Partners</w:t>
      </w:r>
      <w:r>
        <w:rPr>
          <w:rFonts w:ascii="Times New Roman" w:cs="Times New Roman" w:eastAsia="Times New Roman" w:hAnsi="Times New Roman"/>
          <w:sz w:val="18"/>
          <w:szCs w:val="18"/>
          <w:color w:val="auto"/>
        </w:rPr>
        <w:t>”),WP XI Partners, L.P., a Delaware limited partnership (“</w:t>
      </w:r>
      <w:r>
        <w:rPr>
          <w:rFonts w:ascii="Times New Roman" w:cs="Times New Roman" w:eastAsia="Times New Roman" w:hAnsi="Times New Roman"/>
          <w:sz w:val="18"/>
          <w:szCs w:val="18"/>
          <w:u w:val="single" w:color="auto"/>
          <w:color w:val="auto"/>
        </w:rPr>
        <w:t>WP XI Partners</w:t>
      </w:r>
      <w:r>
        <w:rPr>
          <w:rFonts w:ascii="Times New Roman" w:cs="Times New Roman" w:eastAsia="Times New Roman" w:hAnsi="Times New Roman"/>
          <w:sz w:val="18"/>
          <w:szCs w:val="18"/>
          <w:color w:val="auto"/>
        </w:rPr>
        <w:t>”), Bull Co-Invest L.P., a Delaware limited partnership (“</w:t>
      </w:r>
      <w:r>
        <w:rPr>
          <w:rFonts w:ascii="Times New Roman" w:cs="Times New Roman" w:eastAsia="Times New Roman" w:hAnsi="Times New Roman"/>
          <w:sz w:val="18"/>
          <w:szCs w:val="18"/>
          <w:u w:val="single" w:color="auto"/>
          <w:color w:val="auto"/>
        </w:rPr>
        <w:t>WP Co-Invest</w:t>
      </w:r>
      <w:r>
        <w:rPr>
          <w:rFonts w:ascii="Times New Roman" w:cs="Times New Roman" w:eastAsia="Times New Roman" w:hAnsi="Times New Roman"/>
          <w:sz w:val="18"/>
          <w:szCs w:val="18"/>
          <w:color w:val="auto"/>
        </w:rPr>
        <w:t>”), Warburg Pincus Private Equity XI-B, L.P., a Delaware limited partnership (“</w:t>
      </w:r>
      <w:r>
        <w:rPr>
          <w:rFonts w:ascii="Times New Roman" w:cs="Times New Roman" w:eastAsia="Times New Roman" w:hAnsi="Times New Roman"/>
          <w:sz w:val="18"/>
          <w:szCs w:val="18"/>
          <w:u w:val="single" w:color="auto"/>
          <w:color w:val="auto"/>
        </w:rPr>
        <w:t>WP XI-B</w:t>
      </w:r>
      <w:r>
        <w:rPr>
          <w:rFonts w:ascii="Times New Roman" w:cs="Times New Roman" w:eastAsia="Times New Roman" w:hAnsi="Times New Roman"/>
          <w:sz w:val="18"/>
          <w:szCs w:val="18"/>
          <w:color w:val="auto"/>
        </w:rPr>
        <w:t>”), Warburg Pincus Private Equity XI-C, L.P., a Cayman Islands exempted limited partnership (“</w:t>
      </w:r>
      <w:r>
        <w:rPr>
          <w:rFonts w:ascii="Times New Roman" w:cs="Times New Roman" w:eastAsia="Times New Roman" w:hAnsi="Times New Roman"/>
          <w:sz w:val="18"/>
          <w:szCs w:val="18"/>
          <w:u w:val="single" w:color="auto"/>
          <w:color w:val="auto"/>
        </w:rPr>
        <w:t>WP XI-C</w:t>
      </w:r>
      <w:r>
        <w:rPr>
          <w:rFonts w:ascii="Times New Roman" w:cs="Times New Roman" w:eastAsia="Times New Roman" w:hAnsi="Times New Roman"/>
          <w:sz w:val="18"/>
          <w:szCs w:val="18"/>
          <w:color w:val="auto"/>
        </w:rPr>
        <w:t>”, and together with WP XI, Warburg XI Partners, WP XI Partners, WP Co-Invest and WP XI-B, “</w:t>
      </w:r>
      <w:r>
        <w:rPr>
          <w:rFonts w:ascii="Times New Roman" w:cs="Times New Roman" w:eastAsia="Times New Roman" w:hAnsi="Times New Roman"/>
          <w:sz w:val="18"/>
          <w:szCs w:val="18"/>
          <w:u w:val="single" w:color="auto"/>
          <w:color w:val="auto"/>
        </w:rPr>
        <w:t>WP</w:t>
      </w:r>
      <w:r>
        <w:rPr>
          <w:rFonts w:ascii="Times New Roman" w:cs="Times New Roman" w:eastAsia="Times New Roman" w:hAnsi="Times New Roman"/>
          <w:sz w:val="18"/>
          <w:szCs w:val="18"/>
          <w:color w:val="auto"/>
        </w:rPr>
        <w:t>”, provided that WP Co-Invest shall cease to be included in the definition of WP at such time as Warburg Pincus LLC or an Affiliate of Warburg Pincus LLC ceases to be the managing member of, the general partner of or otherwise control WP Co-Invest),GTCR Fund XI/A LP (“</w:t>
      </w:r>
      <w:r>
        <w:rPr>
          <w:rFonts w:ascii="Times New Roman" w:cs="Times New Roman" w:eastAsia="Times New Roman" w:hAnsi="Times New Roman"/>
          <w:sz w:val="18"/>
          <w:szCs w:val="18"/>
          <w:u w:val="single" w:color="auto"/>
          <w:color w:val="auto"/>
        </w:rPr>
        <w:t>GTCR XI/A</w:t>
      </w:r>
      <w:r>
        <w:rPr>
          <w:rFonts w:ascii="Times New Roman" w:cs="Times New Roman" w:eastAsia="Times New Roman" w:hAnsi="Times New Roman"/>
          <w:sz w:val="18"/>
          <w:szCs w:val="18"/>
          <w:color w:val="auto"/>
        </w:rPr>
        <w:t>”), GTCR Fund XI/C LP (“</w:t>
      </w:r>
      <w:r>
        <w:rPr>
          <w:rFonts w:ascii="Times New Roman" w:cs="Times New Roman" w:eastAsia="Times New Roman" w:hAnsi="Times New Roman"/>
          <w:sz w:val="18"/>
          <w:szCs w:val="18"/>
          <w:u w:val="single" w:color="auto"/>
          <w:color w:val="auto"/>
        </w:rPr>
        <w:t>GTCR XI/C</w:t>
      </w:r>
      <w:r>
        <w:rPr>
          <w:rFonts w:ascii="Times New Roman" w:cs="Times New Roman" w:eastAsia="Times New Roman" w:hAnsi="Times New Roman"/>
          <w:sz w:val="18"/>
          <w:szCs w:val="18"/>
          <w:color w:val="auto"/>
        </w:rPr>
        <w:t>”), GTCR Co-Invest XI LP (“</w:t>
      </w:r>
      <w:r>
        <w:rPr>
          <w:rFonts w:ascii="Times New Roman" w:cs="Times New Roman" w:eastAsia="Times New Roman" w:hAnsi="Times New Roman"/>
          <w:sz w:val="18"/>
          <w:szCs w:val="18"/>
          <w:u w:val="single" w:color="auto"/>
          <w:color w:val="auto"/>
        </w:rPr>
        <w:t>GTCR Co-Invest</w:t>
      </w:r>
      <w:r>
        <w:rPr>
          <w:rFonts w:ascii="Times New Roman" w:cs="Times New Roman" w:eastAsia="Times New Roman" w:hAnsi="Times New Roman"/>
          <w:sz w:val="18"/>
          <w:szCs w:val="18"/>
          <w:color w:val="auto"/>
        </w:rPr>
        <w:t>”, and together with GTCR XI/A and GTCR XI/C, “</w:t>
      </w:r>
      <w:r>
        <w:rPr>
          <w:rFonts w:ascii="Times New Roman" w:cs="Times New Roman" w:eastAsia="Times New Roman" w:hAnsi="Times New Roman"/>
          <w:sz w:val="18"/>
          <w:szCs w:val="18"/>
          <w:u w:val="single" w:color="auto"/>
          <w:color w:val="auto"/>
        </w:rPr>
        <w:t>GTCR</w:t>
      </w:r>
      <w:r>
        <w:rPr>
          <w:rFonts w:ascii="Times New Roman" w:cs="Times New Roman" w:eastAsia="Times New Roman" w:hAnsi="Times New Roman"/>
          <w:sz w:val="18"/>
          <w:szCs w:val="18"/>
          <w:color w:val="auto"/>
        </w:rPr>
        <w:t>”),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stockholders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initially entered into a Registration Rights Agreement (the “Initial Agreement”), dated as of May 15, 2015, in order to set forth certain registration rights applicable to the Registrable Securities;</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WHEREAS, on May 25, 2016, the parties amended and restated the Initial Agreement in its entirety (the “</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 to provide for an additional class of equity securities as Registrable Securities;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Section 3.06 of the Existing Agreement, the parties desire to amend and restate the Existing Agreement in order to set forth certain registration rights applicable to the Registrable Securities.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shall have the following meanings: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Active Management Stockholder</w:t>
      </w:r>
      <w:r>
        <w:rPr>
          <w:rFonts w:ascii="Times New Roman" w:cs="Times New Roman" w:eastAsia="Times New Roman" w:hAnsi="Times New Roman"/>
          <w:sz w:val="18"/>
          <w:szCs w:val="18"/>
          <w:color w:val="auto"/>
        </w:rPr>
        <w:t>” means any Management Stockholder who (i) as of the date of this Agreement, is actively employed by, or serving as a director of, the Company or any of its Subsidiaries or (ii) was actively employed by, or serving as a director of, the Company or any of its Subsidiaries at any time in the six (6) month period immediately prior to the date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51" w:name="page52"/>
    <w:bookmarkEnd w:id="51"/>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means public disclosure of material, non-public information that, in the Board of Directors’ good faith judgment, after consultation with outside counsel to the Company, (i) would be required to be made in any Registration Statement or report filed with the SEC by the Company so that such Registration Statement or report would not be materially misleading and would not be required to be made at such time but for the filing of such Registration Statement or report; and (ii) the Company has a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business purpose for not disclosing such information publicly.</w:t>
      </w:r>
    </w:p>
    <w:p>
      <w:pPr>
        <w:spacing w:after="0" w:line="183"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specified in Rule 12b-2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Holder shall be deemed an Affiliate of the Company or its Subsidiaries for purposes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portfolio companies (as such term is commonly used in the private equity industry) of a Sponsor and limited partners, non-managing members or other similar direct or indirect investors in a Sponsor shall be deemed to not be Affiliates of such Sponsor;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Person that is a “governmental plan” within the meaning of ERISA, the other branches and departments of the applicable governments shall not be deemed to be Affiliates of such Person. The term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has a correlative meaning.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day on which commercial banks located in New York, New York are required or authorized by law or executive order to be closed.</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(i) the sale, lease or transfer, in a single transaction or in a series of related transactions, of all or substantially all of the assets of the Company and its Subsidiaries, taken as a whole, to any Person other than the Sponsors or their Affiliates or (ii)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other than Sponsors or their Affiliates, in a single transaction or in related series of transactions, by way of merger, consolidation or other business combination or purchase of beneficial ownership (within the meaning of Rule 13d-3 under the Exchange Act, or any successor provision) of more than 50% of the Company Shares.</w:t>
      </w:r>
    </w:p>
    <w:p>
      <w:pPr>
        <w:spacing w:after="0" w:line="189" w:lineRule="exact"/>
        <w:rPr>
          <w:sz w:val="20"/>
          <w:szCs w:val="20"/>
          <w:color w:val="auto"/>
        </w:rPr>
      </w:pPr>
    </w:p>
    <w:p>
      <w:pPr>
        <w:ind w:right="1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Sotera Health Company, a Delaware corporation (including any of its successors by merger, acquisition, reorganization, conversion or otherwise).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Sale</w:t>
      </w:r>
      <w:r>
        <w:rPr>
          <w:rFonts w:ascii="Times New Roman" w:cs="Times New Roman" w:eastAsia="Times New Roman" w:hAnsi="Times New Roman"/>
          <w:sz w:val="18"/>
          <w:szCs w:val="18"/>
          <w:color w:val="auto"/>
        </w:rPr>
        <w:t>” has the meaning set forth in Section 2.03(a).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Equivalent</w:t>
      </w:r>
      <w:r>
        <w:rPr>
          <w:rFonts w:ascii="Times New Roman" w:cs="Times New Roman" w:eastAsia="Times New Roman" w:hAnsi="Times New Roman"/>
          <w:sz w:val="18"/>
          <w:szCs w:val="18"/>
          <w:color w:val="auto"/>
        </w:rPr>
        <w:t>” means securities exercisable or exchangeable for or convertible into, Company Shares.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2" w:name="page53"/>
    <w:bookmarkEnd w:id="52"/>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the shares of common stock, par value $0.01 per share, of the Company or any securities resulting from any reclassification, recapitalization, exchange, stock split, stock dividend or similar transactions with respect to such shares of common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Company Notice</w:t>
      </w:r>
      <w:r>
        <w:rPr>
          <w:rFonts w:ascii="Times New Roman" w:cs="Times New Roman" w:eastAsia="Times New Roman" w:hAnsi="Times New Roman"/>
          <w:sz w:val="18"/>
          <w:szCs w:val="18"/>
          <w:color w:val="auto"/>
        </w:rPr>
        <w:t>” has the meaning set forth in Section 2.01(d).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Party</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Period</w:t>
      </w:r>
      <w:r>
        <w:rPr>
          <w:rFonts w:ascii="Times New Roman" w:cs="Times New Roman" w:eastAsia="Times New Roman" w:hAnsi="Times New Roman"/>
          <w:sz w:val="18"/>
          <w:szCs w:val="18"/>
          <w:color w:val="auto"/>
        </w:rPr>
        <w:t>” has the meaning set forth in Section 2.01(c).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 Statement</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Suspension</w:t>
      </w:r>
      <w:r>
        <w:rPr>
          <w:rFonts w:ascii="Times New Roman" w:cs="Times New Roman" w:eastAsia="Times New Roman" w:hAnsi="Times New Roman"/>
          <w:sz w:val="18"/>
          <w:szCs w:val="18"/>
          <w:color w:val="auto"/>
        </w:rPr>
        <w:t>” has the meaning set forth in Section 2.01(e).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the date on which the Sponsors are no longer subject to any underwriter’s lock-up or other similar contractual restriction (excluding the Stockholders Agreement) on the sale of Registrable Securities, in whole or in part, in connection with an IPO.</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U.S. Employee Retirement Income Security Act of 1974, as amended, and any successor thereto, and the regulations promulgated thereunder. Any reference to a section of ERISA shall include a reference to any successor provision thereto.</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and any rules and regulations promulgated thereunder, all as the same shall be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means a registration statement on Form S-1 under the Securities Act, or any comparable or successor form or forms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means a registration statement on Form S-3 under the Securities Act, or any comparable or successor form or forms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Co-Invest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XI/A</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XI/C</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record holder of Registrable Securities that is a party hereto or that succeeds to rights hereunder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3.06.</w:t>
      </w:r>
    </w:p>
    <w:p>
      <w:pPr>
        <w:spacing w:after="0" w:line="20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first underwritten public offering and sale of Company Shares for cash pursuant to an effective registration statement (other than on Form S-4, Form S-8 or a comparable form) under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Initiating Holder</w:t>
      </w:r>
      <w:r>
        <w:rPr>
          <w:rFonts w:ascii="Times New Roman" w:cs="Times New Roman" w:eastAsia="Times New Roman" w:hAnsi="Times New Roman"/>
          <w:sz w:val="18"/>
          <w:szCs w:val="18"/>
          <w:color w:val="auto"/>
        </w:rPr>
        <w:t>” has the meaning set forth in Section 2.02(a).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Initiating Shelf Take-Down Holder</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 issuer free writing prospectus, as defined in Rule 433 under the Securities Act, relating to an offer of Registrable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Long-Form Registration</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set forth in Section 2.09(a).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 Counsel</w:t>
      </w:r>
      <w:r>
        <w:rPr>
          <w:rFonts w:ascii="Times New Roman" w:cs="Times New Roman" w:eastAsia="Times New Roman" w:hAnsi="Times New Roman"/>
          <w:sz w:val="18"/>
          <w:szCs w:val="18"/>
          <w:color w:val="auto"/>
        </w:rPr>
        <w:t>” has the meaning set forth in Section 2.08.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Stockholder</w:t>
      </w:r>
      <w:r>
        <w:rPr>
          <w:rFonts w:ascii="Times New Roman" w:cs="Times New Roman" w:eastAsia="Times New Roman" w:hAnsi="Times New Roman"/>
          <w:sz w:val="18"/>
          <w:szCs w:val="18"/>
          <w:color w:val="auto"/>
        </w:rPr>
        <w:t>” has the meaning set forth in the Stockholders Agreement.</w:t>
      </w:r>
    </w:p>
    <w:p>
      <w:pPr>
        <w:spacing w:after="0" w:line="225" w:lineRule="exact"/>
        <w:rPr>
          <w:sz w:val="20"/>
          <w:szCs w:val="20"/>
          <w:color w:val="auto"/>
        </w:rPr>
      </w:pPr>
    </w:p>
    <w:p>
      <w:pPr>
        <w:jc w:val="both"/>
        <w:ind w:right="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Marketed Underwritten Offering</w:t>
      </w:r>
      <w:r>
        <w:rPr>
          <w:rFonts w:ascii="Times New Roman" w:cs="Times New Roman" w:eastAsia="Times New Roman" w:hAnsi="Times New Roman"/>
          <w:sz w:val="17"/>
          <w:szCs w:val="17"/>
          <w:color w:val="auto"/>
        </w:rPr>
        <w:t>” means any Underwritten Offering (including a Marketed Underwritten Shelf Take-Down, but, for the avoidance of doubt, not including any Shelf Take-Down that is not a Marketed Underwritten Shelf Take-Down) that involves a customary “road show” (including an “electronic road show”) or other substantial marketing effort by the Company and the underwriters over a period of at least 48 hours.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(i) any general suspension of trading in, or limitation on prices for, securities on any national securities exchange or in the over-the-counter market in the United States (other than ordinary course limitations on hours or numbers of days of trading); (ii) the declaration of a banking moratorium or any suspension of payments in respect of banks in the United States; (iii) a material outbreak or escalation of armed hostilities or other international or national calamity involving the United States or the declaration by the United States of a national emergency or war or an epidemic, pandemic or disease outbreak or any worsening thereof or material adverse change in national or international financial, political or economic conditions; and (iv) any event, change, circumstance or effect that is or is reasonably likely to be materially adverse to the business, properties, assets, liabilities, condition (financial or otherwise), operations, results of operations or prospects of the Company and its Subsidiaries taken as a whole.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54" w:name="page55"/>
    <w:bookmarkEnd w:id="54"/>
    <w:p>
      <w:pPr>
        <w:ind w:left="4" w:right="8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Participating Holder</w:t>
      </w:r>
      <w:r>
        <w:rPr>
          <w:rFonts w:ascii="Times New Roman" w:cs="Times New Roman" w:eastAsia="Times New Roman" w:hAnsi="Times New Roman"/>
          <w:sz w:val="18"/>
          <w:szCs w:val="18"/>
          <w:color w:val="auto"/>
        </w:rPr>
        <w:t>” means, with respect to any Registration, any Holder of Registrable Securities covered by the applicable Registration Statement.</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“Participating Sponsor” means, with respect to any Registration, any Sponsor that is a Holder of Registrable Securities covered by the applicable Registration Statement.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“Permitted Assignee” has the meaning set forth in Section 3.06.</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unincorporated organization, trust or joint venture, or a governmental agency or political subdivision thereof or any other entity.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has the meaning set forth in Section 2.03(a).</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including pre- and post-effective amendments to such Registration Statement, and all other material incorporated by reference in such prospectus.</w:t>
      </w:r>
    </w:p>
    <w:p>
      <w:pPr>
        <w:spacing w:after="0" w:line="162"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any Company Shares and any Company Share Equivalents owned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to the extent (i) a Registration Statement with respect to the sale of such Registrable Securities has become effective under the Securities Act and such Registrable Securities have been disposed of in accordance with the plan of distribution set forth in such Registration Statement, (ii) such Registrable Securities have been distributed pursuant to Rule 144 or Rule 145 of the Securities Act (or any successor rule) and new certificates for them not bearing a legend restricting transfer shall have been delivered by the Company, (iii) such Registrable Securities shall have been otherwise transferred and new certificates for them not bearing a legend restricting transfer shall have been delivered by the Company and such securities may be publicly resold without Registration under the Securities Act,</w:t>
      </w:r>
    </w:p>
    <w:p>
      <w:pPr>
        <w:spacing w:after="0" w:line="3" w:lineRule="exact"/>
        <w:rPr>
          <w:sz w:val="20"/>
          <w:szCs w:val="20"/>
          <w:color w:val="auto"/>
        </w:rPr>
      </w:pPr>
    </w:p>
    <w:p>
      <w:pPr>
        <w:ind w:left="4" w:right="40" w:hanging="4"/>
        <w:spacing w:after="0" w:line="251"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Statement on Form S-8 (or any successor form) covering such securities is effective, (v) in the case of a Holder who is not a Sponsor or an affiliate (as such term is defined in Rule 12b-2 under the Exchange Act) of the Company, all remaining Registrable Securities held by such Holder may immediately be sold under Rule 144 (or any similar provision then in force) under the Securities Act and without any volume or manner of sale restrictions or (vi) such security ceases to be outstanding. For the avoidance of doubt, it is understood that, (i) Registrable Securities include any Company Shares or Company Share Equivalents that are held by a Holder as of the date of this Agreement subject to vesting conditions,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all vesting conditions must be satisfied and such Registrable Securities vested prior to sale pursuant to this Agreement, and (ii) with respect to any Registrable Securities for which a Holder holds vested but unexercised options or other Company Share Equivalents at such time exercisable for, convertible into or exchangeable for Company Shares, to the extent that such Registrable Securities are to be sold pursuant to this Agreement, such Holder must exercise the relevant option or exercise, convert or exchange such other relevant Company Share Equivalent and transfer the underlying Registrable Securities (in each case, net of any amounts required to be withheld by the Company in connection with such exercise).</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55" w:name="page56"/>
    <w:bookmarkEnd w:id="55"/>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 registration with the SEC of the Company’s securities for offer and sale to the public under a Registration Statement. The term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shall have a correlative meaning.</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Eligible Shares</w:t>
      </w:r>
      <w:r>
        <w:rPr>
          <w:rFonts w:ascii="Times New Roman" w:cs="Times New Roman" w:eastAsia="Times New Roman" w:hAnsi="Times New Roman"/>
          <w:sz w:val="18"/>
          <w:szCs w:val="18"/>
          <w:color w:val="auto"/>
        </w:rPr>
        <w:t>” means, which respect to a Management Stockholder or any other Stockholder (other than the Sponsors), a number of Registrable Securities equal to the product of (i) the number of Registrable Securities then owned by such Management Stockholder or other Stockholder multiplied by (ii) a fraction, the numerator of which is the number of Registrable Securities sold by the Sponsors in such Registration and the denominator of which is the total number of Registrable Securities held by the Sponsors immediately prior to such Registration.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has the meaning set forth in Section 2.08.</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 provided, however, that the “Registration Statement” without reference to a time includes such Registration Statement as amended by any post-effective amendments as of the time of first contract of sale for the Registrable Securities.</w:t>
      </w:r>
    </w:p>
    <w:p>
      <w:pPr>
        <w:spacing w:after="0" w:line="183"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successor provisions)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and any rules and regulations promulgated thereunder, all as the same shall be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Holder</w:t>
      </w:r>
      <w:r>
        <w:rPr>
          <w:rFonts w:ascii="Times New Roman" w:cs="Times New Roman" w:eastAsia="Times New Roman" w:hAnsi="Times New Roman"/>
          <w:sz w:val="18"/>
          <w:szCs w:val="18"/>
          <w:color w:val="auto"/>
        </w:rPr>
        <w:t>” has the meaning set forth in Section 2.02(c).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has the meaning set forth in Section 2.02(a).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Period</w:t>
      </w:r>
      <w:r>
        <w:rPr>
          <w:rFonts w:ascii="Times New Roman" w:cs="Times New Roman" w:eastAsia="Times New Roman" w:hAnsi="Times New Roman"/>
          <w:sz w:val="18"/>
          <w:szCs w:val="18"/>
          <w:color w:val="auto"/>
        </w:rPr>
        <w:t>” has the meaning set forth in Section 2.02(b).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means a Registration effected pursuant to Section 2.02.</w:t>
      </w:r>
    </w:p>
    <w:p>
      <w:pPr>
        <w:spacing w:after="0" w:line="225" w:lineRule="exact"/>
        <w:rPr>
          <w:sz w:val="20"/>
          <w:szCs w:val="20"/>
          <w:color w:val="auto"/>
        </w:rPr>
      </w:pPr>
    </w:p>
    <w:p>
      <w:pPr>
        <w:ind w:right="6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means a Registration Statement of the Company filed with the SEC on either (i) Form S-3 (or any successor form or other appropriate form under the Securities Act) or (ii) if the Company is not permitted to file a Registration Statement on</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56" w:name="page57"/>
    <w:bookmarkEnd w:id="5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S-3, an evergreen Registration Statement on Form S-1 (or any successor form or other appropriate form under the Securities Act), in each case for an offering to be made on a continuous basis pursuant to Rule 415 (or any successor provision) under the Securities Act covering all or any portion of the Registrable Securities, as applicable.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Suspension</w:t>
      </w:r>
      <w:r>
        <w:rPr>
          <w:rFonts w:ascii="Times New Roman" w:cs="Times New Roman" w:eastAsia="Times New Roman" w:hAnsi="Times New Roman"/>
          <w:sz w:val="18"/>
          <w:szCs w:val="18"/>
          <w:color w:val="auto"/>
        </w:rPr>
        <w:t>” has the meaning set forth in Section 2.02(d).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 Notice</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Short-Form Registration</w:t>
      </w:r>
      <w:r>
        <w:rPr>
          <w:rFonts w:ascii="Times New Roman" w:cs="Times New Roman" w:eastAsia="Times New Roman" w:hAnsi="Times New Roman"/>
          <w:sz w:val="18"/>
          <w:szCs w:val="18"/>
          <w:color w:val="auto"/>
        </w:rPr>
        <w:t>” has the meaning set forth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Registration</w:t>
      </w:r>
      <w:r>
        <w:rPr>
          <w:rFonts w:ascii="Times New Roman" w:cs="Times New Roman" w:eastAsia="Times New Roman" w:hAnsi="Times New Roman"/>
          <w:sz w:val="18"/>
          <w:szCs w:val="18"/>
          <w:color w:val="auto"/>
        </w:rPr>
        <w:t>” has the meaning set forth in Section 2.12.</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means (i) GTCR XI/A, GTCR XI/C, GTCR Co-Invest, any successor funds thereto, and their respective Affiliates that are direct or indirect equity investors in the Company, considered together and (ii) WP XI, Warburg XI Partners, WP XI Partners, WP XI-B, WP XI-C and WP Co-Invest (provided that WP Co-Invest shall cease to be included in the definition of Sponsor at such time as Warburg Pincus LLC or an Affiliate of Warburg Pincus LLC ceases to be the managing member of, the general partner of or otherwise control WP Co-Invest) any successor funds thereto, and their respective Affiliates that are direct or indirect equity investors in the Company, considered together (excluding, for the avoidance of doubt, with respect to clauses (i) and (ii), any Management Stockholder).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Underwritten Offering</w:t>
      </w:r>
      <w:r>
        <w:rPr>
          <w:rFonts w:ascii="Times New Roman" w:cs="Times New Roman" w:eastAsia="Times New Roman" w:hAnsi="Times New Roman"/>
          <w:sz w:val="18"/>
          <w:szCs w:val="18"/>
          <w:color w:val="auto"/>
        </w:rPr>
        <w:t>” has the meaning set forth in Section 2.12.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has the meaning set forth in the Stockholders Agreement.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the Stockholders Agreement, dated as of [the date hereof], as amended, modified or supplemented from time to time in accordance with its terms, by and among the Company and the stockholders of the Company party thereto.</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(or has the right to be allocated, through membership interests, partnership interests or otherwise) a majority of limited liability company, partnership, association or other business entity gains or losses or shall be or control the managing member or general partner of such limited liability company, partnership, association or other business entity.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57" w:name="page58"/>
    <w:bookmarkEnd w:id="57"/>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or underwriters on a firm commitment basis for reoffering to the public.</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has the meaning set forth in Section 2.02(e).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XI Partners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Co-Invest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XI</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XI-B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XI-C</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XI Partners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Other Interpretive Provisions</w:t>
      </w:r>
      <w:r>
        <w:rPr>
          <w:rFonts w:ascii="Times New Roman" w:cs="Times New Roman" w:eastAsia="Times New Roman" w:hAnsi="Times New Roman"/>
          <w:sz w:val="17"/>
          <w:szCs w:val="17"/>
          <w:color w:val="auto"/>
        </w:rPr>
        <w:t>. (a) In this Agreement, except as otherwise provided:</w:t>
      </w:r>
    </w:p>
    <w:p>
      <w:pPr>
        <w:spacing w:after="0" w:line="117" w:lineRule="exact"/>
        <w:rPr>
          <w:sz w:val="20"/>
          <w:szCs w:val="20"/>
          <w:color w:val="auto"/>
        </w:rPr>
      </w:pPr>
    </w:p>
    <w:p>
      <w:pPr>
        <w:ind w:left="440" w:right="640" w:firstLine="419"/>
        <w:spacing w:after="0" w:line="282" w:lineRule="auto"/>
        <w:tabs>
          <w:tab w:leader="none" w:pos="12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Article, Section, Schedule or Exhibit is a reference to an Article or Section of, or Schedule or Exhibit to, this Agreement, and references to this Agreement include any recital in or Schedule or Exhibit to this Agreement.</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form an integral part of and are hereby incorporated by reference into this Agreement.</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the Table of Contents are inserted for convenience only and shall not affect the construction or interpretation of this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8"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3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words importing the singular include the plural and vice versa, words importing the masculine include the feminine and vice versa, and words importing persons include corporations, associations, partnerships, joint ventures and limited liability companies and vice versa.</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2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the words “hereof” and “herein,” and words of similar meaning refer to this Agreement as a whole and not to any particular Article, Section or clause. The words “include,” “includes” and “including” shall be deemed to be followed by the words “without limitation.”</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2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legislation or to any provision of any legislation shall include any successor legislation and any amendment, modification or re-enactment thereof and any legislative provision substituted therefor.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58" w:name="page59"/>
    <w:bookmarkEnd w:id="58"/>
    <w:p>
      <w:pPr>
        <w:ind w:left="440" w:right="160" w:firstLine="419"/>
        <w:spacing w:after="0" w:line="266" w:lineRule="auto"/>
        <w:tabs>
          <w:tab w:leader="none" w:pos="13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determinations to be made by WP or any Sponsor hereunder may be made by such Person in its sole discretion, and such Person may determine, in its sole discretion, whether or not to take actions that are permitted, but not required, by this Agreement to be taken by such Person, including the giving of consents required hereunder.</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3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In the event an ambiguity or question of intention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Demand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987"/>
        <w:spacing w:after="0" w:line="253" w:lineRule="auto"/>
        <w:tabs>
          <w:tab w:leader="none" w:pos="1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by Sponsor</w:t>
      </w:r>
      <w:r>
        <w:rPr>
          <w:rFonts w:ascii="Times New Roman" w:cs="Times New Roman" w:eastAsia="Times New Roman" w:hAnsi="Times New Roman"/>
          <w:sz w:val="18"/>
          <w:szCs w:val="18"/>
          <w:color w:val="auto"/>
        </w:rPr>
        <w:t>. At or after the Effectiveness Date, if there is no currently effective Shelf Registration Statement on file with the SEC, then either Sponsor (such Sponsor, a “</w:t>
      </w:r>
      <w:r>
        <w:rPr>
          <w:rFonts w:ascii="Times New Roman" w:cs="Times New Roman" w:eastAsia="Times New Roman" w:hAnsi="Times New Roman"/>
          <w:sz w:val="18"/>
          <w:szCs w:val="18"/>
          <w:u w:val="single" w:color="auto"/>
          <w:color w:val="auto"/>
        </w:rPr>
        <w:t>Demand Party</w:t>
      </w:r>
      <w:r>
        <w:rPr>
          <w:rFonts w:ascii="Times New Roman" w:cs="Times New Roman" w:eastAsia="Times New Roman" w:hAnsi="Times New Roman"/>
          <w:sz w:val="18"/>
          <w:szCs w:val="18"/>
          <w:color w:val="auto"/>
        </w:rPr>
        <w:t>”) may, subject to Section 2.11, make a written request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to the Company for Registration of all or part of the Registrable Securities held by such Demand Party (i) on Form S-1 (a “</w:t>
      </w:r>
      <w:r>
        <w:rPr>
          <w:rFonts w:ascii="Times New Roman" w:cs="Times New Roman" w:eastAsia="Times New Roman" w:hAnsi="Times New Roman"/>
          <w:sz w:val="18"/>
          <w:szCs w:val="18"/>
          <w:u w:val="single" w:color="auto"/>
          <w:color w:val="auto"/>
        </w:rPr>
        <w:t>Long-Form Registration</w:t>
      </w:r>
      <w:r>
        <w:rPr>
          <w:rFonts w:ascii="Times New Roman" w:cs="Times New Roman" w:eastAsia="Times New Roman" w:hAnsi="Times New Roman"/>
          <w:sz w:val="18"/>
          <w:szCs w:val="18"/>
          <w:color w:val="auto"/>
        </w:rPr>
        <w:t>”) or (ii) on Form S-3 (a “</w:t>
      </w:r>
      <w:r>
        <w:rPr>
          <w:rFonts w:ascii="Times New Roman" w:cs="Times New Roman" w:eastAsia="Times New Roman" w:hAnsi="Times New Roman"/>
          <w:sz w:val="18"/>
          <w:szCs w:val="18"/>
          <w:u w:val="single" w:color="auto"/>
          <w:color w:val="auto"/>
        </w:rPr>
        <w:t>Short-Form Registration</w:t>
      </w:r>
      <w:r>
        <w:rPr>
          <w:rFonts w:ascii="Times New Roman" w:cs="Times New Roman" w:eastAsia="Times New Roman" w:hAnsi="Times New Roman"/>
          <w:sz w:val="18"/>
          <w:szCs w:val="18"/>
          <w:color w:val="auto"/>
        </w:rPr>
        <w:t>”) if the Company qualifies to use such short form for the Registration of such Registrable Securities on behalf of the Sponsors (any such requested Long-Form Registration or Short-Form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Each Demand Notice shall specify the kind and aggregate amount of Registrable Securities of the Demand Party to be registered and the intended methods of disposition thereof. Subject to Section 2.11, after delivery of such Demand Notice, the Company (x) shall file promptly (and, in any event, within (i) ninety (90) days in the case of a request for a Long-Form Registration or (ii) thirty (30) days in the case of a request for a Short-Form Registration, in each case, following delivery of such Demand Notice) with the SEC a Registration Statement relating to such Demand Registration (a “</w:t>
      </w:r>
      <w:r>
        <w:rPr>
          <w:rFonts w:ascii="Times New Roman" w:cs="Times New Roman" w:eastAsia="Times New Roman" w:hAnsi="Times New Roman"/>
          <w:sz w:val="18"/>
          <w:szCs w:val="18"/>
          <w:u w:val="single" w:color="auto"/>
          <w:color w:val="auto"/>
        </w:rPr>
        <w:t>Demand Registration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Demand Notice is delivered prior to the Effectiveness Date, the Company shall not be obligated to file (but shall be obligated to prepare) such Demand Registration Statement prior to the Effectiveness Date), and (y) shall use its reasonable best efforts to cause such Demand Registration Statement to promptly become effective under the Securities Act and to qualify under the “Blue Sky” laws of such jurisdictions as any Participating Holder or any underwriter, if any, reasonably requests.</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Withdrawal</w:t>
      </w:r>
      <w:r>
        <w:rPr>
          <w:rFonts w:ascii="Times New Roman" w:cs="Times New Roman" w:eastAsia="Times New Roman" w:hAnsi="Times New Roman"/>
          <w:sz w:val="18"/>
          <w:szCs w:val="18"/>
          <w:color w:val="auto"/>
        </w:rPr>
        <w:t xml:space="preserve">. A Demand Party may withdraw its Registrable Securities from a Demand Registration at any time prior to the effectiveness of the applicable Demand Registration Statement. Upon delivery of a notice by the Demand Party to such effect, the Company may elect to cease all efforts to secure effectiveness of the applicable Demand Registration Statement, and such Registration nonetheless shall be deemed a Demand Registration with respect to such Demand Party for purposes of Section 2.11 unless (i) such Demand Party shall have paid or reimbursed the Company for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all reasonable and documented out-of-pocket fees and expenses incurred by the Company in connection with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9" w:name="page60"/>
    <w:bookmarkEnd w:id="59"/>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Registration of such withdrawn Registrable Securities (based on the number of securities the Demand Party sought to register, as compared to the total number of securities included (or proposed to be included) on such Demand Registration Statement) or (ii) the withdrawal is made (A) following the occurrence of a Material Adverse Change, (B) because the Registration would require the Company to make an Adverse Disclosure, (C) if, as of the date of such withdrawal, the per share stock price of the Company Shares has declined by fifteen percent (15)% or more as compared to the closing per share stock price of the Company Shares on the date of the delivery of the Demand Notice with respect to such Demand Registration or (D) as a result of the application of Section 2.01(h), the number of Company Shares such Demand Party is permitted to sell in such Demand Registration is thirty percent (30)% fewer than the number that such Demand Party specified in the applicable Demand Notice. In addition, any other Holder that has requested its Registrable Securities be included in a Demand Registration pursuant to Section 2.01(d) may withdraw its Registrable Securities from a Demand Registration at any time prior to the effectiveness of the applicable Demand Registration Statement.</w:t>
      </w:r>
    </w:p>
    <w:p>
      <w:pPr>
        <w:spacing w:after="0" w:line="188" w:lineRule="exact"/>
        <w:rPr>
          <w:sz w:val="20"/>
          <w:szCs w:val="20"/>
          <w:color w:val="auto"/>
        </w:rPr>
      </w:pPr>
    </w:p>
    <w:p>
      <w:pPr>
        <w:ind w:left="4" w:right="40" w:firstLine="987"/>
        <w:spacing w:after="0" w:line="253" w:lineRule="auto"/>
        <w:tabs>
          <w:tab w:leader="none" w:pos="13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The Company shall be deemed to have effected a Demand Registration with respect to the applicable Demand Party for purposes of Section 2.11 if the Demand Registration Statement becomes effective by the SEC and remains effective for not less than one hundred eighty (180) days (or such shorter period as shall terminate when all Registrable Securities covered by such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8"/>
          <w:szCs w:val="18"/>
          <w:u w:val="single" w:color="auto"/>
          <w:color w:val="auto"/>
        </w:rPr>
        <w:t>Demand Period</w:t>
      </w:r>
      <w:r>
        <w:rPr>
          <w:rFonts w:ascii="Times New Roman" w:cs="Times New Roman" w:eastAsia="Times New Roman" w:hAnsi="Times New Roman"/>
          <w:sz w:val="18"/>
          <w:szCs w:val="18"/>
          <w:color w:val="auto"/>
        </w:rPr>
        <w:t>”). No Demand Registration shall be deemed to have been effected for purposes of Section 2.11 if</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Demand Period such Registration or the successful completion of the relevant sale is prevented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Demand Party.</w:t>
      </w:r>
    </w:p>
    <w:p>
      <w:pPr>
        <w:spacing w:after="0" w:line="188"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Company Notice</w:t>
      </w:r>
      <w:r>
        <w:rPr>
          <w:rFonts w:ascii="Times New Roman" w:cs="Times New Roman" w:eastAsia="Times New Roman" w:hAnsi="Times New Roman"/>
          <w:sz w:val="18"/>
          <w:szCs w:val="18"/>
          <w:color w:val="auto"/>
        </w:rPr>
        <w:t>. Subject to Section 2.11, promptly upon receipt of any Demand Notice (but in no event more than five</w:t>
      </w:r>
    </w:p>
    <w:p>
      <w:pPr>
        <w:spacing w:after="0" w:line="27" w:lineRule="exact"/>
        <w:rPr>
          <w:sz w:val="20"/>
          <w:szCs w:val="20"/>
          <w:color w:val="auto"/>
        </w:rPr>
      </w:pPr>
    </w:p>
    <w:p>
      <w:pPr>
        <w:ind w:left="4" w:right="40" w:hanging="4"/>
        <w:spacing w:after="0" w:line="251"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thereafter), the Company shall deliver a written notice (a “</w:t>
      </w:r>
      <w:r>
        <w:rPr>
          <w:rFonts w:ascii="Times New Roman" w:cs="Times New Roman" w:eastAsia="Times New Roman" w:hAnsi="Times New Roman"/>
          <w:sz w:val="18"/>
          <w:szCs w:val="18"/>
          <w:u w:val="single" w:color="auto"/>
          <w:color w:val="auto"/>
        </w:rPr>
        <w:t>Demand Company Notice</w:t>
      </w:r>
      <w:r>
        <w:rPr>
          <w:rFonts w:ascii="Times New Roman" w:cs="Times New Roman" w:eastAsia="Times New Roman" w:hAnsi="Times New Roman"/>
          <w:sz w:val="18"/>
          <w:szCs w:val="18"/>
          <w:color w:val="auto"/>
        </w:rPr>
        <w:t xml:space="preserve">”) of any such Registration request to the other Sponsor and the Company shall include in such Demand Registration, all such Registrable Securities of such other Sponsor that the Company has received a written request for inclusion therein within ten (10) Business Days after such written notice is delivered to such other Sponsor. Promptly after receipt of any such written request by the other Sponsor (but in no event more than ten (10) Business Days after delivery of the Demand Notice), the Company shall deliver a written notice of such Demand Notice to all Holders other than the Sponsors (which notice shall specify the Registration Eligible Shares applicable to such Demand Registration), and the Company shall include in such Demand Registration all such Registrable Securities of such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include in such Demand Registration, Registrable Securities of any Holder (other than a Sponsor) in an amount in excess of such Holder’s Registration Eligible Shares. All requests made pursuant to this Section 2.01(d) shall specify the kind and the aggregate amount of Registrable Securities of such Holder to be registered.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60" w:name="page61"/>
    <w:bookmarkEnd w:id="60"/>
    <w:p>
      <w:pPr>
        <w:ind w:left="-20" w:firstLine="987"/>
        <w:spacing w:after="0" w:line="251" w:lineRule="auto"/>
        <w:tabs>
          <w:tab w:leader="none" w:pos="13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Delay in Filing; Suspension of Registration</w:t>
      </w:r>
      <w:r>
        <w:rPr>
          <w:rFonts w:ascii="Times New Roman" w:cs="Times New Roman" w:eastAsia="Times New Roman" w:hAnsi="Times New Roman"/>
          <w:sz w:val="18"/>
          <w:szCs w:val="18"/>
          <w:color w:val="auto"/>
        </w:rPr>
        <w:t>. If the Company shall furnish to the Participating Holders a certificate signed by the chief executive officer, chief financial officer or chief legal officer of the Company stating that the filing, initial effectiveness or continued use of a Demand Registration Statement would require the Company to make an Adverse Disclosure, then the Company may delay the filing (but not the preparation of) or initial effectiveness of, or suspend use of, the Demand Registration Statement (a “</w:t>
      </w:r>
      <w:r>
        <w:rPr>
          <w:rFonts w:ascii="Times New Roman" w:cs="Times New Roman" w:eastAsia="Times New Roman" w:hAnsi="Times New Roman"/>
          <w:sz w:val="18"/>
          <w:szCs w:val="18"/>
          <w:u w:val="single" w:color="auto"/>
          <w:color w:val="auto"/>
        </w:rPr>
        <w:t>Demand 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unless otherwise approved in writing by both of the Sponsors, shall not be permitted to exercise aggregate Demand Suspensions and Shelf Suspensions for more than twenty (20) Business Days during any three (3) month period, or for more than an aggregate of ninety (90) Business Days during any twelve (12) -month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of a Demand Suspension, such Demand Suspension shall terminate at such earlier time as the Company would no longer be required to make any Adverse Disclosure. Each Participating Holder shall keep confidential the fact that a Demand Suspension is in effect, the certificate referred to above and its contents unless and until otherwise notified by the Company, except (A) disclosure to such Holder’s Affiliates, and its and their respective employees, agents and professional advisers who reasonably need to know such information for purposes of assisting the Holder with respect to its investment in the Company Shares and agree to keep it confidential, (B) disclosures to the extent required in order to comply with reporting obligations to its limited partners or other direct or indirect investors who have agreed to keep such information confidential, (C) if and to the extent such matters are disclosed by the Company or any of its Subsidiaries or any other Person on a non-confidential basis without breach of any confidentiality obligations by such disclosing party, (D) disclosures that are necessary to comply with any law, rule or regulation, including formal and informal investigations or requests from any regulatory authority, (E) disclosures to potential limited partners or investors of a Holder who have agreed to keep such information confidential and (F) disclosures to potential transferees of a Holder’s Registrable Securities who have agreed to keep such information confidential. In the case of a Demand Suspension, the Holders agree to suspend use of the applicable Prospectus and any Issuer Free Writing Prospectus in connection with any sale or purchase of, or offer to sell or purchase, Registrable Securities, upon receipt of the notice referred to above. The Company shall promptly notify the Holders upon the termination of any Demand Suspension, amend or supplement the Prospectus and any Issuer Free Writing Prospectus, if necessary, so it does not contain any untrue statement or omission and furnish to the Holders such numbers of copies of the Prospectus and any Issuer Free Writing Prospectus as so amended or supplemented as the Holders may reasonably request. In the event the Company shall give to the Participating Holders a certificate referred to above, the period during which the applicable Demand Registration Statement is required to be maintained effective shall be extended by the number of days during the period from and including the date of the giving of such certificate to and including the date when each seller of Registrable Securities covered by such Demand Registration Statement either receives the copies of the supplemented or amended Prospectus or Issuer Free Writing Prospectus or is advised in writing by the Company that the use of the Prospectus or Issuer Free Writing Prospectus may be resumed.</w:t>
      </w:r>
    </w:p>
    <w:p>
      <w:pPr>
        <w:spacing w:after="0" w:line="203" w:lineRule="exact"/>
        <w:rPr>
          <w:rFonts w:ascii="Times New Roman" w:cs="Times New Roman" w:eastAsia="Times New Roman" w:hAnsi="Times New Roman"/>
          <w:sz w:val="18"/>
          <w:szCs w:val="18"/>
          <w:color w:val="auto"/>
        </w:rPr>
      </w:pPr>
    </w:p>
    <w:p>
      <w:pPr>
        <w:ind w:left="-20" w:right="240" w:firstLine="987"/>
        <w:spacing w:after="0" w:line="261" w:lineRule="auto"/>
        <w:tabs>
          <w:tab w:leader="none" w:pos="133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Demand Registration Statement</w:t>
      </w:r>
      <w:r>
        <w:rPr>
          <w:rFonts w:ascii="Times New Roman" w:cs="Times New Roman" w:eastAsia="Times New Roman" w:hAnsi="Times New Roman"/>
          <w:sz w:val="18"/>
          <w:szCs w:val="18"/>
          <w:color w:val="auto"/>
        </w:rPr>
        <w:t>. The Company agrees, if necessary, to supplement or make amendments to the Demand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Sponsor.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61" w:name="page62"/>
    <w:bookmarkEnd w:id="61"/>
    <w:p>
      <w:pPr>
        <w:ind w:right="360" w:firstLine="987"/>
        <w:spacing w:after="0" w:line="256" w:lineRule="auto"/>
        <w:tabs>
          <w:tab w:leader="none" w:pos="13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Underwritten Offering</w:t>
      </w:r>
      <w:r>
        <w:rPr>
          <w:rFonts w:ascii="Times New Roman" w:cs="Times New Roman" w:eastAsia="Times New Roman" w:hAnsi="Times New Roman"/>
          <w:sz w:val="18"/>
          <w:szCs w:val="18"/>
          <w:color w:val="auto"/>
        </w:rPr>
        <w:t xml:space="preserve">. If the Demand Party so requests, an offering of Registrable Securities pursuant to a Demand Registration shall be in the form of an Underwritten Offering, and such Demand Party shall have the right to select the managing underwriter or underwriters to administer the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managing underwriter or underwriters shall be reasonably acceptable to the Company and the other Participating Sponsor (if any). If the Demand Party intends to sell the Registrable Securities covered by its demand by means of an Underwritten Offering, such Demand Party shall so advise the Company as part of its Demand Notice, and the Company shall include such information in the Demand Company Notice.</w:t>
      </w:r>
    </w:p>
    <w:p>
      <w:pPr>
        <w:spacing w:after="0" w:line="187" w:lineRule="exact"/>
        <w:rPr>
          <w:rFonts w:ascii="Times New Roman" w:cs="Times New Roman" w:eastAsia="Times New Roman" w:hAnsi="Times New Roman"/>
          <w:sz w:val="18"/>
          <w:szCs w:val="18"/>
          <w:color w:val="auto"/>
        </w:rPr>
      </w:pPr>
    </w:p>
    <w:p>
      <w:pPr>
        <w:ind w:right="20" w:firstLine="987"/>
        <w:spacing w:after="0" w:line="252" w:lineRule="auto"/>
        <w:tabs>
          <w:tab w:leader="none" w:pos="13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Securities Registered Pursuant to Demand Registrations</w:t>
      </w:r>
      <w:r>
        <w:rPr>
          <w:rFonts w:ascii="Times New Roman" w:cs="Times New Roman" w:eastAsia="Times New Roman" w:hAnsi="Times New Roman"/>
          <w:sz w:val="18"/>
          <w:szCs w:val="18"/>
          <w:color w:val="auto"/>
        </w:rPr>
        <w:t xml:space="preserve">. If the managing underwriter or underwriters of a proposed Underwritten Offering of the Registrable Securities included in a Demand Registration advise the Board of Directors in writing that, in its or their opinion, the number of securities requested to be included in such Demand Registration exceeds the number that can be sold in such offering without being likely to have a significant adverse effect on the price, timing or distribution of the securities offered or the market for the securities offered, the securities to be included in such Demand Registration shall be allocated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the Holders (including the Sponsors, the Management Stockholders and any other Stockholders, as applicable) that have requested to participate in such Demand Registration based on the relative number of Registrable Securities then held by each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securities thereby allocated to a Holder that exceed such Holder’s request shall be reallocated among the remaining requesting Holders in a like manner;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Sponsor may freely re-allocate any number of Registrable Securities held by such Sponsor (or any of its Affiliates and Permitted Assignees) that may be included in such Demand Registration to any of its Affiliates (or any of their respective Permitted Assignees) for purposes of determining the pro rata allocation of the securities to be included in such Demand Registration,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and only if all the securities referred to in clause (i) have been included in such Registration, to the Company up to the number of securities that the Company proposes to include in such Registration that, in the opinion of the managing underwriter or underwriters, can be sold without having such adverse effect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and only if all of the securities referred to in clause (ii) have been included in such Registration, to those Persons holding any other securities eligible for inclusion in such Registration, up to the number of securities that in the opinion of the managing underwriter or underwriters, can be sold without having such adverse effect.</w:t>
      </w:r>
    </w:p>
    <w:p>
      <w:pPr>
        <w:spacing w:after="0" w:line="304"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8" w:lineRule="auto"/>
        <w:tabs>
          <w:tab w:leader="none" w:pos="13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At or after the first anniversary of the IPO, either Sponsor (such Sponsor, the “</w:t>
      </w:r>
      <w:r>
        <w:rPr>
          <w:rFonts w:ascii="Times New Roman" w:cs="Times New Roman" w:eastAsia="Times New Roman" w:hAnsi="Times New Roman"/>
          <w:sz w:val="18"/>
          <w:szCs w:val="18"/>
          <w:u w:val="single" w:color="auto"/>
          <w:color w:val="auto"/>
        </w:rPr>
        <w:t>Initiating Holder</w:t>
      </w:r>
      <w:r>
        <w:rPr>
          <w:rFonts w:ascii="Times New Roman" w:cs="Times New Roman" w:eastAsia="Times New Roman" w:hAnsi="Times New Roman"/>
          <w:sz w:val="18"/>
          <w:szCs w:val="18"/>
          <w:color w:val="auto"/>
        </w:rPr>
        <w:t>”) may, subject to Section 2.11, make a written request (a “</w:t>
      </w: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to the Company to file a Shelf Registration Statement, which Shelf Notice shall specify the kind and the aggregate amount of Registrable Securities of the Initiating Holder to be registered therein and the intended methods of distribution thereof. Following the delivery of a Shelf Notice, the Company (x) shall file promptly (and, in any event, within (i) ninety (90) days, if the Company does not qualify to effect a Short-Form Registration, a Long-Form Registration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2" w:name="page63"/>
    <w:bookmarkEnd w:id="6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(ii) thirty (30) days, if the Company qualifies to effect a Short-Form Registration, a Short-Form Registration, in each case, following delivery of such Shelf Notice) with the SEC such Shelf Registration Statement (which shall be an automatic Shelf Registration Statement if the Company qualifies at such time to file such a Shelf Registration Statement) relating to the offer and sale of all Registrable Securities requested for inclusion therein by the Initiating Holder and, to the extent requested under Section 2.02(c), the other Holders, in each case from time to time in accordance with the methods of distribution elected by such Holders (to the extent permitted in this Section 2.02)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Shelf Notice is delivered prior to the Effectiveness Date, the Company shall not be obligated to file (but shall be obligated to prepare) such Shelf Registration Statement prior to the Effectiveness Date) and (y) shall use its reasonable best efforts to cause such Shelf Registration Statement promptly to become effective under the Securities Act. If, on the date of any such request, the Company does not qualify to file a Shelf Registration Statement under the Securities Act, the provisions of this Section 2.02 shall not apply, and the provisions of Section 2.01 shall apply instead.</w:t>
      </w:r>
    </w:p>
    <w:p>
      <w:pPr>
        <w:spacing w:after="0" w:line="188" w:lineRule="exact"/>
        <w:rPr>
          <w:sz w:val="20"/>
          <w:szCs w:val="20"/>
          <w:color w:val="auto"/>
        </w:rPr>
      </w:pPr>
    </w:p>
    <w:p>
      <w:pPr>
        <w:ind w:left="4" w:firstLine="987"/>
        <w:spacing w:after="0" w:line="253" w:lineRule="auto"/>
        <w:tabs>
          <w:tab w:leader="none" w:pos="138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The Company shall use its reasonable best efforts to keep any Shelf Registration Statement filed pursuant to Section 2.02(a) continuously effective under the Securities Act in order to permit the Prospectus forming a part thereof to be usable in connection with any Shelf Take-Down, subject to Section 2.02(d), until the earliest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(ii) the date as of which each of the Shelf Holders is permitted to sell all of its Registrable Securities without Registration pursuant to Rule 144 without volume limitation or other restrictions on transfer thereunder and (iii) such shorter period as the Participating Sponsors with respect to such Shelf Registration shall agree in writing (such period of effectiveness, the “</w:t>
      </w:r>
      <w:r>
        <w:rPr>
          <w:rFonts w:ascii="Times New Roman" w:cs="Times New Roman" w:eastAsia="Times New Roman" w:hAnsi="Times New Roman"/>
          <w:sz w:val="18"/>
          <w:szCs w:val="18"/>
          <w:u w:val="single" w:color="auto"/>
          <w:color w:val="auto"/>
        </w:rPr>
        <w:t>Shelf Period</w:t>
      </w:r>
      <w:r>
        <w:rPr>
          <w:rFonts w:ascii="Times New Roman" w:cs="Times New Roman" w:eastAsia="Times New Roman" w:hAnsi="Times New Roman"/>
          <w:sz w:val="18"/>
          <w:szCs w:val="18"/>
          <w:color w:val="auto"/>
        </w:rPr>
        <w:t>”). Subject to Section 2.02(d), the Company shall not be deemed to have used its reasonable best efforts to keep the Shelf Registration Statement effective during the Shelf Period if the Company voluntarily takes any action or omits to take any action that would result in Shelf Holders not being able to offer and sell Registrable Securities pursuant to such Shelf Registration Statement during the Shelf Period, unless such action or omission is (x) a Shelf Suspension permitted pursuant to Section 2.02(d) or (y) required by applicable law, rule or regulation.</w:t>
      </w:r>
    </w:p>
    <w:p>
      <w:pPr>
        <w:spacing w:after="0" w:line="19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Notices</w:t>
      </w:r>
      <w:r>
        <w:rPr>
          <w:rFonts w:ascii="Times New Roman" w:cs="Times New Roman" w:eastAsia="Times New Roman" w:hAnsi="Times New Roman"/>
          <w:sz w:val="18"/>
          <w:szCs w:val="18"/>
          <w:color w:val="auto"/>
        </w:rPr>
        <w:t>. Promptly upon receipt of any Shelf Notice pursuant to Section 2.02(a) (but in no event more than five</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thereafter), the Company shall deliver a written notice of such Shelf Notice to the other Sponsor and the Company shall include in such Shelf Registration all such Registrable Securities of such other Sponsor which the Company has received a written request for inclusion therein within five (5) Business Days after such written notice is delivered to such other Sponsor. Promptly after receipt of any such written request by the other Sponsor (but in no event more than ten (10) Business Days after delivery of the Shelf Notice), the Company shall deliver a written notice of such Shelf Notice to all Holders other than the Sponsors (which notice shall specify the Registration Eligible Shares applicable to such Shelf Registration), and the Company shall include in such Shelf Registration all such Registrable Securities of such Holders which the Company has received written requests for inclusion therein within five (5) Business Days after such written notice is delivered to such Holders (each such Holder delivering such a request and the other Sponsor if a Participating</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63" w:name="page64"/>
    <w:bookmarkEnd w:id="6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Sponsor, together with the Initiating Holder, a “</w:t>
      </w:r>
      <w:r>
        <w:rPr>
          <w:rFonts w:ascii="Times New Roman" w:cs="Times New Roman" w:eastAsia="Times New Roman" w:hAnsi="Times New Roman"/>
          <w:sz w:val="18"/>
          <w:szCs w:val="18"/>
          <w:u w:val="single" w:color="auto"/>
          <w:color w:val="auto"/>
        </w:rPr>
        <w:t>Shelf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include in such Shelf Registration Registrable Securities of any Holder (other than a Sponsor) in an amount in excess of such Holder’s Registration Eligible Shares. If the Company is permitted by applicable law, rule or regulation to add selling stockholders to a Shelf Registration Statement without filing a post-effective amendment, a Holder may request the inclusion of an amount of such Holder’s Registrable Securities not to exceed such Holder’s Registration Eligible Shares in such Shelf Registration Statement at any time or from time to time after the filing of a Shelf Registration Statement, and the Company shall add such Registrable Securities to the Shelf Registration Statement as promptly as reasonably practicable, and such Holder shall be deemed a Shelf Holder.</w:t>
      </w:r>
    </w:p>
    <w:p>
      <w:pPr>
        <w:spacing w:after="0" w:line="187" w:lineRule="exact"/>
        <w:rPr>
          <w:sz w:val="20"/>
          <w:szCs w:val="20"/>
          <w:color w:val="auto"/>
        </w:rPr>
      </w:pPr>
    </w:p>
    <w:p>
      <w:pPr>
        <w:ind w:firstLine="987"/>
        <w:spacing w:after="0" w:line="251" w:lineRule="auto"/>
        <w:tabs>
          <w:tab w:leader="none" w:pos="13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Registration</w:t>
      </w:r>
      <w:r>
        <w:rPr>
          <w:rFonts w:ascii="Times New Roman" w:cs="Times New Roman" w:eastAsia="Times New Roman" w:hAnsi="Times New Roman"/>
          <w:sz w:val="18"/>
          <w:szCs w:val="18"/>
          <w:color w:val="auto"/>
        </w:rPr>
        <w:t>. If the Company shall furnish to the Shelf Holders a certificate signed by the chief executive officer, chief financial officer or chief legal officer of the Company stating that the filing, amendment or continued use of a Shelf Registration Statement would require the Company to make an Adverse Disclosure, then the Company may suspend use of the Shelf Registration Statement (a “</w:t>
      </w:r>
      <w:r>
        <w:rPr>
          <w:rFonts w:ascii="Times New Roman" w:cs="Times New Roman" w:eastAsia="Times New Roman" w:hAnsi="Times New Roman"/>
          <w:sz w:val="18"/>
          <w:szCs w:val="18"/>
          <w:u w:val="single" w:color="auto"/>
          <w:color w:val="auto"/>
        </w:rPr>
        <w:t>Shelf 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unless otherwise approved in writing by the Sponsors, shall not be permitted to exercise aggregate Demand Suspensions and Shelf Suspensions for more than thirty (30) days during any three (3) month period, or for more than an aggregate of ninety (90) days during any twelve (12)-month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of a Shelf Suspension, such Shelf Suspension shall terminate at such earlier time as the Company would no longer be required to make any Adverse Disclosure. Each Shelf Holder shall keep confidential the fact that a Shelf Suspension is in effect, the certificate referred to above and its contents unless and until otherwise notified by the Company, except (A) for disclosure to such Shelf Holder’s Affiliates, and its and their respective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disclosed by the Company or any of its Subsidiaries or any other Person on a non-confidential basis without breach of any confidentiality obligations by such disclosing party, (D) for disclosures that are necessary to comply with any law, rule or regulation, including formal and informal investigations or requests from any regulatory authority, (E) for disclosures to potential limited partners or investors of a Shelf Holder who have agreed to keep such information confidential and (F) for disclosures to potential transferees of a Shelf Holder’s Registrable Securities who have agreed to keep such information confidential. In the case of a Shelf Suspension, the Holders agree to suspend use of the applicable Prospectus and any Issuer Free Writing Prospectus in connection with any sale or purchase of, or offer to sell or purchase, Registrable Securities, upon receipt of the notice referred to above. The Company shall promptly notify the Holders upon the termination of any Shelf Suspension, amend or supplement the Prospectus and any Issuer Free Writing Prospectus, if necessary, so it does not contain any untrue statement or omission and furnish to the Shelf Holders such numbers of copies of the Prospectus and any Issuer Free Writing Prospectus as so amended or supplemented as the Shelf Holders may reasonably request. The Company agrees, if necessary, to supplement or make amendments to the Shelf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Sponsor.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64" w:name="page65"/>
    <w:bookmarkEnd w:id="64"/>
    <w:p>
      <w:pPr>
        <w:ind w:left="924" w:hanging="373"/>
        <w:spacing w:after="0"/>
        <w:tabs>
          <w:tab w:leader="none" w:pos="92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Shelf Take-Downs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7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that a Shelf Registration Statement covering Registrable Securities pursuant to this Section 2.02 is effective, either Sponsor (the “</w:t>
      </w:r>
      <w:r>
        <w:rPr>
          <w:rFonts w:ascii="Times New Roman" w:cs="Times New Roman" w:eastAsia="Times New Roman" w:hAnsi="Times New Roman"/>
          <w:sz w:val="18"/>
          <w:szCs w:val="18"/>
          <w:u w:val="single" w:color="auto"/>
          <w:color w:val="auto"/>
        </w:rPr>
        <w:t>Initiating Shelf Take-Down Holder</w:t>
      </w:r>
      <w:r>
        <w:rPr>
          <w:rFonts w:ascii="Times New Roman" w:cs="Times New Roman" w:eastAsia="Times New Roman" w:hAnsi="Times New Roman"/>
          <w:sz w:val="18"/>
          <w:szCs w:val="18"/>
          <w:color w:val="auto"/>
        </w:rPr>
        <w:t>”) delivers a notice to the Issuer (a “</w:t>
      </w:r>
      <w:r>
        <w:rPr>
          <w:rFonts w:ascii="Times New Roman" w:cs="Times New Roman" w:eastAsia="Times New Roman" w:hAnsi="Times New Roman"/>
          <w:sz w:val="18"/>
          <w:szCs w:val="18"/>
          <w:u w:val="single" w:color="auto"/>
          <w:color w:val="auto"/>
        </w:rPr>
        <w:t>Shelf Take-Down Notice</w:t>
      </w:r>
      <w:r>
        <w:rPr>
          <w:rFonts w:ascii="Times New Roman" w:cs="Times New Roman" w:eastAsia="Times New Roman" w:hAnsi="Times New Roman"/>
          <w:sz w:val="18"/>
          <w:szCs w:val="18"/>
          <w:color w:val="auto"/>
        </w:rPr>
        <w:t>”) stating that it intends to effect an offering (a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of all or a portion of its Registrable Securities included by it on the Shelf Registration Statement and stating the number of Registrable Securities to be included in such Shelf Take-Down, then the Issuer shall amend or supplement the Shelf Registration Statement and take such other action as may be reasonably necessary to facilitate the sale of such Registrable Securities pursuant to such Shelf-Takedown. Except as set forth in Section 2.02(e)(iii) with respect to Marketed Underwritten Shelf Take-Downs, each such Initiating Shelf Take-Down Holder shall not be required to permit the offer and sale of Registrable Securities by other Shelf Holders in connection with any such Shelf Take-Down initiated by such Initiating Shelf Take-Down Holder;</w:t>
      </w:r>
    </w:p>
    <w:p>
      <w:pPr>
        <w:spacing w:after="0" w:line="83"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8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2.11(c), if such Initiating Shelf Take-Down Holder elects by written request to the Company, a Shelf Take-Down shall be in the form of an Underwritten Offering (each, an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(such written request, an “</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xml:space="preserve">”) and the Company shall amend or supplement the Shelf Registration Statement for such purpose as soon as practicable. Such Initiating Shelf Take-Down Holder shall have the right to select the managing underwriter or underwriters to administer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managing underwriter or underwriters shall be reasonably acceptable to the Company and the other Sponsor if such other Sponsor is permitted to, and proposes to, sell Registrable Securities pursuant to such Shelf Take-Down.</w:t>
      </w:r>
    </w:p>
    <w:p>
      <w:pPr>
        <w:spacing w:after="0" w:line="79" w:lineRule="exact"/>
        <w:rPr>
          <w:rFonts w:ascii="Times New Roman" w:cs="Times New Roman" w:eastAsia="Times New Roman" w:hAnsi="Times New Roman"/>
          <w:sz w:val="18"/>
          <w:szCs w:val="18"/>
          <w:color w:val="auto"/>
        </w:rPr>
      </w:pPr>
    </w:p>
    <w:p>
      <w:pPr>
        <w:ind w:left="4" w:right="160" w:firstLine="419"/>
        <w:spacing w:after="0" w:line="276" w:lineRule="auto"/>
        <w:tabs>
          <w:tab w:leader="none" w:pos="87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plan of distribution set forth in any Underwritten Shelf Take-Down Notice includes a customary “road show” (including an “electronic road show”) or other substantial marketing effort by the Company and the underwriters over a period expected to exceed forty-eight</w:t>
      </w:r>
    </w:p>
    <w:p>
      <w:pPr>
        <w:ind w:left="4" w:hanging="4"/>
        <w:spacing w:after="0" w:line="251" w:lineRule="auto"/>
        <w:tabs>
          <w:tab w:leader="none" w:pos="3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 “</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promptly upon delivery of such Underwritten Shelf Take-Down Notice (but in no event more than three (3) Business Days thereafter), the Company shall promptly deliver a written notice (a “</w:t>
      </w:r>
      <w:r>
        <w:rPr>
          <w:rFonts w:ascii="Times New Roman" w:cs="Times New Roman" w:eastAsia="Times New Roman" w:hAnsi="Times New Roman"/>
          <w:sz w:val="18"/>
          <w:szCs w:val="18"/>
          <w:u w:val="single" w:color="auto"/>
          <w:color w:val="auto"/>
        </w:rPr>
        <w:t>Marketed Underwritten Shelf Take-Down Notice</w:t>
      </w:r>
      <w:r>
        <w:rPr>
          <w:rFonts w:ascii="Times New Roman" w:cs="Times New Roman" w:eastAsia="Times New Roman" w:hAnsi="Times New Roman"/>
          <w:sz w:val="18"/>
          <w:szCs w:val="18"/>
          <w:color w:val="auto"/>
        </w:rPr>
        <w:t xml:space="preserve">”) of such Marketed Underwritten Shelf Take-Down to all Shelf Holders (other than the Initiating Shelf Take-Down Holder), and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within three (3) Business Days after the date that such Marketed Underwritten Shelf Take-Down Notice has been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include in any Marketed Underwritten Shelf Take-Down Registrable Securities of any Holder (other than a Sponsor) in an amount in excess of such Holder’s Registration Eligible Shares.</w:t>
      </w:r>
    </w:p>
    <w:p>
      <w:pPr>
        <w:spacing w:after="0" w:line="126"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04"/>
          </w:cols>
          <w:pgMar w:left="876" w:top="270" w:right="519" w:bottom="1440" w:gutter="0" w:footer="0" w:header="0"/>
        </w:sectPr>
      </w:pPr>
    </w:p>
    <w:bookmarkStart w:id="65" w:name="page66"/>
    <w:bookmarkEnd w:id="65"/>
    <w:p>
      <w:pPr>
        <w:ind w:left="444" w:right="60" w:firstLine="419"/>
        <w:spacing w:after="0" w:line="282" w:lineRule="auto"/>
        <w:tabs>
          <w:tab w:leader="none" w:pos="13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provisions of Section 2.01(h) shall apply to any Marketed Underwritten Offering pursuant to this Section 2.02(e) notwithstanding that Section 2.01(h) refers to Demand Registrations.</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3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files any Shelf Registration Statement, the Issuer agrees that it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288" w:lineRule="exact"/>
        <w:rPr>
          <w:sz w:val="20"/>
          <w:szCs w:val="20"/>
          <w:color w:val="auto"/>
        </w:rPr>
      </w:pPr>
    </w:p>
    <w:p>
      <w:pPr>
        <w:ind w:left="984"/>
        <w:spacing w:after="0"/>
        <w:tabs>
          <w:tab w:leader="none" w:pos="2324"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firstLine="987"/>
        <w:spacing w:after="0" w:line="251" w:lineRule="auto"/>
        <w:tabs>
          <w:tab w:leader="none" w:pos="137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If the Company at any time proposes to file a registration statement with respect to any offering of its equity securities for its own account or for the account of any other Persons (other than (i) a Registration under Section 2.01 or Section 2.02, it being understood that this clause (i) does not limit the rights of Holders to make written requests pursuant to Section 2.01 or Section 2.02 or the right of the Holders to request that their Registrable Securities be included in any Registration under Section 2.01 or Section 2.02 or otherwise limit the applicability thereof, (ii) a Registration Statement on Form S-4 or S-8 (or such other similar successor forms then in effect under the Securities Act), (iii) a registration of securities solely relating to an offering and sale to employees, directors or consultants of the Company or its Subsidiaries pursuant to any employee stock plan or other employee benefit plan arrangement, (iv) a registration not otherwise covered by clause (ii) above pursuant to which the Company is offering to exchange its own securities for other securities, (v) a Registration Statement relating solely to dividend reinvestment or similar plans, or (vi) a Shelf Registration Statement pursuant to which only the initial purchasers and subsequent transferees of debt securities of the Company or any of its Subsidiaries that are convertible or exchangeable for Company Shares and that are initially issued pursuant to Rule 144A and/or Regulation S (or any successor provisions) of the Securities Act may resell such notes and sell the Company Shares into which such notes may be converted or exchanged) (a “</w:t>
      </w:r>
      <w:r>
        <w:rPr>
          <w:rFonts w:ascii="Times New Roman" w:cs="Times New Roman" w:eastAsia="Times New Roman" w:hAnsi="Times New Roman"/>
          <w:sz w:val="18"/>
          <w:szCs w:val="18"/>
          <w:u w:val="single" w:color="auto"/>
          <w:color w:val="auto"/>
        </w:rPr>
        <w:t>Company Public Sale</w:t>
      </w:r>
      <w:r>
        <w:rPr>
          <w:rFonts w:ascii="Times New Roman" w:cs="Times New Roman" w:eastAsia="Times New Roman" w:hAnsi="Times New Roman"/>
          <w:sz w:val="18"/>
          <w:szCs w:val="18"/>
          <w:color w:val="auto"/>
        </w:rPr>
        <w:t>”), then, (A) as soon as practicable (but in no event less than thirty (30) days prior to the proposed date of filing of such Registration Statement), the Company shall give written notice of such proposed filing to the Sponsors, and such notice shall offer each Sponsor the opportunity to Register under such Registration Statement such number of Registrable Securities as such Sponsor may request in writing delivered to the Company within ten (10) days of delivery of such written notice by the Company, and (B) subject to Section 2.03(c), as soon as practicable after the expiration of such ten (10) days period (but in no event less than fifteen (15) days prior to the proposed date of filing of such Registration Statement), the Company shall give written notice of such proposed filing to the Holders (other than the Sponsors), and such notice shall offer each such Holder the opportunity to Register under such Registration Statement such number of Registrable Securities as such Holder may request in writing within ten</w:t>
      </w:r>
    </w:p>
    <w:p>
      <w:pPr>
        <w:spacing w:after="0" w:line="9" w:lineRule="exact"/>
        <w:rPr>
          <w:rFonts w:ascii="Times New Roman" w:cs="Times New Roman" w:eastAsia="Times New Roman" w:hAnsi="Times New Roman"/>
          <w:sz w:val="18"/>
          <w:szCs w:val="18"/>
          <w:color w:val="auto"/>
        </w:rPr>
      </w:pPr>
    </w:p>
    <w:p>
      <w:pPr>
        <w:ind w:left="4" w:right="660" w:hanging="4"/>
        <w:spacing w:after="0" w:line="260"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delivery of such written notice by the Company. Subject to Section 2.03(b) and (c), the Company shall include in such Registration Statement all such Registrable Securities that are requested by Holders to be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66" w:name="page67"/>
    <w:bookmarkEnd w:id="6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included therein in compliance with the immediately foregoing sentence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include in any Piggyback Registration Registrable Securities of any Holder (other than a Sponsor) in an amount in excess of such Holder’s Registration Eligible Shares;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any time after giving written notice of its intention to Register any equity securities and prior to the effective date of the Registration Statement filed in connection with such Piggyback Registration, the Company shall determine for any reason not to Register or to delay Registration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any Registrable Securities in connection with such Registration (but not from its obligation to pay the Registration Expenses in connection therewith), without prejudice, however, to the rights of the Sponsors to request that such Registration be effected as a Demand Registration under Section 2.01, and (2) in the case of a determination to delay Registering, in the absence of a request by the Sponsors to request that such Registration be effected as a Demand Registration under Section 2.01, shall be permitted to delay Registering any Registrable Securities, for the same period as the delay in Registering the other equity securities covered by such Piggyback Registration. If any offering pursuant to such Registration Statement is to be underwritten, the Company shall so advise the Holders as a part of the written notice given pursuant this Section 2.03(a), and each Holder making a request for a Piggyback Registration pursuant to this Section 2.03(a) may, and the Company shall make such arrangements with the managing underwriter or underwriters so that each such Holder may, participate in such Underwritten Offering, subject to the conditions of Section 2.03(b) and (c). If any offering pursuant to such Registration Statement is to be on any other basis, the Company shall so advise the Holders as part of the written notice given pursuant to this Section 2.03(a), and each Holder making a request for a Piggyback Registration pursuant to this Section 2.03(a) may, and the Company shall make such arrangements so that each such Holder may, participate in such offering on such basis, subject to the conditions of Section 2.03(b) and (c). Each Holder shall be permitted to withdraw all or part of its Registrable Securities from a Piggyback Registration at any time prior to the pricing of the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withdrawal shall be irrevocable and, after making such withdrawal, a Holder shall no longer have any right to include Registrable Securities in the Piggyback Registration as to which such withdrawal was made.</w:t>
      </w:r>
    </w:p>
    <w:p>
      <w:pPr>
        <w:spacing w:after="0" w:line="188" w:lineRule="exact"/>
        <w:rPr>
          <w:sz w:val="20"/>
          <w:szCs w:val="20"/>
          <w:color w:val="auto"/>
        </w:rPr>
      </w:pPr>
    </w:p>
    <w:p>
      <w:pPr>
        <w:ind w:right="20" w:firstLine="987"/>
        <w:spacing w:after="0" w:line="254" w:lineRule="auto"/>
        <w:tabs>
          <w:tab w:leader="none" w:pos="13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Piggyback Registration</w:t>
      </w:r>
      <w:r>
        <w:rPr>
          <w:rFonts w:ascii="Times New Roman" w:cs="Times New Roman" w:eastAsia="Times New Roman" w:hAnsi="Times New Roman"/>
          <w:sz w:val="18"/>
          <w:szCs w:val="18"/>
          <w:color w:val="auto"/>
        </w:rPr>
        <w:t xml:space="preserve">. If the managing underwriter or underwriters of any proposed Underwritten Offering of Registrable Securities included in a Piggyback Registration informs the Company and the Holders that have requested to participate in such Piggyback Registration in writing that, in its or their opinion, the number of securities which the Company, such Holders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100% of the securities that the Company or (subject to Section 2.07) any Person (other than a Holder) exercising a contractual right to demand Registration, as the case may be, proposes to sell,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and only if all the securities referred to in clause (i) have been included, the number of Registrable Securities that, in the opinion of such managing underwriter or underwriters, can be sold without having such adverse effect in such Registration, with such number to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7" w:name="page68"/>
    <w:bookmarkEnd w:id="6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allocated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such Holders (including any Sponsor so long as such Sponsor is a Holder and including any Stockholder other than a Sponsor so long as such other Stockholder is a Holder eligible to participate in such Registration pursuant to the terms hereof) that have requested to participate in such Registration based on the relative number of Registrable Securities then held by each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securities thereby allocated to a Holder that exceed such Holder’s request shall be reallocated among the remaining requesting Holders in like manner;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Sponsor may freely re-allocate any number of Registrable Securities held by such Sponsor (or any of its Affiliates and Permitted Assignees) that may be included in such Registration to any of its Affiliates (or any of their respective Permitted Assignees) for purposes of determining the pro rata allocation of the securities to be included in such Registration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and only if all of the Registrable Securities referred to in clause (ii) have been included in such Registration, the number of any other securities eligible for inclusion in such Registration that, in the opinion of the managing underwriter or underwriters, can be sold without having such adverse effect in such Registration.</w:t>
      </w:r>
    </w:p>
    <w:p>
      <w:pPr>
        <w:spacing w:after="0" w:line="188" w:lineRule="exact"/>
        <w:rPr>
          <w:sz w:val="20"/>
          <w:szCs w:val="20"/>
          <w:color w:val="auto"/>
        </w:rPr>
      </w:pPr>
    </w:p>
    <w:p>
      <w:pPr>
        <w:ind w:firstLine="987"/>
        <w:spacing w:after="0" w:line="261" w:lineRule="auto"/>
        <w:tabs>
          <w:tab w:leader="none" w:pos="1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Certain Holders</w:t>
      </w:r>
      <w:r>
        <w:rPr>
          <w:rFonts w:ascii="Times New Roman" w:cs="Times New Roman" w:eastAsia="Times New Roman" w:hAnsi="Times New Roman"/>
          <w:sz w:val="18"/>
          <w:szCs w:val="18"/>
          <w:color w:val="auto"/>
        </w:rPr>
        <w:t>. Notwithstanding any provisions contained herein to the contrary, Holders, other than (i) the Sponsors and (ii) Management Stockholders who are actively employed by the Company or any of its Subsidiaries on the date such Management Stockholder exercises his/her right to a Piggyback Registration, shall not be able to exercise the right to a Piggyback Registration except in compliance with Section 2.03 and unless such Registration is a Marketed Underwritten Offering and both Sponsors consent.</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3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Demand Registrations</w:t>
      </w:r>
      <w:r>
        <w:rPr>
          <w:rFonts w:ascii="Times New Roman" w:cs="Times New Roman" w:eastAsia="Times New Roman" w:hAnsi="Times New Roman"/>
          <w:sz w:val="18"/>
          <w:szCs w:val="18"/>
          <w:color w:val="auto"/>
        </w:rPr>
        <w:t>. No Registration of Registrable Securities effected pursuant to a request under this Section 2.03 shall be deemed to have been effected pursuant to Section 2.01 or Section 2.02or shall relieve the Company of its obligations under Section 2.01 or Section 2.02.</w:t>
      </w:r>
    </w:p>
    <w:p>
      <w:pPr>
        <w:spacing w:after="0" w:line="284"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Black-out Periods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3" w:lineRule="auto"/>
        <w:tabs>
          <w:tab w:leader="none" w:pos="1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 for Holders</w:t>
      </w:r>
      <w:r>
        <w:rPr>
          <w:rFonts w:ascii="Times New Roman" w:cs="Times New Roman" w:eastAsia="Times New Roman" w:hAnsi="Times New Roman"/>
          <w:sz w:val="18"/>
          <w:szCs w:val="18"/>
          <w:color w:val="auto"/>
        </w:rPr>
        <w:t>. In the event of any Company Public Sale of the Company’s equity securities in an Underwritten Offering, each of the Holders agree, if requested by the managing underwriter or underwriters in such Underwritten Offering (and only if each Sponsor agrees to such request), subject to customary exceptions,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unless such Holder agrees that such Registration Statement or amendment thereto need not be filed until the expiration of the period described in this Section 2.04 or (4) publicly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8" w:name="page69"/>
    <w:bookmarkEnd w:id="68"/>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disclose the intention to do any of the foregoing, in each case, during the period beginning seven (7) days before and ending ninety (90) days (in the event of any Company Public Sale) (or such other period as may be reasonably requested by the Company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Company Public Sale, to the extent timely notified in writing by the Company or the managing underwriter or underwriters. If requested by the managing underwriter or underwriters of any such Company Public Sale (and only if each Sponsor agrees to such request), each Holder shall execute a separate agreement to the foregoing effect. The Company may impose stop-transfer instructions with respect to the Company Shares (or other securities) subject to the foregoing restriction until the end of the period referenced above.</w:t>
      </w:r>
    </w:p>
    <w:p>
      <w:pPr>
        <w:spacing w:after="0" w:line="192" w:lineRule="exact"/>
        <w:rPr>
          <w:sz w:val="20"/>
          <w:szCs w:val="20"/>
          <w:color w:val="auto"/>
        </w:rPr>
      </w:pPr>
    </w:p>
    <w:p>
      <w:pPr>
        <w:ind w:firstLine="987"/>
        <w:spacing w:after="0" w:line="252" w:lineRule="auto"/>
        <w:tabs>
          <w:tab w:leader="none" w:pos="13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 for the Company and Others</w:t>
      </w:r>
      <w:r>
        <w:rPr>
          <w:rFonts w:ascii="Times New Roman" w:cs="Times New Roman" w:eastAsia="Times New Roman" w:hAnsi="Times New Roman"/>
          <w:sz w:val="18"/>
          <w:szCs w:val="18"/>
          <w:color w:val="auto"/>
        </w:rPr>
        <w:t>. In the case of an offering of Registrable Securities pursuant to Section 2.01 or Section 2.02 that is a Marketed Underwritten Offering, the Company and each of the Holders agree, if requested by a Participating Sponsor or the managing underwriter or underwriters with respect to such Marketed Underwritten Offering, subject to customary exceptions,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unless such Holder agrees that such Registration Statement or amendment thereto need not be filed until the expiration of the period described in this Section 2.04 or (4) publicly disclose the intention to do any of the foregoing, in each case, during the period beginning seven (7) days before, and ending ninety (90) days (or such lesser period as may be agreed by a Participating Sponsor or, if applicable, the managing underwriter or underwriters) (or such other period as may be reasonably requested by a Participating Sponsor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Marketed Underwritten Offering, to the extent timely notified in writing by a Participating Sponsor or the managing underwriter or underwriters, as the case may be. Notwithstanding the foregoing, the Company may effect a public sale or distribution of securities of the type described above and during the periods described above if such sale or distribution is made pursuant to Registrations on Form S-4 or S-8 or any successor form to such Forms, as part of any Registration of securities for offering and sale to employees, directors or consultants of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69" w:name="page70"/>
    <w:bookmarkEnd w:id="6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and its Subsidiaries pursuant to any employee stock plan or other employee benefit plan arrangement, any other registration pursuant to which the Company is offering to exchange its own securities for other securities or a Registration Statement related solely to dividend reinvestment or similar plan. The Company agrees to use its reasonable best efforts to obtain from each holder of restricted securities of the Company which securities are the same as or similar to the Registrable Securities being Registered, or any restricted securities convertible into or exchangeable or exercisable for any of such securities, an agreement not to effect any public sale or distribution of such securities during any such period referred to in this paragraph, except as part of any such Registration, if permitted. Without limiting the foregoing (but subject to Section 2.07), if after the date hereof the Company grants any Person (other than a Holder) any rights to demand or participate in a Registration, the Company agrees that the agreement with respect thereto shall include such Person’s agreement to comply with any black-out period required by this Section as if it were a Holder hereunder. If requested by the managing underwriter or underwriters of any such Marketed Underwritten Offering, the Holders shall execute a separate agreement to the foregoing effect. The Company may impose stop-transfer instructions with respect to the Company Shares (or other securities) subject to the foregoing restriction until the end of the period referenced above.</w:t>
      </w:r>
    </w:p>
    <w:p>
      <w:pPr>
        <w:spacing w:after="0" w:line="300"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Registration Procedures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87"/>
        <w:spacing w:after="0" w:line="261" w:lineRule="auto"/>
        <w:tabs>
          <w:tab w:leader="none" w:pos="13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Registration obligations under Section 2.01, Section 2.02, and Section 2.03 and subject to the applicable terms and conditions set forth therein, the Company shall use its reasonable best efforts to effect such Registration to permit the sale of such Registrable Securities in accordance with the intended method or methods of distribution thereof as expeditiously as reasonably practicable, and in connection therewith the Company shall:</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2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the Participating Sponsors, if any, copies of all such documents, which documents shall be subject to the review of such underwriters and the Participating Sponsors and their respective counsel and (y) except in the case of a Registration under Section 2.03, not file any Registration Statement or Prospectus or amendments or supplements thereto to or use any Issuer Free Writing Prospectus to which either Participating Sponsor or the underwriters, if any, shall reasonably object;</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2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3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pre- and post-effective amendments to such Registration Statement, supplements to the Prospectus and such amendments or supplements to any Issuer Free Writing Prospectus as may be (x) reasonably requested by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0" w:name="page71"/>
    <w:bookmarkEnd w:id="70"/>
    <w:p>
      <w:pPr>
        <w:ind w:left="4"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Participating Sponsor, (y) reasonably requested by any other Participating Holder (to the extent such request relates to information relating to such Holder), or (z)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56" w:lineRule="exact"/>
        <w:rPr>
          <w:sz w:val="20"/>
          <w:szCs w:val="20"/>
          <w:color w:val="auto"/>
        </w:rPr>
      </w:pPr>
    </w:p>
    <w:p>
      <w:pPr>
        <w:ind w:left="4" w:firstLine="419"/>
        <w:spacing w:after="0" w:line="252" w:lineRule="auto"/>
        <w:tabs>
          <w:tab w:leader="none" w:pos="86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Issuer Free Writing Prospectus or any amendment or supplement thereto has been filed, (B) of any written comments by the SEC or any request by the SEC or any other federal or state governmental authority for amendments or supplements to such Registration Statement, Prospectus or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any Issuer Free Writing Prospectus or the initiation or threatening of any proceedings for such purposes, (D) if, at any time, the representations and warranties of the Company in any applicable underwriting agreement cease to be true and correct in all material respects,</w:t>
      </w:r>
    </w:p>
    <w:p>
      <w:pPr>
        <w:spacing w:after="0" w:line="6" w:lineRule="exact"/>
        <w:rPr>
          <w:rFonts w:ascii="Times New Roman" w:cs="Times New Roman" w:eastAsia="Times New Roman" w:hAnsi="Times New Roman"/>
          <w:sz w:val="18"/>
          <w:szCs w:val="18"/>
          <w:color w:val="auto"/>
        </w:rPr>
      </w:pPr>
    </w:p>
    <w:p>
      <w:pPr>
        <w:jc w:val="both"/>
        <w:ind w:left="4" w:right="80" w:hanging="4"/>
        <w:spacing w:after="0" w:line="255" w:lineRule="auto"/>
        <w:tabs>
          <w:tab w:leader="none" w:pos="2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w:t>
      </w:r>
    </w:p>
    <w:p>
      <w:pPr>
        <w:spacing w:after="0" w:line="77"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81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Issuer Free Writing Prospectus contains any untrue statement of a material fact or omits to state a material fact necessary to make the statements therein (in the case of such Prospectus, any preliminary Prospectus or any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4"/>
          </w:cols>
          <w:pgMar w:left="876" w:top="270" w:right="479" w:bottom="1440" w:gutter="0" w:footer="0" w:header="0"/>
        </w:sectPr>
      </w:pPr>
    </w:p>
    <w:bookmarkStart w:id="71" w:name="page72"/>
    <w:bookmarkEnd w:id="71"/>
    <w:p>
      <w:pPr>
        <w:ind w:right="720" w:firstLine="419"/>
        <w:spacing w:after="0" w:line="282" w:lineRule="auto"/>
        <w:tabs>
          <w:tab w:leader="none" w:pos="8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its reasonable best efforts to prevent, or obtain the withdrawal of, any stop order or other order suspending the use of any preliminary or final Prospectus or any Issuer Free Writing Prospectus;</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9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incorporate in a Prospectus supplement, Issuer Free Writing Prospectus or post-effective amendment to the applicable Registration Statement such information as the managing underwriter or underwriters and the Participating Sponsor(s)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75" w:lineRule="exact"/>
        <w:rPr>
          <w:rFonts w:ascii="Times New Roman" w:cs="Times New Roman" w:eastAsia="Times New Roman" w:hAnsi="Times New Roman"/>
          <w:sz w:val="18"/>
          <w:szCs w:val="18"/>
          <w:color w:val="auto"/>
        </w:rPr>
      </w:pPr>
    </w:p>
    <w:p>
      <w:pPr>
        <w:ind w:right="120" w:firstLine="419"/>
        <w:spacing w:after="0" w:line="289" w:lineRule="auto"/>
        <w:tabs>
          <w:tab w:leader="none" w:pos="96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49" w:lineRule="exact"/>
        <w:rPr>
          <w:rFonts w:ascii="Times New Roman" w:cs="Times New Roman" w:eastAsia="Times New Roman" w:hAnsi="Times New Roman"/>
          <w:sz w:val="17"/>
          <w:szCs w:val="17"/>
          <w:color w:val="auto"/>
        </w:rPr>
      </w:pPr>
    </w:p>
    <w:p>
      <w:pPr>
        <w:ind w:right="120" w:firstLine="419"/>
        <w:spacing w:after="0" w:line="256" w:lineRule="auto"/>
        <w:tabs>
          <w:tab w:leader="none" w:pos="8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Participating Holder and each underwriter, if any, without charge, as many copies of the applicable Prospectus (including each preliminary Prospectus), any Issuer Free Writing Prospectus and any amendment or supplement thereto as such Holder or underwriter may reasonably request (it being understood that the Company consents to the use of such Prospectus, any Issuer Free Writing Prospectus and any amendment or supplement thereto by such Holder and the underwriters, if any, in connection with the offering and sale of the Registrable Securities thereby) and such other documents as such Holder or underwriter may reasonably request in order to facilitate the disposition of the Registrable Securities by such Holder or underwriter;</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8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on which the applicable Registration Statement becomes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2.01(c) or Section 2.01(b), whichever is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83" w:lineRule="exact"/>
        <w:rPr>
          <w:rFonts w:ascii="Times New Roman" w:cs="Times New Roman" w:eastAsia="Times New Roman" w:hAnsi="Times New Roman"/>
          <w:sz w:val="18"/>
          <w:szCs w:val="18"/>
          <w:color w:val="auto"/>
        </w:rPr>
      </w:pPr>
    </w:p>
    <w:p>
      <w:pPr>
        <w:ind w:right="100" w:firstLine="419"/>
        <w:spacing w:after="0" w:line="282" w:lineRule="auto"/>
        <w:tabs>
          <w:tab w:leader="none" w:pos="8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Participating Holders and the managing underwriter or underwriters, if any, to facilitate the timely preparation and delivery of certificates representing Registrable Securities to be sold and not bearing any restrictive legends (or</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72" w:name="page73"/>
    <w:bookmarkEnd w:id="72"/>
    <w:p>
      <w:pPr>
        <w:ind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arrange for the book entry transfer of securities in the case of uncertificated securities), and enable such Registrable Securities to be in such denominations and registered in such names as the managing underwriters may request at least two (2) Business Days prior to any sale of Registrable Securities to the underwriters;</w:t>
      </w:r>
    </w:p>
    <w:p>
      <w:pPr>
        <w:spacing w:after="0" w:line="68" w:lineRule="exact"/>
        <w:rPr>
          <w:sz w:val="20"/>
          <w:szCs w:val="20"/>
          <w:color w:val="auto"/>
        </w:rPr>
      </w:pPr>
    </w:p>
    <w:p>
      <w:pPr>
        <w:ind w:right="120" w:firstLine="419"/>
        <w:spacing w:after="0" w:line="266" w:lineRule="auto"/>
        <w:tabs>
          <w:tab w:leader="none" w:pos="9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67" w:lineRule="exact"/>
        <w:rPr>
          <w:rFonts w:ascii="Times New Roman" w:cs="Times New Roman" w:eastAsia="Times New Roman" w:hAnsi="Times New Roman"/>
          <w:sz w:val="18"/>
          <w:szCs w:val="18"/>
          <w:color w:val="auto"/>
        </w:rPr>
      </w:pPr>
    </w:p>
    <w:p>
      <w:pPr>
        <w:jc w:val="both"/>
        <w:ind w:right="440" w:firstLine="419"/>
        <w:spacing w:after="0" w:line="266" w:lineRule="auto"/>
        <w:tabs>
          <w:tab w:leader="none" w:pos="9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initial Registration Statement, provide a CUSIP number for all Registrable Securities and provide the applicable transfer agent with printed certificates (or arrange for the book entry transfer of securities in the case of uncertificated securities) for the Registrable Securities which are in a form eligible for deposit with The Depository Trust Company;</w:t>
      </w:r>
    </w:p>
    <w:p>
      <w:pPr>
        <w:spacing w:after="0" w:line="67" w:lineRule="exact"/>
        <w:rPr>
          <w:rFonts w:ascii="Times New Roman" w:cs="Times New Roman" w:eastAsia="Times New Roman" w:hAnsi="Times New Roman"/>
          <w:sz w:val="18"/>
          <w:szCs w:val="18"/>
          <w:color w:val="auto"/>
        </w:rPr>
      </w:pPr>
    </w:p>
    <w:p>
      <w:pPr>
        <w:ind w:right="140" w:firstLine="419"/>
        <w:spacing w:after="0" w:line="282" w:lineRule="auto"/>
        <w:tabs>
          <w:tab w:leader="none" w:pos="9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representations and warranties to the Participating Holders and the underwriters or agents, if any, in form, substance and scope as are customarily made by issuers in secondary underwritten public offerings;</w:t>
      </w:r>
    </w:p>
    <w:p>
      <w:pPr>
        <w:spacing w:after="0" w:line="53"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9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customary agreements (including underwriting and indemnification agreements) and take all such other actions as any Participating Sponsor or the managing underwriter or underwriters, if any, reasonably request in order to expedite or facilitate the registration and disposition of such Registrable Securities;</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9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delivery to the Participating Holders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71" w:lineRule="exact"/>
        <w:rPr>
          <w:rFonts w:ascii="Times New Roman" w:cs="Times New Roman" w:eastAsia="Times New Roman" w:hAnsi="Times New Roman"/>
          <w:sz w:val="18"/>
          <w:szCs w:val="18"/>
          <w:color w:val="auto"/>
        </w:rPr>
      </w:pPr>
    </w:p>
    <w:p>
      <w:pPr>
        <w:ind w:right="40" w:firstLine="419"/>
        <w:spacing w:after="0" w:line="261" w:lineRule="auto"/>
        <w:tabs>
          <w:tab w:leader="none" w:pos="10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obtain for delivery to the Company and the managing underwriter or underwriters, with copies to the Participating Holders, a comfort letter from the Company’s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10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Participating Holder and each underwriter, if any, participating in the disposition of such Registrable Securities and their respective counsel in connection with any filings required to be made with the FINRA;</w:t>
      </w:r>
    </w:p>
    <w:p>
      <w:pPr>
        <w:spacing w:after="0" w:line="53" w:lineRule="exact"/>
        <w:rPr>
          <w:rFonts w:ascii="Times New Roman" w:cs="Times New Roman" w:eastAsia="Times New Roman" w:hAnsi="Times New Roman"/>
          <w:sz w:val="18"/>
          <w:szCs w:val="18"/>
          <w:color w:val="auto"/>
        </w:rPr>
      </w:pPr>
    </w:p>
    <w:p>
      <w:pPr>
        <w:ind w:right="420" w:firstLine="419"/>
        <w:spacing w:after="0" w:line="266" w:lineRule="auto"/>
        <w:tabs>
          <w:tab w:leader="none" w:pos="9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73" w:name="page74"/>
    <w:bookmarkEnd w:id="73"/>
    <w:p>
      <w:pPr>
        <w:ind w:left="4" w:right="60" w:firstLine="419"/>
        <w:spacing w:after="0" w:line="282" w:lineRule="auto"/>
        <w:tabs>
          <w:tab w:leader="none" w:pos="9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 and cause to be maintained a transfer agent and registrar for all Registrable Securities covered by the applicable Registration Statement from and after a date not later than the effective date of such Registration Statement;</w:t>
      </w:r>
    </w:p>
    <w:p>
      <w:pPr>
        <w:spacing w:after="0" w:line="53" w:lineRule="exact"/>
        <w:rPr>
          <w:rFonts w:ascii="Times New Roman" w:cs="Times New Roman" w:eastAsia="Times New Roman" w:hAnsi="Times New Roman"/>
          <w:sz w:val="18"/>
          <w:szCs w:val="18"/>
          <w:color w:val="auto"/>
        </w:rPr>
      </w:pPr>
    </w:p>
    <w:p>
      <w:pPr>
        <w:jc w:val="both"/>
        <w:ind w:left="4" w:right="60" w:firstLine="419"/>
        <w:spacing w:after="0" w:line="266" w:lineRule="auto"/>
        <w:tabs>
          <w:tab w:leader="none" w:pos="9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w:t>
      </w:r>
    </w:p>
    <w:p>
      <w:pPr>
        <w:spacing w:after="0" w:line="67" w:lineRule="exact"/>
        <w:rPr>
          <w:rFonts w:ascii="Times New Roman" w:cs="Times New Roman" w:eastAsia="Times New Roman" w:hAnsi="Times New Roman"/>
          <w:sz w:val="18"/>
          <w:szCs w:val="18"/>
          <w:color w:val="auto"/>
        </w:rPr>
      </w:pPr>
    </w:p>
    <w:p>
      <w:pPr>
        <w:ind w:left="4" w:firstLine="419"/>
        <w:spacing w:after="0" w:line="252" w:lineRule="auto"/>
        <w:tabs>
          <w:tab w:leader="none" w:pos="10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upon reasonable notice at reasonable times and for reasonable periods for inspection by any Participating Sponsor, by any underwriter participating in any disposition to be effected pursuant to such Registration Statement and by any attorney, accountant, professional advisor or other agent retained by such Sponsor(s) or any such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 as shall be necessary to enable them to exercise their due diligence responsibility;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Person gaining access to information regarding the Company pursuant to this Section 2.05(a)(xxii) shall agree to hold in strict confidence and shall not make any disclosure other than disclosures of such information to such Person’s Affiliates, its and their respective employees, agents and professional advisors who reasonably need to know such information for the purpose of assisting such Person with respect to participating in the offering pursuant to such Registration Statement or use any information regarding the Company that the Company determines in good faith to be confidential, and of which determination such Person is notified, unless</w:t>
      </w:r>
    </w:p>
    <w:p>
      <w:pPr>
        <w:spacing w:after="0" w:line="3" w:lineRule="exact"/>
        <w:rPr>
          <w:rFonts w:ascii="Times New Roman" w:cs="Times New Roman" w:eastAsia="Times New Roman" w:hAnsi="Times New Roman"/>
          <w:sz w:val="18"/>
          <w:szCs w:val="18"/>
          <w:color w:val="auto"/>
        </w:rPr>
      </w:pPr>
    </w:p>
    <w:p>
      <w:pPr>
        <w:ind w:left="4" w:right="20" w:hanging="4"/>
        <w:spacing w:after="0" w:line="265" w:lineRule="auto"/>
        <w:tabs>
          <w:tab w:leader="none" w:pos="21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release of such information is requested or required by law or by deposition, interrogatory, requests for information or documents by a governmental entity, subpoena or similar process, including formal and informal investigations or requests from any regulatory authority, (u) such information is or becomes publicly known other than through a breach of this or any other agreement of which such Person has actual knowledge,</w:t>
      </w:r>
    </w:p>
    <w:p>
      <w:pPr>
        <w:ind w:left="4" w:hanging="4"/>
        <w:spacing w:after="0" w:line="252" w:lineRule="auto"/>
        <w:tabs>
          <w:tab w:leader="none" w:pos="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is or becomes available to such Person on a non-confidential basis from a source other than the Company, (w) such information is independently developed by such Person, (x) the release of such information is required in order for such Person to comply with reporting obligations to limited partners or other direct or indirect investors who have agreed to keep such information confidential, (y) the release of such information is to potential limited partners or investors of such Person who have agreed to keep such information confidential or (z) the release of such information is to potential transferees of such Person’s Registrable Securities who have agreed to keep such information confidential;</w:t>
      </w:r>
    </w:p>
    <w:p>
      <w:pPr>
        <w:spacing w:after="0" w:line="81"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10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cause the senior executive officers of the Company to participate in the customary “road show” presentations that</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24"/>
          </w:cols>
          <w:pgMar w:left="876" w:top="270" w:right="499" w:bottom="1440" w:gutter="0" w:footer="0" w:header="0"/>
        </w:sectPr>
      </w:pPr>
    </w:p>
    <w:bookmarkStart w:id="74" w:name="page75"/>
    <w:bookmarkEnd w:id="74"/>
    <w:p>
      <w:pPr>
        <w:ind w:left="440"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54" w:lineRule="exact"/>
        <w:rPr>
          <w:sz w:val="20"/>
          <w:szCs w:val="20"/>
          <w:color w:val="auto"/>
        </w:rPr>
      </w:pPr>
    </w:p>
    <w:p>
      <w:pPr>
        <w:ind w:left="1480" w:hanging="621"/>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no direct or indirect action prohibited by Regulation M under the Exchange Act;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43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ensure that any Issuer Free Writing Prospectus utilized in connection with any registration covered by Section 2.01, Section 2.02 or Section 2.03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48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actions to ensure that the information available to investors at the time of pricing includes all information required by applicable law (including the information required by Sections 12(a)(2) and 17(a)(2) of the Securities Act);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53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other commercially reasonable actions as are necessary or advisable in order to expedite or facilitate the disposition of such Registrable Securities in accordance with the terms hereof.</w:t>
      </w:r>
    </w:p>
    <w:p>
      <w:pPr>
        <w:spacing w:after="0" w:line="161" w:lineRule="exact"/>
        <w:rPr>
          <w:rFonts w:ascii="Times New Roman" w:cs="Times New Roman" w:eastAsia="Times New Roman" w:hAnsi="Times New Roman"/>
          <w:sz w:val="18"/>
          <w:szCs w:val="18"/>
          <w:color w:val="auto"/>
        </w:rPr>
      </w:pPr>
    </w:p>
    <w:p>
      <w:pPr>
        <w:ind w:right="160" w:firstLine="987"/>
        <w:spacing w:after="0" w:line="261" w:lineRule="auto"/>
        <w:tabs>
          <w:tab w:leader="none" w:pos="13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Participating Holder to furnish to the Company such information regarding the distribution of such securities and such other information relating to such Holder and its ownership of Registrable Securities as the Company may from time to time reasonably request in writing. Each Participating Holder agrees to furnish such information to the Company and to cooperate with the Company as reasonably necessary to enable the Company to comply with the provisions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Participating Holder agrees that, upon delivery of any notice by the Company of the happening of any event of the kind described in Section 2.05(a)(iv)(C), (D), or (E) or Section 2.05(a)(v), such Holder will forthwith discontinue disposition of Registrable Securities pursuant to such Registration Statement until (i) such Holder’s receipt of the copies of the supplemented or amended Prospectus or Issuer Free Writing Prospectus contemplated by Section 2.05(a)(v), (ii) such Holder is advised in writing by the Company that the use of the Prospectus or Issuer Free Writing Prospectus, as the case may be, may be resumed, (iii) such Holder is advised in writing by the Company of the termination, expiration or cessation of such order or suspension referenced in Section 2.05(a)(iv)(C) or (E) or (iv) such Holder is advised in writing by the Company that the representations and warranties of the Company in such applicable underwriting agreement are true and correct in all material respects. If so directed by the Company, such Holder shall deliver to the Company (at the Company’s expense) all copies, other than permanent file copies then in such Holder’s possession, of the Prospectus or any Issuer Free Writing Prospectus covering such Registrable Securities current at the time of delivery of such notice. In the event the Company shall give any such notice, the period during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Issuer Free Writing Prospectus contemplated by Section 2.05(a)(v) or is advised in writing by the Company that the use of the Prospectus or Issuer Free Writing Prospectus may be resumed. If such Registration Statement is a Demand Registration or a Shelf Registration, the discontinuation of the sale of Registrable Securities pursuant to such Registration Statement shall constitute a Demand Suspension or a Shelf Suspension, as applicable.</w:t>
      </w:r>
    </w:p>
    <w:p>
      <w:pPr>
        <w:spacing w:after="0" w:line="187" w:lineRule="exact"/>
        <w:rPr>
          <w:sz w:val="20"/>
          <w:szCs w:val="20"/>
          <w:color w:val="auto"/>
        </w:rPr>
      </w:pPr>
    </w:p>
    <w:p>
      <w:pPr>
        <w:ind w:right="20" w:firstLine="987"/>
        <w:spacing w:after="0" w:line="256" w:lineRule="auto"/>
        <w:tabs>
          <w:tab w:leader="none" w:pos="13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Sponsor or any of its Affiliates is deemed to be an underwriter of Registrable Securities pursuant to any SEC comments or policies or otherwise, the Company agrees that (1) the indemnification and contribution provisions contained in this Agreement shall be applicable to the benefit of such Sponsor or its Affiliates in its role as deemed underwriter in addition to their capacity as Holder and (2) such Sponsor and its Affiliates shall be entitled to conduct such activities which it would normally conduct in connection with satisfying its “due diligence” defense as an underwriter in connection with an offering of securities registered under the Securities Act, including conducting due diligence and the receipt of customary opinions and comfort letters.</w:t>
      </w:r>
    </w:p>
    <w:p>
      <w:pPr>
        <w:spacing w:after="0" w:line="295" w:lineRule="exact"/>
        <w:rPr>
          <w:sz w:val="20"/>
          <w:szCs w:val="20"/>
          <w:color w:val="auto"/>
        </w:rPr>
      </w:pPr>
    </w:p>
    <w:p>
      <w:pPr>
        <w:ind w:left="98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Underwritten Offerings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987"/>
        <w:spacing w:after="0" w:line="252" w:lineRule="auto"/>
        <w:tabs>
          <w:tab w:leader="none" w:pos="137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and Shelf Registrations</w:t>
      </w:r>
      <w:r>
        <w:rPr>
          <w:rFonts w:ascii="Times New Roman" w:cs="Times New Roman" w:eastAsia="Times New Roman" w:hAnsi="Times New Roman"/>
          <w:sz w:val="18"/>
          <w:szCs w:val="18"/>
          <w:color w:val="auto"/>
        </w:rPr>
        <w:t>. If requested by the underwriters for any Underwritten Offering requested by any Sponsor pursuant to a Registration under Section 2.01 or Section 2.02, the Company shall enter into an underwriting agreement with such underwriters for such offering, such agreement to be reasonably satisfactory in substance and form to the Company, the Participating Sponsor(s) and the underwriters, and to contain such representations and warranties by the Company and such other terms as are generally prevailing in agreements of that type, including indemnities no less favorable to the recipient thereof than those provided in Section 2.09. The Participating Sponsors shall cooperate with the Company in the negotiation of such underwriting agreement and shall give consideration to the reasonable suggestions of the Company regarding the form thereof. The Participating Holders shall be parties to such underwriting agreement,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Participating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and any other representations required to be made by such Participating</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6" w:name="page77"/>
    <w:bookmarkEnd w:id="76"/>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 under applicable law, rule or regulation, and the aggregate amount of the liability of such Participating Holder in connection with such underwriting agreement shall not exceed such Participating Holder’s net proceeds from such Underwritten Offering (less underwriting discounts and commissions).</w:t>
      </w:r>
    </w:p>
    <w:p>
      <w:pPr>
        <w:spacing w:after="0" w:line="176" w:lineRule="exact"/>
        <w:rPr>
          <w:sz w:val="20"/>
          <w:szCs w:val="20"/>
          <w:color w:val="auto"/>
        </w:rPr>
      </w:pPr>
    </w:p>
    <w:p>
      <w:pPr>
        <w:ind w:firstLine="987"/>
        <w:spacing w:after="0" w:line="252" w:lineRule="auto"/>
        <w:tabs>
          <w:tab w:leader="none" w:pos="138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If the Company proposes to register any of its securities under the Securities Act as contemplated by Section 2.03 and such securities are to be distributed in an Underwritten Offering through one or more underwriters, the Company shall, if requested by any Holder pursuant to Section 2.03 and subject to the provisions of Section 2.03(b) and (c), use its reasonable best efforts to arrange for such underwriters to include on the same terms and conditions that apply to the other sellers in such Registration all the Registrable Securities to be offered and sold by such Holder among the securities of the Company to be distributed by such underwriters in such Registration. The Participating Holders shall be parties to the underwriting agreement between the Company and such underwriters,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or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 (less underwriting discounts and commissions).</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Underwritten Registrations</w:t>
      </w:r>
      <w:r>
        <w:rPr>
          <w:rFonts w:ascii="Times New Roman" w:cs="Times New Roman" w:eastAsia="Times New Roman" w:hAnsi="Times New Roman"/>
          <w:sz w:val="18"/>
          <w:szCs w:val="18"/>
          <w:color w:val="auto"/>
        </w:rPr>
        <w:t>. Subject to the provisions of Section 2.06(a) and (b)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179" w:lineRule="exact"/>
        <w:rPr>
          <w:rFonts w:ascii="Times New Roman" w:cs="Times New Roman" w:eastAsia="Times New Roman" w:hAnsi="Times New Roman"/>
          <w:sz w:val="18"/>
          <w:szCs w:val="18"/>
          <w:color w:val="auto"/>
        </w:rPr>
      </w:pPr>
    </w:p>
    <w:p>
      <w:pPr>
        <w:ind w:right="100" w:firstLine="987"/>
        <w:spacing w:after="0" w:line="258" w:lineRule="auto"/>
        <w:tabs>
          <w:tab w:leader="none" w:pos="138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and Underwriting Discounts</w:t>
      </w:r>
      <w:r>
        <w:rPr>
          <w:rFonts w:ascii="Times New Roman" w:cs="Times New Roman" w:eastAsia="Times New Roman" w:hAnsi="Times New Roman"/>
          <w:sz w:val="18"/>
          <w:szCs w:val="18"/>
          <w:color w:val="auto"/>
        </w:rPr>
        <w:t>. In the case of an Underwritten Offering under Section 2.01 or Section 2.02, the price, underwriting discount and other financial terms for the Registrable Securities shall be determined by the Participating Sponsor(s) in such Registration. In addition, in the case of any Underwritten Offering, each of the Holders may withdraw their request to participate in the registration pursuant to Section 2.01, Section 2.02 or Section 2.03 after being advised of such price, discount and other terms and shall not be required to enter into any agreements or documentation that would require otherwise.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40" w:top="270" w:right="539" w:bottom="1440" w:gutter="0" w:footer="0" w:header="0"/>
        </w:sectPr>
      </w:pPr>
    </w:p>
    <w:bookmarkStart w:id="77" w:name="page78"/>
    <w:bookmarkEnd w:id="7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No Inconsistent Agreements; Additional Rights</w:t>
      </w:r>
      <w:r>
        <w:rPr>
          <w:rFonts w:ascii="Times New Roman" w:cs="Times New Roman" w:eastAsia="Times New Roman" w:hAnsi="Times New Roman"/>
          <w:sz w:val="18"/>
          <w:szCs w:val="18"/>
          <w:color w:val="auto"/>
        </w:rPr>
        <w:t>. The Company is not currently a party to, and shall not hereafter enter into without the prior written consent of each of the Sponsors, any agreement with respect to its securities that is inconsistent with the rights granted to the Holders by this Agreement, including allowing any other holder or prospective holder of any securities of the Company (a) registration rights in the nature or substantially in the nature of those set forth in Section 2.01, Section 2.02 or Section 2.03 that would have priority over or be pari passu with the Registrable Securities with respect to the inclusion of such securities in any Registration (except to the extent such registration rights are solely related to registrations of the type contemplated by Section 2.03(a)(ii) through (iv) and (vi)) or (b) demand registration rights in the nature or substantially in the nature of those set forth in Section 2.01 or Section 2.02 that are exercisable prior to or at such time as the Sponsors can first exercise their rights under Section 2.01 or Section 2.02.</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shall be paid by the Company, including (i) all registration and filing fees, and any other fees and expenses associated with filings required to be made with the SEC, FINRA and if applicable, the fees and expenses of any “qualified independent underwriter,” as such term is defined in FINRA Rule 5121 (or any successor provision), and of its counsel, (ii) all fees and expenses in connection with compliance with any securities or “Blue Sky” laws (including fees and disbursements of counsel for the underwriters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and Issuer Free Writing Prospectuses), (iv) all fees and disbursements of counsel for the Company and of all independent certified public accountants of the Company (including the expenses of any special audit and comfort letters required by or incident to such performance), (v) Securities Act liability insurance or similar insurance if the Company so desires or the underwriters reasonably so require in accordance with then-customary underwriting practice, (vi) all fees and expenses incurred in connection with the listing of Registrable Securities on any securities exchange or quotation of the Registrable Securities on any inter-dealer quotation system, (vii) all applicable rating agency fees with respect to the Registrable Securities, (viii) all reasonable fees and disbursements of one legal counsel (the “</w:t>
      </w:r>
      <w:r>
        <w:rPr>
          <w:rFonts w:ascii="Times New Roman" w:cs="Times New Roman" w:eastAsia="Times New Roman" w:hAnsi="Times New Roman"/>
          <w:sz w:val="18"/>
          <w:szCs w:val="18"/>
          <w:u w:val="single" w:color="auto"/>
          <w:color w:val="auto"/>
        </w:rPr>
        <w:t>Majority Holder Counsel</w:t>
      </w:r>
      <w:r>
        <w:rPr>
          <w:rFonts w:ascii="Times New Roman" w:cs="Times New Roman" w:eastAsia="Times New Roman" w:hAnsi="Times New Roman"/>
          <w:sz w:val="18"/>
          <w:szCs w:val="18"/>
          <w:color w:val="auto"/>
        </w:rPr>
        <w:t>”) as selected by the holders of a majority of the Registrable Securities included in such Registration, (ix) if any of the Sponsors are selling Registrable Securities pursuant to such Registration and are not represented by the Majority Holder Counsel, the reasonable fees and disbursements of separate law firms or other advisors representing WP or GTCR, as applicable, (x) any reasonable fees and disbursements of underwriters customarily paid by issuers or sellers of securities, (xi) all fees and expenses of any special experts or other Persons retained by the Company in connection with any Registration, (xii) all of the Company’s internal expenses (including all salaries and expenses of its officers and employees performing legal or accounting duties), (xiii) all expenses related to the “road-show” for any Underwritten Offering, including all travel, meals and lodging and (xiv) any other fees and disbursements customarily paid by the issuers of securities. All such expenses are referred to herein as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not be required to pay any underwriting discounts and commissions and transfer taxes, if any, attributable to the sale of Registrable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78" w:name="page79"/>
    <w:bookmarkEnd w:id="78"/>
    <w:p>
      <w:pPr>
        <w:ind w:left="984"/>
        <w:spacing w:after="0"/>
        <w:tabs>
          <w:tab w:leader="none" w:pos="23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2.09.</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firstLine="987"/>
        <w:spacing w:after="0" w:line="267" w:lineRule="auto"/>
        <w:tabs>
          <w:tab w:leader="none" w:pos="137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The Company agrees to indemnify and hold harmless, to the full extent permitted by law, each of the Holders,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any Issuer Free Writing Prospectus or amendment or supplement thereto,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(iii) any violation or alleged violation by the Company of any federal, state or common law rule or regulation applicable to the Company or any of its Subsidiaries in connection with any such registration, qualification, compliance or sale of Registrable Securities, (iv)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Holders of such Registrable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such instance the Company shall not be so liable if it has undertaken its reasonable best efforts to so register or qualify such Registrable Securities) or (v) any actions or inactions or proceedings in respect of the foregoing whether or not such indemnified party is a party thereto, whether such Registration Statement, Prospectus, preliminary Prospectus, Issuer Free Writing Prospectus or other document is issued pursuant to this Agreement or otherwise, and the Company will reimburse, as incurred, each such Holder and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controlling Persons and each of their respective Representatives, for any legal and any other expenses reasonably incurred in connection with investigating or defending any such claim, loss, damage, liability or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not be liable to any particular indemnified party to the extent that any such Loss arises out of or is based upon (A) an untrue statement or alleged untrue statement or omission or alleged omission made in any such Registration Statement or other document in reliance upon and in conformity with written information furnished to the Company by such indemnified party expressly for use in the preparation thereof or</w:t>
      </w:r>
    </w:p>
    <w:p>
      <w:pPr>
        <w:spacing w:after="0" w:line="197" w:lineRule="exact"/>
        <w:rPr>
          <w:rFonts w:ascii="Times New Roman" w:cs="Times New Roman" w:eastAsia="Times New Roman" w:hAnsi="Times New Roman"/>
          <w:sz w:val="17"/>
          <w:szCs w:val="17"/>
          <w:color w:val="auto"/>
        </w:rPr>
      </w:pPr>
    </w:p>
    <w:p>
      <w:pPr>
        <w:jc w:val="both"/>
        <w:ind w:left="4" w:right="220" w:hanging="4"/>
        <w:spacing w:after="0" w:line="290" w:lineRule="auto"/>
        <w:tabs>
          <w:tab w:leader="none" w:pos="28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79" w:name="page80"/>
    <w:bookmarkEnd w:id="79"/>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Registrable Securities at least five (5) days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 The Company shall also indemnify underwriters (including Persons (including the Holders) deemed to be underwriters by the SEC),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spacing w:after="0" w:line="192" w:lineRule="exact"/>
        <w:rPr>
          <w:sz w:val="20"/>
          <w:szCs w:val="20"/>
          <w:color w:val="auto"/>
        </w:rPr>
      </w:pPr>
    </w:p>
    <w:p>
      <w:pPr>
        <w:ind w:firstLine="987"/>
        <w:spacing w:after="0" w:line="252" w:lineRule="auto"/>
        <w:tabs>
          <w:tab w:leader="none" w:pos="138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Participating Holders</w:t>
      </w:r>
      <w:r>
        <w:rPr>
          <w:rFonts w:ascii="Times New Roman" w:cs="Times New Roman" w:eastAsia="Times New Roman" w:hAnsi="Times New Roman"/>
          <w:sz w:val="18"/>
          <w:szCs w:val="18"/>
          <w:color w:val="auto"/>
        </w:rPr>
        <w:t>. Each Participating Holder agrees (severally and not jointly) to indemnify and hold harmless, to the fullest extent permitted by law, the Company, its directors and officers and each Person who controls the Company (within the meaning of the Securities Act or the Exchange Act), and each other Holder, each of such other Holder’s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Losses resulting from (i) any untrue statement of a material fact in any Registration Statement under which such Registrable Securities were Registered under the Securities Act (including any final, preliminary or summary Prospectus contained therein or any amendment or supplement thereto or any documents incorporated by reference therein) or any Issuer Free Writing Prospectus or amendment or supplement thereto, or (ii) any omission to state therein a material fact required to be stated therein or necessary to make the statements therein (in the case of a Prospectus, preliminary Prospectus or Issuer Free Writing Prospectus, in light of the circumstances under which they were made) not misleading, in each case to the extent, but only to the extent, that such untrue statement or omission is contained in any information furnished in writing by such Holder to the Company specifically for inclusion in such Registration Statement and has not been corrected in a subsequent writing prior to or concurrently with the sale of the Registrable Securities to the Person asserting the claim,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furnished to the Company by such Holder expressly for use therein. In no event shall the liability of such Holder hereunder be greater in amount than the dollar amount of the net proceeds (i.e., gross proceeds less underwriting discounts and commissions) received by such Holder under the sale of Registrable Securities giving rise to such indemnification obligation. The Company shall be entitled to receive indemnities from underwriters, selling brokers, dealer managers and similar securities industry professionals participating in the distribution, to the same extent as provided above (with appropriate modification) with respect to information furnished in writing by such Persons specifically for inclusion in any Prospectus, Issuer Free Writing Prospectus or Registration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80" w:name="page81"/>
    <w:bookmarkEnd w:id="80"/>
    <w:p>
      <w:pPr>
        <w:ind w:left="4" w:right="20" w:firstLine="987"/>
        <w:spacing w:after="0" w:line="252" w:lineRule="auto"/>
        <w:tabs>
          <w:tab w:leader="none" w:pos="137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Conduct of Indemnification Proceedings</w:t>
      </w:r>
      <w:r>
        <w:rPr>
          <w:rFonts w:ascii="Times New Roman" w:cs="Times New Roman" w:eastAsia="Times New Roman" w:hAnsi="Times New Roman"/>
          <w:sz w:val="18"/>
          <w:szCs w:val="18"/>
          <w:color w:val="auto"/>
        </w:rPr>
        <w:t>. Any Person entitled to indemnification under this Section 2.09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 (C) the indemnified party has reasonably concluded (based upon advice of its counsel) that there may be legal defenses available to it or other indemnified parties that are different from or in addition to those available to the indemnifying party, (D)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or</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7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person is a Sponsor. If the indemnifying party assumes the defense, the indemnifying party shall not have the right to settle such action, consent to entry of any judgment or enter into any settlement, in each case without the prior written consent of the indemnified party, 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party, and provided that any sums payable in connection with such settlement are paid in full by the indemnifying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Section 2.09(c),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9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for any reason the indemnification provided for in paragraphs (a) and (b) of this Section 2.09 is unavailable to an indemnified party or insufficient in respect of any Losses referred to therein, then the indemnifying party shall contribute to the amount paid or payable by the indemnified party as a result of such Loss in such proportion as is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81" w:name="page82"/>
    <w:bookmarkEnd w:id="8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2.09(d)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or by any other method of allocation that does not take account of the equitable considerations referred to in this Section 2.09(d).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 2.09(a) and Section 2.09(b) shall be deemed to include, subject to the limitations set forth above, any legal or other expenses reasonably incurred by such indemnified party in connection with investigating or defending any such action or claim. Notwithstanding the provisions of this Section 2.09(d), in connection with any Registration Statement filed by the Company, a Participating Holder shall not be required to contribute any amount in excess of the dollar amount of the net proceeds (i.e., gross proceeds less underwriting discounts and commissions) received by such Holder under the sale of Registrable Securities giving rise to such contribution obligation less any amount paid by such Holders pursuant to Section 2.09(b). If indemnification is available under this Section 2.09, the indemnifying parties shall indemnify each indemnified party to the full extent provided in Section 2.09(a) and Section 2.09(b) hereof without regard to the provisions of this Section 2.09(d).</w:t>
      </w:r>
    </w:p>
    <w:p>
      <w:pPr>
        <w:spacing w:after="0" w:line="193" w:lineRule="exact"/>
        <w:rPr>
          <w:sz w:val="20"/>
          <w:szCs w:val="20"/>
          <w:color w:val="auto"/>
        </w:rPr>
      </w:pPr>
    </w:p>
    <w:p>
      <w:pPr>
        <w:ind w:right="180" w:firstLine="987"/>
        <w:spacing w:after="0" w:line="282" w:lineRule="auto"/>
        <w:tabs>
          <w:tab w:leader="none" w:pos="1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Exclusivity</w:t>
      </w:r>
      <w:r>
        <w:rPr>
          <w:rFonts w:ascii="Times New Roman" w:cs="Times New Roman" w:eastAsia="Times New Roman" w:hAnsi="Times New Roman"/>
          <w:sz w:val="18"/>
          <w:szCs w:val="18"/>
          <w:color w:val="auto"/>
        </w:rPr>
        <w:t>. The remedies provided for in this Section 2.09 are not exclusive and shall not limit any rights or remedies that may be available to any indemnified party at law or in equity or pursuant to any other agreement.</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indemnities provided in this Section 2.09 shall survive the transfer of any Registrable Securities by such Holder.</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Rules 144 and 144A and Regulation S; Form S-3</w:t>
      </w:r>
      <w:r>
        <w:rPr>
          <w:rFonts w:ascii="Times New Roman" w:cs="Times New Roman" w:eastAsia="Times New Roman" w:hAnsi="Times New Roman"/>
          <w:sz w:val="18"/>
          <w:szCs w:val="18"/>
          <w:color w:val="auto"/>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a Sponsor, make publicly available such necessary information for so long as necessary to permit sales pursuant to Rules 144 or 144A or Regulation S under the Securities Act), and it will take such further action as: (x) either Sponsor may reasonably request, all to the extent required from time to time to enable the Holders, following the IPO, to sell Registrable Securities without Registration under the Securities Act within the limitation of the exemptions provided by (i) Rules 144 or 144A or Regulation S under the Securities Act, as such Rules may be amended from time to time, or (ii) any similar rule or regulation hereafter adopted by the SEC; or (y) is necessary to qualify the Company to file registration statements on Form S-3. Upon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82" w:name="page83"/>
    <w:bookmarkEnd w:id="8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reasonable request of a Holder, the Company will deliver to such Holder a written statement as to whether it has complied with such requirements and, if not, the specifics thereof in reasonable detail.</w:t>
      </w:r>
    </w:p>
    <w:p>
      <w:pPr>
        <w:spacing w:after="0" w:line="162" w:lineRule="exact"/>
        <w:rPr>
          <w:sz w:val="20"/>
          <w:szCs w:val="20"/>
          <w:color w:val="auto"/>
        </w:rPr>
      </w:pPr>
    </w:p>
    <w:p>
      <w:pPr>
        <w:ind w:left="984"/>
        <w:spacing w:after="0"/>
        <w:tabs>
          <w:tab w:leader="none" w:pos="2304"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Limitation on Registrations and Underwritten Offerings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984"/>
        <w:spacing w:after="0"/>
        <w:tabs>
          <w:tab w:leader="none" w:pos="1344" w:val="left"/>
        </w:tabs>
        <w:rPr>
          <w:sz w:val="20"/>
          <w:szCs w:val="20"/>
          <w:color w:val="auto"/>
        </w:rPr>
      </w:pPr>
      <w:r>
        <w:rPr>
          <w:rFonts w:ascii="Times New Roman" w:cs="Times New Roman" w:eastAsia="Times New Roman" w:hAnsi="Times New Roman"/>
          <w:sz w:val="18"/>
          <w:szCs w:val="18"/>
          <w:color w:val="auto"/>
        </w:rPr>
        <w:t>(a)</w:t>
        <w:tab/>
        <w:t>Notwithstanding the rights and obligations set forth in Section 2.01 and 2.02, in no event shall the Company be obligated to take 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action to:</w:t>
      </w:r>
    </w:p>
    <w:p>
      <w:pPr>
        <w:spacing w:after="0" w:line="99" w:lineRule="exact"/>
        <w:rPr>
          <w:sz w:val="20"/>
          <w:szCs w:val="20"/>
          <w:color w:val="auto"/>
        </w:rPr>
      </w:pPr>
    </w:p>
    <w:p>
      <w:pPr>
        <w:ind w:left="444" w:right="160" w:firstLine="419"/>
        <w:spacing w:after="0" w:line="282" w:lineRule="auto"/>
        <w:tabs>
          <w:tab w:leader="none" w:pos="121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more than three (3) Registrations that are Long-Form Registrations or four (4) Marketed Underwritten Shelf Take-Downs at the request of WP and its Affiliates and Permitted Assignees each year; and</w:t>
      </w:r>
    </w:p>
    <w:p>
      <w:pPr>
        <w:spacing w:after="0" w:line="53"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26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more than three (3) Registrations that are Long-Form Registrations or four (4) Marketed Underwritten Shelf Take-Downs at the request of GTCR and its Affiliates and Permitted Assignees each year.</w:t>
      </w:r>
    </w:p>
    <w:p>
      <w:pPr>
        <w:spacing w:after="0" w:line="161"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38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2.11(c), there shall be no limit on the number of Demand Registrations (that are not Long-Form Registrations), Shelf Take-Downs or Underwritten Shelf Take-Downs (that are not Marketed Underwritten Shelf Take-Downs) that the Company shall be required to effect at the request of WP or GTCR.</w:t>
      </w:r>
    </w:p>
    <w:p>
      <w:pPr>
        <w:spacing w:after="0" w:line="17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7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rights and obligations set forth in Section 2.01 and 2.02, in no event shall the Company be obligated to take any action to (i) effect more than one (1) Marketed Underwritten Offering in any consecutive 90-day period without the consent of WP and GTCR or</w:t>
      </w:r>
    </w:p>
    <w:p>
      <w:pPr>
        <w:ind w:left="4" w:right="140" w:hanging="4"/>
        <w:spacing w:after="0" w:line="255"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Underwritten Offering unless the Sponsor initiating such Underwritten Offering proposes to sell all of such Sponsor’s Registrable Securities in such Underwritten Offering or if selling less than all of such Sponsor’s Registrable Securities having reasonably anticipated net aggregate proceeds (after deduction of underwriter commissions and offering expenses) of at least $50,000,000.</w:t>
      </w:r>
    </w:p>
    <w:p>
      <w:pPr>
        <w:spacing w:after="0" w:line="186" w:lineRule="exact"/>
        <w:rPr>
          <w:sz w:val="20"/>
          <w:szCs w:val="20"/>
          <w:color w:val="auto"/>
        </w:rPr>
      </w:pPr>
    </w:p>
    <w:p>
      <w:pPr>
        <w:ind w:left="984"/>
        <w:spacing w:after="0"/>
        <w:tabs>
          <w:tab w:leader="none" w:pos="2324"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Clear Market</w:t>
      </w:r>
      <w:r>
        <w:rPr>
          <w:rFonts w:ascii="Times New Roman" w:cs="Times New Roman" w:eastAsia="Times New Roman" w:hAnsi="Times New Roman"/>
          <w:sz w:val="17"/>
          <w:szCs w:val="17"/>
          <w:color w:val="auto"/>
        </w:rPr>
        <w:t>. With respect to any Underwritten Offerings of Registrable Securities by effected at the request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Sponsors (each a “</w:t>
      </w:r>
      <w:r>
        <w:rPr>
          <w:rFonts w:ascii="Times New Roman" w:cs="Times New Roman" w:eastAsia="Times New Roman" w:hAnsi="Times New Roman"/>
          <w:sz w:val="18"/>
          <w:szCs w:val="18"/>
          <w:u w:val="single" w:color="auto"/>
          <w:color w:val="auto"/>
        </w:rPr>
        <w:t>Sponsor Underwritten Offering</w:t>
      </w:r>
      <w:r>
        <w:rPr>
          <w:rFonts w:ascii="Times New Roman" w:cs="Times New Roman" w:eastAsia="Times New Roman" w:hAnsi="Times New Roman"/>
          <w:sz w:val="18"/>
          <w:szCs w:val="18"/>
          <w:color w:val="auto"/>
        </w:rPr>
        <w:t>”), the Company agrees not to effect (other than pursuant to the Registration applicable to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Sponsor Underwritten Offering, pursuant to a Special Registration or pursuant to the exercise by the other Sponsor of any of its rights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2.01 or Section 2.02) any public sale or distribution, or to file any Registration Statement (other than pursuant to the Registration applicable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Sponsor Underwritten Offering, pursuant to a Special Registration or pursuant to the exercise by the other Sponsor of any of its rights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2.01 or Section 2.02) covering any of its equity securities or any securities convertible into or exchangeable or exercisable for such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period not to exceed ten (10) days prior and sixty (60) days following the effective date of such offering or such longer period up to ninety</w:t>
      </w:r>
    </w:p>
    <w:p>
      <w:pPr>
        <w:spacing w:after="0" w:line="9" w:lineRule="exact"/>
        <w:rPr>
          <w:sz w:val="20"/>
          <w:szCs w:val="20"/>
          <w:color w:val="auto"/>
        </w:rPr>
      </w:pPr>
    </w:p>
    <w:p>
      <w:pPr>
        <w:ind w:left="344" w:hanging="344"/>
        <w:spacing w:after="0"/>
        <w:tabs>
          <w:tab w:leader="none" w:pos="3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as may be requested by the managing underwriter for such Sponsor Underwritten Offering. “</w:t>
      </w:r>
      <w:r>
        <w:rPr>
          <w:rFonts w:ascii="Times New Roman" w:cs="Times New Roman" w:eastAsia="Times New Roman" w:hAnsi="Times New Roman"/>
          <w:sz w:val="18"/>
          <w:szCs w:val="18"/>
          <w:u w:val="single" w:color="auto"/>
          <w:color w:val="auto"/>
        </w:rPr>
        <w:t>Special Registration</w:t>
      </w:r>
      <w:r>
        <w:rPr>
          <w:rFonts w:ascii="Times New Roman" w:cs="Times New Roman" w:eastAsia="Times New Roman" w:hAnsi="Times New Roman"/>
          <w:sz w:val="18"/>
          <w:szCs w:val="18"/>
          <w:color w:val="auto"/>
        </w:rPr>
        <w:t>” means the registration of</w:t>
      </w:r>
    </w:p>
    <w:p>
      <w:pPr>
        <w:spacing w:after="0" w:line="9" w:lineRule="exact"/>
        <w:rPr>
          <w:rFonts w:ascii="Times New Roman" w:cs="Times New Roman" w:eastAsia="Times New Roman" w:hAnsi="Times New Roman"/>
          <w:sz w:val="18"/>
          <w:szCs w:val="18"/>
          <w:color w:val="auto"/>
        </w:rPr>
      </w:pPr>
    </w:p>
    <w:p>
      <w:pPr>
        <w:ind w:left="4" w:righ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equity securities and/or options or other rights in respect thereof solely registered on Form S-4 or S-8 (or successor form), (B) shares of equity securities and/or options or other rights in respect thereof to be offered to directors, employees, consultants, customers, lenders or vendors of the Company or its Subsidiaries or 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83" w:name="page84"/>
    <w:bookmarkEnd w:id="83"/>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dividend reinvestment plans, (C) a registration not otherwise covered by clause (B) above pursuant to which the Company is offering to exchange its own securities for other securities or (D) a Registration Statement related solely to dividend reinvestment or similar plan.</w:t>
      </w:r>
    </w:p>
    <w:p>
      <w:pPr>
        <w:spacing w:after="0" w:line="162"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In-Kind Distributions</w:t>
      </w:r>
      <w:r>
        <w:rPr>
          <w:rFonts w:ascii="Times New Roman" w:cs="Times New Roman" w:eastAsia="Times New Roman" w:hAnsi="Times New Roman"/>
          <w:sz w:val="18"/>
          <w:szCs w:val="18"/>
          <w:color w:val="auto"/>
        </w:rPr>
        <w:t>. If any Holder seeks to effectuate an in-kind distribution of all or part of its Company Shares to its direct or indirect equityholders, the Company will, subject to applicable lock-ups pursuant to Section 2.04, reasonably cooperate with and assist such Holder, such equityholders and the Company’s transfer agent to facilitate such in-kind distribution in the manner reasonably requested by such Holder (including the delivery of instruction letters by the Company or its counsel to the Company’s transfer agent and the delivery of Company Shares without restrictive legends, to the extent no longer applicable).</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with respect to any Holder (a) with the prior written consent of both Sponsors in connection with the consummation of a Change of Control or (b) at such time as such Holder does not beneficially own any Registrable Securities. Notwithstanding the foregoing, the provisions of Section 2.09, Section 2.10 and Section 2.13 and all of this Article III shall survive any such termination. Upon the written request of the Company, each Holder agrees to promptly deliver a certificate to the Company setting forth the number of Registrable Securities then beneficially owned by such Holder.</w:t>
      </w:r>
    </w:p>
    <w:p>
      <w:pPr>
        <w:spacing w:after="0" w:line="183"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It is hereby agreed and acknowledged that it will be impossible to measure in money the 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 enforce such obligations, and if any action should be brought in equity to enforce any of the provisions of this Agreement, none of the parties hereto shall raise the defense that there is an adequate remedy at law.</w:t>
      </w:r>
    </w:p>
    <w:p>
      <w:pPr>
        <w:spacing w:after="0" w:line="18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w:t>
      </w:r>
    </w:p>
    <w:p>
      <w:pPr>
        <w:spacing w:after="0" w:line="176" w:lineRule="exact"/>
        <w:rPr>
          <w:sz w:val="20"/>
          <w:szCs w:val="20"/>
          <w:color w:val="auto"/>
        </w:rPr>
      </w:pPr>
    </w:p>
    <w:p>
      <w:pPr>
        <w:ind w:left="984"/>
        <w:spacing w:after="0"/>
        <w:tabs>
          <w:tab w:leader="none" w:pos="2324"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Agreement shall be in writing and shall be deemed given</w:t>
      </w:r>
    </w:p>
    <w:p>
      <w:pPr>
        <w:spacing w:after="0" w:line="27" w:lineRule="exact"/>
        <w:rPr>
          <w:sz w:val="20"/>
          <w:szCs w:val="20"/>
          <w:color w:val="auto"/>
        </w:rPr>
      </w:pPr>
    </w:p>
    <w:p>
      <w:pPr>
        <w:ind w:left="4" w:right="100" w:hanging="4"/>
        <w:spacing w:after="0" w:line="253"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delivered personally by hand (with written confirmation of receipt), (b) when sent by facsimile (with written confirmation of transmission) or e-mail or (c) one (1) Business Day following the day sent by overnight courier (with written confirmation of receipt), in each case at the following addresses, e-mail addresses or facsimile numbers, or in the case of the Holders, to the addresses, e-mail addresses or facsimile numbers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applicable (or to such other address, e-mail address or facsimile number as a party may have specified by notice given to the other party pursuant to this provision):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440-526-6134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J. Leffler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Matthew J. Klaben</w:t>
      </w:r>
    </w:p>
    <w:p>
      <w:pPr>
        <w:spacing w:after="0" w:line="207" w:lineRule="exact"/>
        <w:rPr>
          <w:sz w:val="20"/>
          <w:szCs w:val="20"/>
          <w:color w:val="auto"/>
        </w:rPr>
      </w:pPr>
    </w:p>
    <w:p>
      <w:pPr>
        <w:jc w:val="both"/>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sleffler@soterahealth.com</w:t>
      </w:r>
    </w:p>
    <w:p>
      <w:pPr>
        <w:spacing w:after="0" w:line="27" w:lineRule="exact"/>
        <w:rPr>
          <w:sz w:val="20"/>
          <w:szCs w:val="20"/>
          <w:color w:val="auto"/>
        </w:rPr>
      </w:pPr>
    </w:p>
    <w:p>
      <w:pPr>
        <w:jc w:val="right"/>
        <w:ind w:right="6299"/>
        <w:spacing w:after="0"/>
        <w:rPr>
          <w:sz w:val="20"/>
          <w:szCs w:val="20"/>
          <w:color w:val="auto"/>
        </w:rPr>
      </w:pPr>
      <w:r>
        <w:rPr>
          <w:rFonts w:ascii="Times New Roman" w:cs="Times New Roman" w:eastAsia="Times New Roman" w:hAnsi="Times New Roman"/>
          <w:sz w:val="18"/>
          <w:szCs w:val="18"/>
          <w:color w:val="auto"/>
        </w:rPr>
        <w:t>mklaben@soterahealth.com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225-3999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Lopez</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Matthew P. Salerno</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dlopez@cgsh.com</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msalerno@cgsh.com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Warburg Pincus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878-9359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C. Neary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Lora Giampetruzzi</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jim.neary@warburgpincus.com</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lora.giampetruzzi@warburgpincus.com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39"/>
          </w:cols>
          <w:pgMar w:left="1420" w:top="270" w:right="1440"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 225-3999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David Lopez</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Matthew P. Salerno</w:t>
      </w:r>
    </w:p>
    <w:p>
      <w:pPr>
        <w:spacing w:after="0" w:line="9" w:lineRule="exact"/>
        <w:rPr>
          <w:sz w:val="20"/>
          <w:szCs w:val="20"/>
          <w:color w:val="auto"/>
        </w:rPr>
      </w:pPr>
    </w:p>
    <w:p>
      <w:pPr>
        <w:ind w:left="980"/>
        <w:spacing w:after="0"/>
        <w:tabs>
          <w:tab w:leader="none" w:pos="1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dlopez@cgsh.com</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msalerno@cgsh.com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GTCR: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GTCR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North LaSalle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980"/>
        <w:spacing w:after="0"/>
        <w:tabs>
          <w:tab w:leader="none" w:pos="17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(312) 382-2201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Constantine S. Mihas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9" w:lineRule="exact"/>
        <w:rPr>
          <w:sz w:val="20"/>
          <w:szCs w:val="20"/>
          <w:color w:val="auto"/>
        </w:rPr>
      </w:pPr>
    </w:p>
    <w:p>
      <w:pPr>
        <w:ind w:left="980"/>
        <w:spacing w:after="0"/>
        <w:tabs>
          <w:tab w:leader="none" w:pos="1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cmihas@gtcr.com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North LaSalle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980"/>
        <w:spacing w:after="0"/>
        <w:tabs>
          <w:tab w:leader="none" w:pos="16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(312) 862-2200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Sanford E. Perl, P.C.</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Michael H. Weed, P.C.</w:t>
      </w:r>
    </w:p>
    <w:p>
      <w:pPr>
        <w:spacing w:after="0" w:line="9" w:lineRule="exact"/>
        <w:rPr>
          <w:sz w:val="20"/>
          <w:szCs w:val="20"/>
          <w:color w:val="auto"/>
        </w:rPr>
      </w:pPr>
    </w:p>
    <w:p>
      <w:pPr>
        <w:ind w:left="980"/>
        <w:spacing w:after="0"/>
        <w:tabs>
          <w:tab w:leader="none" w:pos="1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sperl@kirkland.com</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mweed@kirkland.com</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terms and provisions of this Agreement may only be amended, modified or waived at any time and from time to time by a writing executed by the Company and each Sponsor (for so long as such Sponsor holds any Registrable Securities); provided that any amendment, modification or waiver that would, by its terms, have a disproportionate material adverse effect on any Holder (other than the Sponsors) relative to another Holder (other than as a result of such Holder electing not to exercise any rights granted to such Holder pursuant to the terms of this Agreement) shall require the written consent of that Holder. All Holder shall receive notice of any amendment to this Agreement.</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Each party may assign all or a portion of its rights hereunder to any Person to which such party Transfers (as defined in the Stockholders Agreement), other than in a Public Sale (as defined in the Stockholders Agreement) all or any of its Registrable Securities and to any Person that acquires Registrable Securities, in each case in compliance with the terms of the Stockholders Agreement (including in the case of the Sponsors, to any Affiliate of such Sponsor or any Person that acquires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Registrable Securities from such Sponsor other than in a Public Sale) (each such Person, a “</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shall only be admitted as a party hereunder upon its, his or her execution and delivery of a joinder agreement, in form and substance acceptable to the Sponsors, agreeing to be bound by the terms and conditions of this Agreement as if such Person were a party hereto (together with any other documents the Sponsors determine are necessary to make such Person a party hereto), whereupon such Person will be treated as a Holder for all purposes of this Agreement, with the same rights, benefits and obligations hereunder as the Transferring Holder with respect to the Transferred Registrable Securities (except that if the Transferee was a Holder prior to such Transfer, such Transferee shall have the same rights, benefits and obligations with respect to the such Transferred Registrable Securities as were applicable to Registrable Securities held by such Transferee prior to such Transfer).</w:t>
      </w:r>
    </w:p>
    <w:p>
      <w:pPr>
        <w:spacing w:after="0" w:line="18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Except as otherwise provided in this Agreement, the terms and provisions of this Agreement shall be binding on and inure to the benefit of each of the parties hereto and their respective successors.</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Nothing in this Agreement, express or implied, is intended or shall be construed to confer upon any Person not a party hereto (other than those Persons entitled to indemnity or contribution under Section 2.09, each of whom shall be a third party beneficiary thereof) any right, remedy or claim under or by virtue of this Agreement.</w:t>
      </w:r>
    </w:p>
    <w:p>
      <w:pPr>
        <w:spacing w:after="0" w:line="176"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AND CONSTRUED IN ACCORDANCE WITH THE INTERNAL LAWS OF THE STATE OF DELAWARE, WITHOUT REGARD TO THE CONFLICTS OF LAW PRINCIPLES THEREOF. ANY ACTION OR PROCEEDING AGAINST THE PARTIES RELATING IN ANY WAY TO THIS AGREEMENT MAY BE BROUGHT AND ENFORCED EXCLUSIVELY IN THE CHANCERY COURT OF THE STATE OF DELAWARE LOCATED IN WILMINGTON, DELAWARE (OR, IF THE CHANCERY COURT OF THE STATE OF DELAWARE DECLINES TO ACCEPT JURISDICTION OVER A PARTICULAR MATTER, ANY STATE COURT LOCATED IN WILMINGTON, DELAWARE OR THE UNITED STATES DISTRICT COURT FOR THE DISTRICT OF DELAWARE) AND APPELLATE COURTS THEREOF. THE PARTIES HEREBY IRREVOCABLY WAIVE, TO THE FULLEST EXTENT PERMITTED BY APPLICABLE LAW, ANY OBJECTION THAT THEY MAY NOW OR HEREAFTER HAVE TO THE LAYING OF VENUE OF ANY SUCH ACTION BROUGHT IN SUCH COURT OR ANY DEFENSE OF INCONVENIENT FORUM FOR THE MAINTENANCE OF SUCH ACTION.</w:t>
      </w:r>
    </w:p>
    <w:p>
      <w:pPr>
        <w:spacing w:after="0" w:line="194"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87" w:name="page88"/>
    <w:bookmarkEnd w:id="87"/>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SECTION 3.10.</w:t>
      </w:r>
    </w:p>
    <w:p>
      <w:pPr>
        <w:spacing w:after="0" w:line="164"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to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shall constitute one and the same agreement.</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 references herein and in the table of contents hereto are for convenience purposes only, do not constitute a part of this Agreement and shall not be deemed to limit or affect any of the provisions hereof.</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Any Person that holds Company Shares may, with the prior written consent of both Sponsors, be admitted as a party to this Agreement upon its execution and delivery to the Company of a joinder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however that if such Person is a Permitted Assignee of a Holder, the consent of the Sponsors shall not be required to permit such Person to execute and deliver such joinder agreement.</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Existing Registration Statements</w:t>
      </w:r>
      <w:r>
        <w:rPr>
          <w:rFonts w:ascii="Times New Roman" w:cs="Times New Roman" w:eastAsia="Times New Roman" w:hAnsi="Times New Roman"/>
          <w:sz w:val="18"/>
          <w:szCs w:val="18"/>
          <w:color w:val="auto"/>
        </w:rPr>
        <w:t xml:space="preserve">. Notwithstanding anything herein to the contrary and subject to applicable law and regulation, the Company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previously filed registration statement may be amended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Issuer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w:t>
      </w:r>
    </w:p>
    <w:p>
      <w:pPr>
        <w:spacing w:after="0" w:line="194" w:lineRule="exact"/>
        <w:rPr>
          <w:sz w:val="20"/>
          <w:szCs w:val="20"/>
          <w:color w:val="auto"/>
        </w:rPr>
      </w:pPr>
    </w:p>
    <w:p>
      <w:pPr>
        <w:ind w:right="6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Investment Banking Services</w:t>
      </w:r>
      <w:r>
        <w:rPr>
          <w:rFonts w:ascii="Times New Roman" w:cs="Times New Roman" w:eastAsia="Times New Roman" w:hAnsi="Times New Roman"/>
          <w:sz w:val="18"/>
          <w:szCs w:val="18"/>
          <w:color w:val="auto"/>
        </w:rPr>
        <w:t>. Notwithstanding anything to the contrary herein or any actions or omissions by representatives of any Sponsor or their respective Affiliates in whatever capacity, including as a member or observer to the Company’s Board of Directors, it is understood that neither of the Sponsors nor any of their respective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Affiliates is acting as a financial advisor, agent or underwriter to the Company or any of its Affiliates or otherwise on behalf of the Company or any of its Affiliates unless retained to provide such services pursuant to a separate written agreement.</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Other Activities</w:t>
      </w:r>
      <w:r>
        <w:rPr>
          <w:rFonts w:ascii="Times New Roman" w:cs="Times New Roman" w:eastAsia="Times New Roman" w:hAnsi="Times New Roman"/>
          <w:sz w:val="18"/>
          <w:szCs w:val="18"/>
          <w:color w:val="auto"/>
        </w:rPr>
        <w:t>. Notwithstanding anything in this Agreement, none of the provisions of this Agreement shall in any way limit a Holder or any of its Affiliates from engaging in any brokerage, investment advisory, financial advisory, anti-raid advisory, principaling, merger advisory, financing, asset management, trading, market making, arbitrage, investment activity and other similar activities conducted in the ordinary course of their business.</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20"/>
          </w:cols>
          <w:pgMar w:left="440" w:top="270"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90" w:name="page91"/>
    <w:bookmarkEnd w:id="9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WP XI</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WARBURG PINCUS PRIVATE EQUITY XI, L.P.</w:t>
      </w:r>
    </w:p>
    <w:p>
      <w:pPr>
        <w:spacing w:after="0" w:line="3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XI PARTNERS</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WARBURG PINCUS XI PARTNERS, L.P.</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XI PARTNERS</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WP XI PARTNERS, L.P.</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XI PARTNERS</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WP XI PARTNERS, L.P.</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80"/>
          </w:cols>
          <w:pgMar w:left="1440" w:top="266" w:right="1179" w:bottom="1440" w:gutter="0" w:footer="0" w:header="0"/>
        </w:sectPr>
      </w:pPr>
    </w:p>
    <w:bookmarkStart w:id="91" w:name="page92"/>
    <w:bookmarkEnd w:id="9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WP XI-B</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WARBURG PINCUS PRIVATE EQUITY XI-B, L.P.</w:t>
      </w:r>
    </w:p>
    <w:p>
      <w:pPr>
        <w:spacing w:after="0" w:line="3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XI</w:t>
      </w:r>
      <w:r>
        <w:rPr>
          <w:rFonts w:ascii="Times New Roman" w:cs="Times New Roman" w:eastAsia="Times New Roman" w:hAnsi="Times New Roman"/>
          <w:sz w:val="18"/>
          <w:szCs w:val="18"/>
          <w:color w:val="auto"/>
        </w:rPr>
        <w:t>-C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WARBURG PINCUS PRIVATE EQUITY XI-C, L.P.</w:t>
      </w:r>
    </w:p>
    <w:p>
      <w:pPr>
        <w:spacing w:after="0" w:line="3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CO-INVEST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BULL CO-INVEST L.P.</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460"/>
          </w:cols>
          <w:pgMar w:left="1440" w:top="266" w:right="999" w:bottom="1440" w:gutter="0" w:footer="0" w:header="0"/>
        </w:sectPr>
      </w:pPr>
    </w:p>
    <w:bookmarkStart w:id="92" w:name="page93"/>
    <w:bookmarkEnd w:id="9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GTCR FUND XI/A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GTCR Partners XI/A&amp;C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GTCR Investment XI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FUND XI/C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GTCR Partners XI/A&amp;C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GTCR Investment XI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GTCR Investment XI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0020"/>
          </w:cols>
          <w:pgMar w:left="1440" w:top="266" w:right="439" w:bottom="1440" w:gutter="0" w:footer="0" w:header="0"/>
        </w:sectPr>
      </w:pPr>
    </w:p>
    <w:bookmarkStart w:id="93" w:name="page94"/>
    <w:bookmarkEnd w:id="9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5114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94" w:name="page95"/>
    <w:bookmarkEnd w:id="94"/>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FORM OF JOINDER AGREEMENT</w:t>
      </w:r>
    </w:p>
    <w:p>
      <w:pPr>
        <w:spacing w:after="0" w:line="225" w:lineRule="exact"/>
        <w:rPr>
          <w:sz w:val="20"/>
          <w:szCs w:val="20"/>
          <w:color w:val="auto"/>
        </w:rPr>
      </w:pPr>
    </w:p>
    <w:p>
      <w:pPr>
        <w:jc w:val="center"/>
        <w:ind w:right="-23"/>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-7620</wp:posOffset>
            </wp:positionV>
            <wp:extent cx="114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-7620</wp:posOffset>
            </wp:positionV>
            <wp:extent cx="114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jc w:val="center"/>
        <w:ind w:right="156"/>
        <w:spacing w:after="0"/>
        <w:tabs>
          <w:tab w:leader="none" w:pos="160" w:val="left"/>
        </w:tabs>
        <w:rPr>
          <w:sz w:val="20"/>
          <w:szCs w:val="20"/>
          <w:color w:val="auto"/>
        </w:rPr>
      </w:pPr>
      <w:r>
        <w:rPr>
          <w:rFonts w:ascii="Times New Roman" w:cs="Times New Roman" w:eastAsia="Times New Roman" w:hAnsi="Times New Roman"/>
          <w:sz w:val="18"/>
          <w:szCs w:val="18"/>
          <w:color w:val="auto"/>
        </w:rPr>
        <w:t>THIS JOINDER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the date first written above by [</w:t>
      </w:r>
      <w:r>
        <w:rPr>
          <w:sz w:val="20"/>
          <w:szCs w:val="20"/>
          <w:color w:val="auto"/>
        </w:rPr>
        <w:tab/>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Joining Party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-7620</wp:posOffset>
            </wp:positionV>
            <wp:extent cx="114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left="4" w:right="760" w:firstLine="991"/>
        <w:spacing w:after="0" w:line="266" w:lineRule="auto"/>
        <w:rPr>
          <w:sz w:val="20"/>
          <w:szCs w:val="20"/>
          <w:color w:val="auto"/>
        </w:rPr>
      </w:pPr>
      <w:r>
        <w:rPr>
          <w:rFonts w:ascii="Times New Roman" w:cs="Times New Roman" w:eastAsia="Times New Roman" w:hAnsi="Times New Roman"/>
          <w:sz w:val="18"/>
          <w:szCs w:val="18"/>
          <w:color w:val="auto"/>
        </w:rPr>
        <w:t>WHEREAS,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a party to that certain Amended and Restated Registration Rights Agreement, dated as of [•], 2020 (as the same may be amended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(Capitalized terms used but not defined herein shall have the meanings ascribed to them in the Registration Rights Agreement);</w:t>
      </w:r>
    </w:p>
    <w:p>
      <w:pPr>
        <w:spacing w:after="0" w:line="176"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[WHEREAS, Section 3.06 of the Registration Rights Agreement provides that as a condition to becoming a party to the Registration Rights Agreement and with the prior written consent of both Sponsors, a Person must execute and deliver to the Company a joinder agreement pursuant to which such Person agrees to be bound by the terms and conditions of the Registration Rights Agreement as if such Person were a party thereto, whereupon such Person will be treated as a Holder for all purposes of the Registration Rights Agreement;]</w:t>
      </w:r>
      <w:r>
        <w:rPr>
          <w:rFonts w:ascii="Times New Roman" w:cs="Times New Roman" w:eastAsia="Times New Roman" w:hAnsi="Times New Roman"/>
          <w:sz w:val="15"/>
          <w:szCs w:val="15"/>
          <w:color w:val="auto"/>
        </w:rPr>
        <w:t>1</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the Joining Party is a Permitted Assignee of a Sponsor;]</w:t>
      </w:r>
      <w:r>
        <w:rPr>
          <w:rFonts w:ascii="Times New Roman" w:cs="Times New Roman" w:eastAsia="Times New Roman" w:hAnsi="Times New Roman"/>
          <w:sz w:val="15"/>
          <w:szCs w:val="15"/>
          <w:color w:val="auto"/>
        </w:rPr>
        <w:t>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the Joining Party is a Permitted Assignee of a Holder;]</w:t>
      </w:r>
      <w:r>
        <w:rPr>
          <w:rFonts w:ascii="Times New Roman" w:cs="Times New Roman" w:eastAsia="Times New Roman" w:hAnsi="Times New Roman"/>
          <w:sz w:val="15"/>
          <w:szCs w:val="15"/>
          <w:color w:val="auto"/>
        </w:rPr>
        <w:t>3</w:t>
      </w:r>
    </w:p>
    <w:p>
      <w:pPr>
        <w:spacing w:after="0" w:line="225"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WHEREAS, the Joining Party holds Company Shares and desires to become a Holder under the Registration Rights Agreement by executing a copy of this Agreement; and</w:t>
      </w:r>
    </w:p>
    <w:p>
      <w:pPr>
        <w:spacing w:after="0" w:line="16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WHEREAS, the Joining Party has reviewed the terms of the Registration Rights Agreement and determined that it is desirable and in the Joining Party’s best interest to execute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NOW, THEREFORE, the Joining Party hereby agrees as follows:</w:t>
      </w:r>
    </w:p>
    <w:p>
      <w:pPr>
        <w:spacing w:after="0" w:line="225" w:lineRule="exact"/>
        <w:rPr>
          <w:sz w:val="20"/>
          <w:szCs w:val="20"/>
          <w:color w:val="auto"/>
        </w:rPr>
      </w:pPr>
    </w:p>
    <w:p>
      <w:pPr>
        <w:ind w:left="4" w:firstLine="987"/>
        <w:spacing w:after="0" w:line="261" w:lineRule="auto"/>
        <w:tabs>
          <w:tab w:leader="none" w:pos="13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of Registration Rights Agreement</w:t>
      </w:r>
      <w:r>
        <w:rPr>
          <w:rFonts w:ascii="Times New Roman" w:cs="Times New Roman" w:eastAsia="Times New Roman" w:hAnsi="Times New Roman"/>
          <w:sz w:val="18"/>
          <w:szCs w:val="18"/>
          <w:color w:val="auto"/>
        </w:rPr>
        <w:t xml:space="preserve">. By executing this Agreement, the Joining Party (a) accepts and agrees to be bound by all of the terms and provisions of the Registration Rights Agreement as if it were an original signatory thereto, (b) shall be added 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of the Registration Rights Agreement as a [Sponsor and]</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Holder and (c) shall be deemed to be, and shall be entitled to all of the rights and subject to all of the obligations of a [Sponsor and]</w:t>
      </w:r>
      <w:r>
        <w:rPr>
          <w:rFonts w:ascii="Times New Roman" w:cs="Times New Roman" w:eastAsia="Times New Roman" w:hAnsi="Times New Roman"/>
          <w:sz w:val="15"/>
          <w:szCs w:val="15"/>
          <w:color w:val="auto"/>
        </w:rPr>
        <w:t>5</w:t>
      </w:r>
      <w:r>
        <w:rPr>
          <w:rFonts w:ascii="Times New Roman" w:cs="Times New Roman" w:eastAsia="Times New Roman" w:hAnsi="Times New Roman"/>
          <w:sz w:val="18"/>
          <w:szCs w:val="18"/>
          <w:color w:val="auto"/>
        </w:rPr>
        <w:t xml:space="preserve"> Holder thereunder who is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deleted if Joining Party is a Permitted Assignee of a Sponsor or other Holder.</w:t>
      </w:r>
    </w:p>
    <w:p>
      <w:pPr>
        <w:spacing w:after="0" w:line="26"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included if Joining Party is a Permitted Assignee of a Sponsor.</w:t>
      </w:r>
    </w:p>
    <w:p>
      <w:pPr>
        <w:spacing w:after="0" w:line="9"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included if Joining Party is a Permitted Assignee of a Holder other than a Sponsor.</w:t>
      </w:r>
    </w:p>
    <w:p>
      <w:pPr>
        <w:spacing w:after="0" w:line="9"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included if Joining Party is a Permitted Assignee of a Sponsor.</w:t>
      </w:r>
    </w:p>
    <w:p>
      <w:pPr>
        <w:spacing w:after="0" w:line="9"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included if Joining Party is a Permitted Assignee of a Sponsor.</w:t>
      </w:r>
    </w:p>
    <w:p>
      <w:pPr>
        <w:sectPr>
          <w:pgSz w:w="11900" w:h="16838" w:orient="portrait"/>
          <w:cols w:equalWidth="0" w:num="1">
            <w:col w:w="10984"/>
          </w:cols>
          <w:pgMar w:left="436" w:top="266" w:right="479" w:bottom="1440" w:gutter="0" w:footer="0" w:header="0"/>
        </w:sectPr>
      </w:pPr>
    </w:p>
    <w:bookmarkStart w:id="95" w:name="page96"/>
    <w:bookmarkEnd w:id="95"/>
    <w:p>
      <w:pPr>
        <w:ind w:left="1304" w:hanging="313"/>
        <w:spacing w:after="0"/>
        <w:tabs>
          <w:tab w:leader="none" w:pos="13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obligation enforceable against the Joining Party in accordance with its terms.</w:t>
      </w:r>
    </w:p>
    <w:p>
      <w:pPr>
        <w:spacing w:after="0" w:line="225" w:lineRule="exact"/>
        <w:rPr>
          <w:rFonts w:ascii="Times New Roman" w:cs="Times New Roman" w:eastAsia="Times New Roman" w:hAnsi="Times New Roman"/>
          <w:sz w:val="18"/>
          <w:szCs w:val="18"/>
          <w:color w:val="auto"/>
        </w:rPr>
      </w:pPr>
    </w:p>
    <w:p>
      <w:pPr>
        <w:ind w:left="4" w:firstLine="1428"/>
        <w:spacing w:after="0" w:line="266" w:lineRule="auto"/>
        <w:tabs>
          <w:tab w:leader="none" w:pos="183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Joining Party has received a copy of the Registration Rights Agreement. The Joining Party has read and understands the terms of the Registration Rights Agreement and has been afforded the opportunity to ask questions concerning the Company and the Registration Rights Agreement.</w:t>
      </w:r>
    </w:p>
    <w:p>
      <w:pPr>
        <w:spacing w:after="0" w:line="175"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3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of the Sponsors</w:t>
      </w:r>
      <w:r>
        <w:rPr>
          <w:rFonts w:ascii="Times New Roman" w:cs="Times New Roman" w:eastAsia="Times New Roman" w:hAnsi="Times New Roman"/>
          <w:sz w:val="18"/>
          <w:szCs w:val="18"/>
          <w:color w:val="auto"/>
        </w:rPr>
        <w:t>. The acknowledgement of this Agreement by both Sponsors shall constitute the prior written consent of the Sponsors for purposes of Section 3.06 of the Registration Rights Agreement.]</w:t>
      </w:r>
      <w:r>
        <w:rPr>
          <w:rFonts w:ascii="Times New Roman" w:cs="Times New Roman" w:eastAsia="Times New Roman" w:hAnsi="Times New Roman"/>
          <w:sz w:val="15"/>
          <w:szCs w:val="15"/>
          <w:color w:val="auto"/>
        </w:rPr>
        <w:t>6</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modified by this Agreement, all of the terms, covenants, agreements, conditions and other provisions of the Registration Rights Agreement shall remain in full force and effect in accordance with its terms.</w:t>
      </w:r>
    </w:p>
    <w:p>
      <w:pPr>
        <w:spacing w:after="0" w:line="161" w:lineRule="exact"/>
        <w:rPr>
          <w:rFonts w:ascii="Times New Roman" w:cs="Times New Roman" w:eastAsia="Times New Roman" w:hAnsi="Times New Roman"/>
          <w:sz w:val="18"/>
          <w:szCs w:val="18"/>
          <w:color w:val="auto"/>
        </w:rPr>
      </w:pPr>
    </w:p>
    <w:p>
      <w:pPr>
        <w:ind w:left="4" w:right="480" w:firstLine="987"/>
        <w:spacing w:after="0" w:line="282" w:lineRule="auto"/>
        <w:tabs>
          <w:tab w:leader="none" w:pos="13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provided to the Joining Party shall be sent or delivered to [___], unless and until the Company has received written notice from the Joining Party of a changed address.</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applicable to contracts made and to be performed entirely within such state.</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To be deleted if Joining Party is a Permitted Assignee of a Sponsor or other Holder.</w:t>
      </w:r>
    </w:p>
    <w:p>
      <w:pPr>
        <w:sectPr>
          <w:pgSz w:w="11900" w:h="16838" w:orient="portrait"/>
          <w:cols w:equalWidth="0" w:num="1">
            <w:col w:w="10984"/>
          </w:cols>
          <w:pgMar w:left="436" w:top="270"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Joining Party has executed and delivered this Agreement as of the date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JOINING PARTY:</w:t>
      </w:r>
    </w:p>
    <w:p>
      <w:pPr>
        <w:spacing w:after="0" w:line="229" w:lineRule="exact"/>
        <w:rPr>
          <w:sz w:val="20"/>
          <w:szCs w:val="20"/>
          <w:color w:val="auto"/>
        </w:rPr>
      </w:pPr>
    </w:p>
    <w:p>
      <w:pPr>
        <w:ind w:left="5640"/>
        <w:spacing w:after="0"/>
        <w:tabs>
          <w:tab w:leader="none" w:pos="586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291465</wp:posOffset>
            </wp:positionV>
            <wp:extent cx="27946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114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Joinder to Sterigenics-Nordion Registration Rights Agreement]</w:t>
      </w:r>
    </w:p>
    <w:p>
      <w:pPr>
        <w:sectPr>
          <w:pgSz w:w="11900" w:h="16838" w:orient="portrait"/>
          <w:cols w:equalWidth="0" w:num="1">
            <w:col w:w="9039"/>
          </w:cols>
          <w:pgMar w:left="1420" w:top="270" w:right="1440" w:bottom="1440" w:gutter="0" w:footer="0" w:header="0"/>
        </w:sectPr>
      </w:pPr>
    </w:p>
    <w:bookmarkStart w:id="97" w:name="page98"/>
    <w:bookmarkEnd w:id="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Acknowledged and Accepted: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[WARBURG PINCUS SPONSOR] </w:t>
      </w:r>
      <w:r>
        <w:rPr>
          <w:rFonts w:ascii="Times New Roman" w:cs="Times New Roman" w:eastAsia="Times New Roman" w:hAnsi="Times New Roman"/>
          <w:sz w:val="15"/>
          <w:szCs w:val="15"/>
          <w:b w:val="1"/>
          <w:bCs w:val="1"/>
          <w:color w:val="auto"/>
        </w:rPr>
        <w:t>7</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[GTCR SPONSOR] </w:t>
      </w:r>
      <w:r>
        <w:rPr>
          <w:rFonts w:ascii="Times New Roman" w:cs="Times New Roman" w:eastAsia="Times New Roman" w:hAnsi="Times New Roman"/>
          <w:sz w:val="15"/>
          <w:szCs w:val="15"/>
          <w:b w:val="1"/>
          <w:bCs w:val="1"/>
          <w:color w:val="auto"/>
        </w:rPr>
        <w:t>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24" w:hanging="424"/>
        <w:spacing w:after="0"/>
        <w:tabs>
          <w:tab w:leader="none" w:pos="42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Note to Form: To be deleted if Joining Party is a Permitted Assignee of a Sponsor or other Holder.</w:t>
      </w:r>
    </w:p>
    <w:p>
      <w:pPr>
        <w:spacing w:after="0" w:line="38"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Note to Form: To be deleted if Joining Party is a Permitted Assignee of a Sponsor or other Holder.</w:t>
      </w:r>
    </w:p>
    <w:p>
      <w:pPr>
        <w:sectPr>
          <w:pgSz w:w="11900" w:h="16838" w:orient="portrait"/>
          <w:cols w:equalWidth="0" w:num="1">
            <w:col w:w="10023"/>
          </w:cols>
          <w:pgMar w:left="436" w:top="270"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Holders</w:t>
      </w:r>
    </w:p>
    <w:p>
      <w:pPr>
        <w:sectPr>
          <w:pgSz w:w="11900" w:h="16838" w:orient="portrait"/>
          <w:cols w:equalWidth="0" w:num="1">
            <w:col w:w="9019"/>
          </w:cols>
          <w:pgMar w:left="1440" w:top="266" w:right="1440"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tc>
      </w:tr>
      <w:tr>
        <w:trPr>
          <w:trHeight w:val="391"/>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40" w:type="dxa"/>
            <w:vAlign w:val="bottom"/>
            <w:gridSpan w:val="7"/>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w w:val="97"/>
              </w:rPr>
              <w:t>INDEMNIFICATION AGREEMENT</w:t>
            </w: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400" w:type="dxa"/>
            <w:vAlign w:val="bottom"/>
          </w:tcPr>
          <w:p>
            <w:pPr>
              <w:spacing w:after="0"/>
              <w:rPr>
                <w:sz w:val="24"/>
                <w:szCs w:val="24"/>
                <w:color w:val="auto"/>
              </w:rPr>
            </w:pPr>
          </w:p>
        </w:tc>
        <w:tc>
          <w:tcPr>
            <w:tcW w:w="50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This Indemnification Agreement (this “Agreement”) is made as of</w:t>
            </w:r>
          </w:p>
        </w:tc>
        <w:tc>
          <w:tcPr>
            <w:tcW w:w="5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20   , by and between Sotera Health Company, a Delaware corporation</w:t>
            </w: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196"/>
        </w:trPr>
        <w:tc>
          <w:tcPr>
            <w:tcW w:w="23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(the “Company”), and</w:t>
            </w:r>
          </w:p>
        </w:tc>
        <w:tc>
          <w:tcPr>
            <w:tcW w:w="8720" w:type="dxa"/>
            <w:vAlign w:val="bottom"/>
            <w:gridSpan w:val="10"/>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(“Indemnitee”). This Agreement supersedes and replaces any and all previous Agreements between the Company and</w:t>
            </w:r>
          </w:p>
        </w:tc>
      </w:tr>
      <w:tr>
        <w:trPr>
          <w:trHeight w:val="20"/>
        </w:trPr>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7"/>
        </w:trPr>
        <w:tc>
          <w:tcPr>
            <w:tcW w:w="5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Indemnitee covering the subject matter of this Agreement.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or officers or 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capacities unless they are provided with adequate protection through insurance and contractual rights to indemnification against inordinate risks of claims and actions against them arising out of their service to and activities on behalf of the corporations they serve;</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in order to attract and retain highly qualified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attempt to maintain, at its sole expense, liability insurance to protect persons serving the Company and its Subsidiaries from certain liabilities;</w:t>
      </w:r>
    </w:p>
    <w:p>
      <w:pPr>
        <w:spacing w:after="0" w:line="1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although the procurement of such insurance has been a customary and widespread practice among United States-based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business enterprises, the Board believes that, given current market conditions and trends, such insurance may be available to it in the future only at higher premiums and with more exclusions, while at the same time, directors, officers, and other persons in service to corporations or business enterprises are being increasingly subjected to expensive and time-consuming litigation;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have increased the difficulty of attracting and retaining such persons;</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stockholders and that it is advisable and in the best interests of the Company and its stockholders for the Board to take action to assure such persons that there will be increased certainty of protection against the risk of personal liability arising out of actions or omissions relating to their service to, or at the request of, the Company;</w:t>
      </w:r>
    </w:p>
    <w:p>
      <w:pPr>
        <w:spacing w:after="0" w:line="176"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Company and Indemnitee recognize the increased risk of litigation and other claims currently being asserted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officers of corporations;</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145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under which the Company is organized, permits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indemnify and advance expenses to its directors, officers, employees and agents by agreement and to indemnify and advance expenses to persons who serve, at the request of the Company, as directors, officers, employees or agents of other corporations or enterprises, and expressly provides that rights to the indemnification and advancement provided by Section 145 of the DGCL are not exclusive;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0" w:name="page101"/>
    <w:bookmarkEnd w:id="100"/>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the Certificate of Incorporation of the Company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contains provisions requiring the Company to indemnify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to its officers and directors in certain circumstances, and Indemnitee may also be entitled to indemnification pursuant to applicable provisions of the DGCL; however, such provisions are not exclusive and the Company is permitted to provide by agreement rights to indemnification and advancement of expenses to its officers and directors and other persons;</w:t>
      </w:r>
    </w:p>
    <w:p>
      <w:pPr>
        <w:spacing w:after="0" w:line="176"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and hold harmless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its officers and directors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any resolutions adopted pursuant thereto,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substitute therefor, nor to diminish or abrogate any rights of Indemnitee thereunder;</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does not regard the protection available under the Charter and insurance as adequate in the present circumstances,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willing to serve as an officer or director without adequate protection, the Company desires Indemnitee to serve in such capacity and Indemnitee is willing to serve, continue to serve and to take on additional service for or on behalf of the Company on the condition that the Indemnitee be so indemnified[; and</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previously entered into that certain Indemnification Agreement,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with Sotera Health Topco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L.P. (“Topco Parent”), the former parent company of the Company].</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premises and the covenants contained herein, the Company and Indemnitee do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and agree as follows: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 Services to the Company</w:t>
      </w:r>
      <w:r>
        <w:rPr>
          <w:rFonts w:ascii="Times New Roman" w:cs="Times New Roman" w:eastAsia="Times New Roman" w:hAnsi="Times New Roman"/>
          <w:sz w:val="18"/>
          <w:szCs w:val="18"/>
          <w:color w:val="auto"/>
        </w:rPr>
        <w:t>. Indemnitee agrees [to serve]/[to continue to serve] as a [director] [officer] [employee]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Indemnitee is duly elected or appointed or until Indemnitee tenders his resignation and such resignation is accepted. Nothing contained in this Agreement shall be construed as giving Indemnitee any right to be retained in the employ of the Company or any of its Subsidiaries or Affiliates. This Agreement shall not be deemed an employment contract between the Company (or any of its Subsidiaries or Affiliates) and Indemnitee. The foregoing notwithstanding, this Agreement shall continue in force after Indemnitee has ceased to serve as an [officer] [director] [employee] of the Company, as provided in Section 16 hereof.</w:t>
      </w:r>
    </w:p>
    <w:p>
      <w:pPr>
        <w:spacing w:after="0" w:line="182"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As used in this Agreement:</w:t>
      </w:r>
    </w:p>
    <w:p>
      <w:pPr>
        <w:spacing w:after="0" w:line="229" w:lineRule="exact"/>
        <w:rPr>
          <w:sz w:val="20"/>
          <w:szCs w:val="20"/>
          <w:color w:val="auto"/>
        </w:rPr>
      </w:pPr>
    </w:p>
    <w:p>
      <w:pPr>
        <w:ind w:right="120" w:firstLine="436"/>
        <w:spacing w:after="0" w:line="282" w:lineRule="auto"/>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corporation or other person or entity that directly, or indirectly through one or more intermediaries, controls or is controlled by, or is under common control with, the person specified.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01" w:name="page102"/>
    <w:bookmarkEnd w:id="101"/>
    <w:p>
      <w:pPr>
        <w:jc w:val="both"/>
        <w:ind w:right="120" w:firstLine="436"/>
        <w:spacing w:after="0" w:line="266" w:lineRule="auto"/>
        <w:tabs>
          <w:tab w:leader="none" w:pos="8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meanings set forth in Rule 13d-3 under the Exchange Act as in effect on the date hereof; provided, however, that Beneficial Owner shall exclude any Person otherwise becoming a Beneficial Owner by reason of the stockholders of the Company approving a merger of the Company with another entity.</w:t>
      </w:r>
    </w:p>
    <w:p>
      <w:pPr>
        <w:spacing w:after="0" w:line="175"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21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(as defined below), other than the Sponsors (as defined in the Charter) collectively or any Sponsor individually, is or becomes the Beneficial Owner, directly or indirectly, of securities of the Company representing 30%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clause (iii) of this definition;</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6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 thirds of the directors then still in office who either were directors at the beginning of the period or whose election or nomination for election was previously so approved (the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79" w:lineRule="exact"/>
        <w:rPr>
          <w:rFonts w:ascii="Times New Roman" w:cs="Times New Roman" w:eastAsia="Times New Roman" w:hAnsi="Times New Roman"/>
          <w:sz w:val="18"/>
          <w:szCs w:val="18"/>
          <w:color w:val="auto"/>
        </w:rPr>
      </w:pPr>
    </w:p>
    <w:p>
      <w:pPr>
        <w:ind w:left="440" w:firstLine="419"/>
        <w:spacing w:after="0" w:line="253" w:lineRule="auto"/>
        <w:tabs>
          <w:tab w:leader="none" w:pos="131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reorganization, merger or consolidation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immediately following such Business Combination: (1) all or substantially all of the Persons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a corporation or other entity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no Person (excluding any corporation resulting from such Business Combination) is the Beneficial Owner, directly or indirectly, of 30% or more of the combined voting power of the then outstanding securities entitled to vote generally in the election of directors of such corporation except to the extent that such ownership existed prior to such Business Combination; and (3) at least a majority of the board of directors or governing body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2" w:name="page103"/>
    <w:bookmarkEnd w:id="102"/>
    <w:p>
      <w:pPr>
        <w:ind w:lef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resulting from such Business Combination were Continuing Directors at the time of the execution of the initial agreement or of the action of the Board providing for such Business Combination;</w:t>
      </w:r>
    </w:p>
    <w:p>
      <w:pPr>
        <w:spacing w:after="0" w:line="54" w:lineRule="exact"/>
        <w:rPr>
          <w:sz w:val="20"/>
          <w:szCs w:val="20"/>
          <w:color w:val="auto"/>
        </w:rPr>
      </w:pPr>
    </w:p>
    <w:p>
      <w:pPr>
        <w:jc w:val="both"/>
        <w:ind w:left="420" w:right="140" w:firstLine="419"/>
        <w:spacing w:after="0" w:line="261" w:lineRule="auto"/>
        <w:tabs>
          <w:tab w:leader="none" w:pos="128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dissolution and complete liquidation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 or</w:t>
      </w:r>
    </w:p>
    <w:p>
      <w:pPr>
        <w:spacing w:after="0" w:line="71" w:lineRule="exact"/>
        <w:rPr>
          <w:rFonts w:ascii="Times New Roman" w:cs="Times New Roman" w:eastAsia="Times New Roman" w:hAnsi="Times New Roman"/>
          <w:sz w:val="18"/>
          <w:szCs w:val="18"/>
          <w:color w:val="auto"/>
        </w:rPr>
      </w:pPr>
    </w:p>
    <w:p>
      <w:pPr>
        <w:ind w:left="420" w:right="80" w:firstLine="419"/>
        <w:spacing w:after="0" w:line="266" w:lineRule="auto"/>
        <w:tabs>
          <w:tab w:leader="none" w:pos="123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under Regulation 14A (or a response to any similar item on any similar schedule or form) promulgated under the Exchange Act (as defined below),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jc w:val="both"/>
        <w:ind w:left="-20" w:right="500" w:firstLine="436"/>
        <w:spacing w:after="0" w:line="266" w:lineRule="auto"/>
        <w:tabs>
          <w:tab w:leader="none" w:pos="8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shall mean the status of an individual who is or was a director, officer, trustee, general partner, managing member, fiduciary, employee or agent of [Topco Parent,] the Company or any other Enterprise which such individual is or was serving at the request of the Company.</w:t>
      </w:r>
    </w:p>
    <w:p>
      <w:pPr>
        <w:spacing w:after="0" w:line="175" w:lineRule="exact"/>
        <w:rPr>
          <w:rFonts w:ascii="Times New Roman" w:cs="Times New Roman" w:eastAsia="Times New Roman" w:hAnsi="Times New Roman"/>
          <w:sz w:val="18"/>
          <w:szCs w:val="18"/>
          <w:color w:val="auto"/>
        </w:rPr>
      </w:pPr>
    </w:p>
    <w:p>
      <w:pPr>
        <w:ind w:left="800" w:hanging="384"/>
        <w:spacing w:after="0"/>
        <w:tabs>
          <w:tab w:leader="none" w:pos="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20" w:right="720" w:firstLine="436"/>
        <w:spacing w:after="0" w:line="282" w:lineRule="auto"/>
        <w:tabs>
          <w:tab w:leader="none" w:pos="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61"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8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wholly-owned Subsidiaries) is a party, limited liability company, partnership, joint venture, trust, employee benefit plan or other enterprise of which Indemnitee is or was serving at the request of the Company as a director, officer, trustee, general partner, managing member, employee or agent or fiduciary.</w:t>
      </w:r>
    </w:p>
    <w:p>
      <w:pPr>
        <w:spacing w:after="0" w:line="179" w:lineRule="exact"/>
        <w:rPr>
          <w:rFonts w:ascii="Times New Roman" w:cs="Times New Roman" w:eastAsia="Times New Roman" w:hAnsi="Times New Roman"/>
          <w:sz w:val="18"/>
          <w:szCs w:val="18"/>
          <w:color w:val="auto"/>
        </w:rPr>
      </w:pPr>
    </w:p>
    <w:p>
      <w:pPr>
        <w:ind w:left="800" w:hanging="384"/>
        <w:spacing w:after="0"/>
        <w:tabs>
          <w:tab w:leader="none" w:pos="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225" w:lineRule="exact"/>
        <w:rPr>
          <w:rFonts w:ascii="Times New Roman" w:cs="Times New Roman" w:eastAsia="Times New Roman" w:hAnsi="Times New Roman"/>
          <w:sz w:val="18"/>
          <w:szCs w:val="18"/>
          <w:color w:val="auto"/>
        </w:rPr>
      </w:pPr>
    </w:p>
    <w:p>
      <w:pPr>
        <w:ind w:left="-20" w:right="60" w:firstLine="436"/>
        <w:spacing w:after="0" w:line="273" w:lineRule="auto"/>
        <w:tabs>
          <w:tab w:leader="none" w:pos="77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shall include all reasonable direct and indirect costs, fees and expenses of any type or nature whatsoever, including all attorneys’ fees and costs, retainers, court costs, transcript costs, fees of experts and other professionals,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Agreement, any excise taxes and penalties (including, without limitation, those arising from or relating to Employee Retirement Income Security Act of 1974 (“ERISA”)), and all other disbursements, obligations or expenses of the type customarily incurred in connection with prosecuting, defending, preparing to prosecute or defend, investigating, being or preparing to be a witness in, settlement or appeal of, or otherwise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03" w:name="page104"/>
    <w:bookmarkEnd w:id="10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participating in, a Proceeding or responding to, or objecting to, a request to provide discovery in any Proceeding. Expenses also shall include</w:t>
      </w:r>
    </w:p>
    <w:p>
      <w:pPr>
        <w:spacing w:after="0" w:line="27" w:lineRule="exact"/>
        <w:rPr>
          <w:sz w:val="20"/>
          <w:szCs w:val="20"/>
          <w:color w:val="auto"/>
        </w:rPr>
      </w:pPr>
    </w:p>
    <w:p>
      <w:pPr>
        <w:ind w:left="4" w:right="20" w:hanging="4"/>
        <w:spacing w:after="0" w:line="251" w:lineRule="auto"/>
        <w:tabs>
          <w:tab w:leader="none" w:pos="2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any appeal resulting from any Proceeding, including without limitation the premium, security for, and other costs relating to any cost bond, supersedeas bond, or other appeal bond or its equivalent and (ii) for purposes of Section 13(e)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provided, however, that Indemnitee has no obligation to provide such certification and all demands for advancement of Expenses will be determined as provided in Section 9 hereof. Expenses, however, shall not include amounts paid in settlement by Indemnitee or the amount of judgments or fines against Indemnitee.</w:t>
      </w:r>
    </w:p>
    <w:p>
      <w:pPr>
        <w:spacing w:after="0" w:line="193"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79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7" w:lineRule="exact"/>
        <w:rPr>
          <w:rFonts w:ascii="Times New Roman" w:cs="Times New Roman" w:eastAsia="Times New Roman" w:hAnsi="Times New Roman"/>
          <w:sz w:val="18"/>
          <w:szCs w:val="18"/>
          <w:color w:val="auto"/>
        </w:rPr>
      </w:pPr>
    </w:p>
    <w:p>
      <w:pPr>
        <w:ind w:left="4" w:right="140" w:firstLine="436"/>
        <w:spacing w:after="0" w:line="256" w:lineRule="auto"/>
        <w:tabs>
          <w:tab w:leader="none" w:pos="8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w:t>
      </w:r>
      <w:r>
        <w:rPr>
          <w:rFonts w:ascii="Times New Roman" w:cs="Times New Roman" w:eastAsia="Times New Roman" w:hAnsi="Times New Roman"/>
          <w:sz w:val="18"/>
          <w:szCs w:val="18"/>
          <w:u w:val="single" w:color="auto"/>
          <w:color w:val="auto"/>
        </w:rPr>
        <w:t>serving at the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u w:val="single" w:color="auto"/>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87" w:lineRule="exact"/>
        <w:rPr>
          <w:rFonts w:ascii="Times New Roman" w:cs="Times New Roman" w:eastAsia="Times New Roman" w:hAnsi="Times New Roman"/>
          <w:sz w:val="18"/>
          <w:szCs w:val="18"/>
          <w:color w:val="auto"/>
        </w:rPr>
      </w:pPr>
    </w:p>
    <w:p>
      <w:pPr>
        <w:ind w:left="4" w:firstLine="436"/>
        <w:spacing w:after="0" w:line="256" w:lineRule="auto"/>
        <w:tabs>
          <w:tab w:leader="none" w:pos="79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shall have the meaning as set forth in Sections 13(d) and 14(d) of the Exchange Act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exclude: (i) the Company; (ii) any Subsidiary of the Company; (iii) any employee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7"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8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include any threatened, pending or completed action, suit, claim, counterclaim, cross claim, arbitration, mediation, alternate dispute resolution mechanism, investigation, inquiry, administrative hearing or any other actual, threatened or completed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04" w:name="page105"/>
    <w:bookmarkEnd w:id="10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whether brought in the right of the Company or otherwise and whether of a civil (including intentional or unintentional tort claims), criminal, administrative, legislative or investigative (formal or informal) nature, including any appeal therefrom in which Indemnitee was, is, will or might be involved as a party, potential party, non-party witness or otherwise by reason of the fact that Indemnitee is or was a director, officer, employee or agent of the Company, by reason of any action (or failure to act) or of any action (or failure to act) while acting pursuant to their Corporate Status in each case whether or not serving in such capacity at the time any liability or Expense is incurred for which indemnification, reimbursement or advancement of Expenses can be provided under this Agreement, including one pending on or before the date of the Agreement. If Indemnitee believes in good faith that a given situation may lead to or culminate in the institution of a Proceeding, this shall be considered a Proceeding under this paragraph.</w:t>
      </w:r>
    </w:p>
    <w:p>
      <w:pPr>
        <w:spacing w:after="0" w:line="192" w:lineRule="exact"/>
        <w:rPr>
          <w:sz w:val="20"/>
          <w:szCs w:val="20"/>
          <w:color w:val="auto"/>
        </w:rPr>
      </w:pPr>
    </w:p>
    <w:p>
      <w:pPr>
        <w:ind w:right="60" w:firstLine="436"/>
        <w:spacing w:after="0" w:line="282" w:lineRule="auto"/>
        <w:tabs>
          <w:tab w:leader="none" w:pos="83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any Person or entity of which a majority of the voting power of the voting equity securities or equity interest is owned, directly or indirectly, by that Person.</w:t>
      </w:r>
    </w:p>
    <w:p>
      <w:pPr>
        <w:spacing w:after="0" w:line="158"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Section 3. Indemnity in Proceedings</w:t>
      </w:r>
      <w:r>
        <w:rPr>
          <w:rFonts w:ascii="Times New Roman" w:cs="Times New Roman" w:eastAsia="Times New Roman" w:hAnsi="Times New Roman"/>
          <w:sz w:val="17"/>
          <w:szCs w:val="17"/>
          <w:color w:val="auto"/>
        </w:rPr>
        <w:t>. The Company shall indemnify Indemnitee in accordance with the provisions of this Section 3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Indemnitee was, is, or is threatened to be made, a party to or a participant in any Proceeding (brought in the right of the Company or otherwise) or in defense of any claim, issue or matter therein, in whole or in part. Pursuant to this Section, Indemnitee shall be indemnified to the fullest extent permitted by applicable law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The parties hereto intend that this Agreement shall provide to the fullest extent permitted by law for indemnification in excess of that expressly permitted by statute, including, without limitation, any indemnification provided for in the Charter, the Bylaws, vote of its stockholders or disinterested directors or applicable law.</w:t>
      </w:r>
    </w:p>
    <w:p>
      <w:pPr>
        <w:spacing w:after="0" w:line="172"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 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or a portion of Expenses, judgments, fines, penalties and amounts paid in settlement (including all interest, assessments and other charges paid or payable in connection with or in respect of such Expenses, judgments, fines, penalties and amounts paid in settlement), but not, however, for the total amount thereof, the Company shall nevertheless indemnify Indemnitee for the portion thereof to which Indemnitee is entitled.</w:t>
      </w:r>
    </w:p>
    <w:p>
      <w:pPr>
        <w:spacing w:after="0" w:line="176"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 Indemnification for Expenses of a Witness</w:t>
      </w:r>
      <w:r>
        <w:rPr>
          <w:rFonts w:ascii="Times New Roman" w:cs="Times New Roman" w:eastAsia="Times New Roman" w:hAnsi="Times New Roman"/>
          <w:sz w:val="18"/>
          <w:szCs w:val="18"/>
          <w:color w:val="auto"/>
        </w:rPr>
        <w:t>. Notwithstanding any other provision of this Agreement, if Indemnitee is, by reason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Corporate Status, a witness or otherwise made to respond to discovery requests or asked to participate in any Proceeding to which Indemnitee is not a party, then the Company shall indemnify Indemnitee against all Expenses actually and reasonably incurred by Indemnitee or on Indemnitee’s behalf in connection therewith.</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5" w:name="page106"/>
    <w:bookmarkEnd w:id="105"/>
    <w:p>
      <w:pPr>
        <w:ind w:left="4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w:t>
      </w:r>
      <w:r>
        <w:rPr>
          <w:sz w:val="20"/>
          <w:szCs w:val="20"/>
          <w:color w:val="auto"/>
        </w:rPr>
        <w:tab/>
      </w:r>
      <w:r>
        <w:rPr>
          <w:rFonts w:ascii="Times New Roman" w:cs="Times New Roman" w:eastAsia="Times New Roman" w:hAnsi="Times New Roman"/>
          <w:sz w:val="17"/>
          <w:szCs w:val="17"/>
          <w:b w:val="1"/>
          <w:bCs w:val="1"/>
          <w:color w:val="auto"/>
        </w:rPr>
        <w:t>Additional Indemnification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firstLine="436"/>
        <w:spacing w:after="0" w:line="258" w:lineRule="auto"/>
        <w:tabs>
          <w:tab w:leader="none" w:pos="8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 3 or 4,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183"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6(a), the meaning of the phrase “to the fullest extent permitted by applicable law” shall include, but not be limited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98"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21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spacing w:after="0" w:line="53"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26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266"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7.</w:t>
        <w:tab/>
        <w:t>Contribution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36"/>
        <w:spacing w:after="0" w:line="274" w:lineRule="auto"/>
        <w:tabs>
          <w:tab w:leader="none" w:pos="817"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permissible under applicable law, if the indemnification rights hereunder are unavailable to Indemnitee, in whole or in part, for any reason whatsoever, the Company, in lieu of indemnifying Indemnitee, shall pay, in the first instance, the entire amount incurred by Indemnitee, whether for judgments,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2" w:lineRule="exact"/>
        <w:rPr>
          <w:rFonts w:ascii="Times New Roman" w:cs="Times New Roman" w:eastAsia="Times New Roman" w:hAnsi="Times New Roman"/>
          <w:sz w:val="17"/>
          <w:szCs w:val="17"/>
          <w:color w:val="auto"/>
        </w:rPr>
      </w:pPr>
    </w:p>
    <w:p>
      <w:pPr>
        <w:ind w:right="20" w:firstLine="436"/>
        <w:spacing w:after="0" w:line="271" w:lineRule="auto"/>
        <w:tabs>
          <w:tab w:leader="none" w:pos="827"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diminishing or impairing the obligations of the Company set forth in the preceding subparagraph,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act, omission or event from which such Proceeding arose; provided, however, that the proportion determined on the basis of relative benefit may, to the extent necessary to conform to law, be further adjusted by reference to the relative fault of the Company and its Subsidiaries and all officers, directors or employees of the Company and its Subsidiaries other than Indemnitee who are jointly liable with Indemnitee (or would be if joined in such Proceeding), on the one hand, and Indemnitee, on the other hand, 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06" w:name="page107"/>
    <w:bookmarkEnd w:id="10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the transaction, act, omission or event that resulted in such expenses, judgments, fines or settlement amounts, as well as any other equitable considerations which applicable law may require to be considered. The relative fault of the Company and its Subsidiaries and all officers, directors or employees of the Company and its Subsidiaries,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7" w:lineRule="exact"/>
        <w:rPr>
          <w:sz w:val="20"/>
          <w:szCs w:val="20"/>
          <w:color w:val="auto"/>
        </w:rPr>
      </w:pPr>
    </w:p>
    <w:p>
      <w:pPr>
        <w:ind w:right="140" w:firstLine="436"/>
        <w:spacing w:after="0" w:line="282" w:lineRule="auto"/>
        <w:tabs>
          <w:tab w:leader="none" w:pos="81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Indemnitee from any claims for contribution which may be brought by any other officer, director or employee of the Company or its Subsidiaries who may be jointly liable with Indemnitee.</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8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rights hereunder are unavailable to Indemnitee, in whole or in part,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any of its Subsidiaries, on the one hand, and Indemnitee, on the other hand, as a result of the event(s) and/or transaction(s) giving cause to such Proceeding; and/or (ii) the relative fault of the Company and any of its Subsidiaries (and their respective managers, officers, directors, employees, agents and representatives), on the one hand, and Indemnitee, on the other hand, in connection with such event(s) and/or transaction(s).</w:t>
      </w:r>
    </w:p>
    <w:p>
      <w:pPr>
        <w:spacing w:after="0" w:line="18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8. Exclusions</w:t>
      </w:r>
      <w:r>
        <w:rPr>
          <w:rFonts w:ascii="Times New Roman" w:cs="Times New Roman" w:eastAsia="Times New Roman" w:hAnsi="Times New Roman"/>
          <w:sz w:val="18"/>
          <w:szCs w:val="18"/>
          <w:color w:val="auto"/>
        </w:rPr>
        <w:t>. 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payment:</w:t>
      </w:r>
    </w:p>
    <w:p>
      <w:pPr>
        <w:spacing w:after="0" w:line="159" w:lineRule="exact"/>
        <w:rPr>
          <w:sz w:val="20"/>
          <w:szCs w:val="20"/>
          <w:color w:val="auto"/>
        </w:rPr>
      </w:pPr>
    </w:p>
    <w:p>
      <w:pPr>
        <w:jc w:val="both"/>
        <w:ind w:right="140" w:firstLine="436"/>
        <w:spacing w:after="0" w:line="266" w:lineRule="auto"/>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15(f), in connection with any claim made against Indemnitee for which payment has actually been made to or on behalf of Indemnitee under any insurance policy or other indemnity provision, except with respect to any excess beyond the amount paid under any insurance policy, contract, agreement or other indemnity provision; or</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83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claim made against Indemnitee for (i) an accounting of profits made from the purchase and sale (or sale and purchase) by Indemnitee of securities of the Company within the meaning of Section 16(b) of the Exchange Act or similar provisions of state statutory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Section 954 of the Dodd-Frank Wall Street Reform and Consumer Protection Act, or the payment to the Company of profits arising from the purchase and sale by Indemnitee of securities in violation of Section 306 of the Sarbanes-Oxley Act); provided, however, that to the fullest extent permitted by applicable law and to the extent Indemnitee is successful on the merits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07" w:name="page108"/>
    <w:bookmarkEnd w:id="107"/>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otherwise with respect to any such Proceeding, the Expenses actually and reasonably incurred by Indemnitee in connection with any such proceeding shall be deemed to be Expenses that are subject to indemnification hereunder; or</w:t>
      </w:r>
    </w:p>
    <w:p>
      <w:pPr>
        <w:spacing w:after="0" w:line="162" w:lineRule="exact"/>
        <w:rPr>
          <w:sz w:val="20"/>
          <w:szCs w:val="20"/>
          <w:color w:val="auto"/>
        </w:rPr>
      </w:pPr>
    </w:p>
    <w:p>
      <w:pPr>
        <w:ind w:left="4" w:right="80" w:firstLine="436"/>
        <w:spacing w:after="0" w:line="272" w:lineRule="auto"/>
        <w:tabs>
          <w:tab w:leader="none" w:pos="824"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Section 13(e)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w:t>
      </w:r>
    </w:p>
    <w:p>
      <w:pPr>
        <w:spacing w:after="0" w:line="1" w:lineRule="exact"/>
        <w:rPr>
          <w:rFonts w:ascii="Times New Roman" w:cs="Times New Roman" w:eastAsia="Times New Roman" w:hAnsi="Times New Roman"/>
          <w:sz w:val="17"/>
          <w:szCs w:val="17"/>
          <w:color w:val="auto"/>
        </w:rPr>
      </w:pPr>
    </w:p>
    <w:p>
      <w:pPr>
        <w:ind w:left="4" w:right="100" w:hanging="4"/>
        <w:spacing w:after="0" w:line="255"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arises in connection with an action, suit or proceeding brought to establish or enforce a right to indemnification or advancement of expenses under this Agreement, or (iii) the Company provides the indemnification, in its sole discretion, pursuant to the powers vested in the Company under applicable law; or</w:t>
      </w:r>
    </w:p>
    <w:p>
      <w:pPr>
        <w:spacing w:after="0" w:line="18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83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respect to any Proceeding instituted by Indemnitee to establish, enforce or interpret a right to indemnification under this Agreement or any other statute or law or otherwise as required under Section 145 of the DGCL, if a court of competent jurisdiction determines that each of the material assertions made by Indemnitee in such proceeding was not made in good faith or was frivolous; or</w:t>
      </w:r>
    </w:p>
    <w:p>
      <w:pPr>
        <w:spacing w:after="0" w:line="175"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is determined after final disposition of the applicable Proceeding that such indemnification is unlawful; or</w:t>
      </w:r>
    </w:p>
    <w:p>
      <w:pPr>
        <w:spacing w:after="0" w:line="225"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Indemnitee’s conduct that is established after final disposition of the applicable Proceeding as knowingly fraudulent.</w:t>
      </w:r>
    </w:p>
    <w:p>
      <w:pPr>
        <w:spacing w:after="0" w:line="329" w:lineRule="exact"/>
        <w:rPr>
          <w:sz w:val="20"/>
          <w:szCs w:val="20"/>
          <w:color w:val="auto"/>
        </w:rPr>
      </w:pPr>
    </w:p>
    <w:p>
      <w:pPr>
        <w:ind w:left="44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Section 9.</w:t>
        <w:tab/>
        <w:t>Advances of Expenses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and to the fullest extent permitted by applicable law, the Company shall advance the Expenses incurred by Indemnitee in connection with any Proceeding (or any part of any Proceeding) not initiated by Indemnitee, and such advancement shall be made promptly (and in any event within 20 days) after the receipt by the Company of a statement or statements requesting such advances from time to time, whether prior to or after final disposition of any Proceeding, but in the case of statements in connection with legal services, any references to legal work performed or to expenditures made that would cause Indemnitee to waive any privilege accorded by applicable law shall not be included with the statements. Advances shall be unsecured and interest free. Advances shall be made without regard to Indemnitee’s ability to repay the Expenses and without regard to Indemnitee’s ultimate entitlement to be indemnified under the other provisions of this Agreement. Advances shall include any and all reasonable Expenses incurred in pursuing a Proceeding to enforce this right of advancement, including Expenses incurred preparing and forwarding statements to the Company to support the advances claimed. Indemnitee shall qualify for advances, to the fullest extent permitted by applicable law, solely upon the execution and delivery to the Company of this Agreement, which shall constitute an undertaking providing that Indemnitee undertakes to repay the advance to the extent that it is ultimately determined that Indemnitee is not entitled to be indemnified by the Company. No other form of undertaking shall be required other than the execution of this Agreement. This Section shall not apply to any claim made by Indemnitee for which an indemnification payment is excluded pursuant to Section 8 hereof.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08" w:name="page109"/>
    <w:bookmarkEnd w:id="108"/>
    <w:p>
      <w:pPr>
        <w:ind w:left="4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w:t>
      </w:r>
      <w:r>
        <w:rPr>
          <w:sz w:val="20"/>
          <w:szCs w:val="20"/>
          <w:color w:val="auto"/>
        </w:rPr>
        <w:tab/>
      </w:r>
      <w:r>
        <w:rPr>
          <w:rFonts w:ascii="Times New Roman" w:cs="Times New Roman" w:eastAsia="Times New Roman" w:hAnsi="Times New Roman"/>
          <w:sz w:val="17"/>
          <w:szCs w:val="17"/>
          <w:b w:val="1"/>
          <w:bCs w:val="1"/>
          <w:color w:val="auto"/>
        </w:rPr>
        <w:t>Procedure for Notification and Application; Defense of Claim</w:t>
      </w:r>
    </w:p>
    <w:p>
      <w:pPr>
        <w:spacing w:after="0" w:line="121" w:lineRule="exact"/>
        <w:rPr>
          <w:sz w:val="20"/>
          <w:szCs w:val="20"/>
          <w:color w:val="auto"/>
        </w:rPr>
      </w:pPr>
    </w:p>
    <w:p>
      <w:pPr>
        <w:ind w:right="80" w:firstLine="436"/>
        <w:spacing w:after="0" w:line="256" w:lineRule="auto"/>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notify promptly the Company in writing upon being served with any summons, citation, subpoena, complaint, indictment, information or other document relating to any Proceeding or matter that may be subject to indemnification rights or advancement of Expenses hereunder. Such notice to the Company shall include a description of the nature of, and facts underlying, the Proceeding, and shall be given in accordance with the provisions of Section 20 below. In addition, Indemnitee shall give the Company such additional information and cooperation as the Company may reasonably request. The failure of Indemnitee to so notify the Company, or any delay in so notifying the Company, shall not relieve the Company of any obligation which it may have to Indemnitee under this Agreement or otherwise.</w:t>
      </w:r>
    </w:p>
    <w:p>
      <w:pPr>
        <w:spacing w:after="0" w:line="187" w:lineRule="exact"/>
        <w:rPr>
          <w:rFonts w:ascii="Times New Roman" w:cs="Times New Roman" w:eastAsia="Times New Roman" w:hAnsi="Times New Roman"/>
          <w:sz w:val="18"/>
          <w:szCs w:val="18"/>
          <w:color w:val="auto"/>
        </w:rPr>
      </w:pPr>
    </w:p>
    <w:p>
      <w:pPr>
        <w:ind w:right="60" w:firstLine="436"/>
        <w:spacing w:after="0" w:line="289" w:lineRule="auto"/>
        <w:tabs>
          <w:tab w:leader="none" w:pos="827"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Agreement, Indemnitee shall deliver to the Company a written application to indemnify Indemnitee in accordance with this Agreement. The written request should include therein or therewith such documentation and information as is reasonably available to Indemnitee and is reasonably necessary to determine whether and to what extent Indemnitee is entitled to indemnification under this Agreement.</w:t>
      </w:r>
    </w:p>
    <w:p>
      <w:pPr>
        <w:spacing w:after="0" w:line="157" w:lineRule="exact"/>
        <w:rPr>
          <w:rFonts w:ascii="Times New Roman" w:cs="Times New Roman" w:eastAsia="Times New Roman" w:hAnsi="Times New Roman"/>
          <w:sz w:val="17"/>
          <w:szCs w:val="17"/>
          <w:color w:val="auto"/>
        </w:rPr>
      </w:pPr>
    </w:p>
    <w:p>
      <w:pPr>
        <w:ind w:left="820" w:hanging="384"/>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participate in the Proceeding at its own expense.</w:t>
      </w:r>
    </w:p>
    <w:p>
      <w:pPr>
        <w:spacing w:after="0" w:line="32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Procedure Upon Application for Indemnification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firstLine="436"/>
        <w:spacing w:after="0" w:line="252" w:lineRule="auto"/>
        <w:tabs>
          <w:tab w:leader="none" w:pos="8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10(b), a determination, if required by applicable law, with respect to Indemnitee’s entitlement to indemnification shall be made in the specific case by one of the following methods: (i) if a Change in Control shall have occurred and if so requested in writing by Indemnitee, by Independent Counsel in a written opinion to the Board, a copy of which shall be delivered to Indemnitee; or (ii) if a Change in Control shall not have occurred (or if a Change of Control shall have occurred but Indemnitee shall not have requested that indemnification be determined by Independent Counsel as provided in subpart (i)),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20 days after such determination. Indemnitee shall cooperate with the Person or Persons making such determination with respect to Indemnitee’s entitlement to indemnification, including providing to such Person or Persons upon reasonable advance request any documentation or information which is not privileged or otherwise protected from disclosure and which is reasonably available to Indemnitee and reasonably necessary to such determination. Any Expenses (including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09" w:name="page110"/>
    <w:bookmarkEnd w:id="10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76" w:lineRule="exact"/>
        <w:rPr>
          <w:sz w:val="20"/>
          <w:szCs w:val="20"/>
          <w:color w:val="auto"/>
        </w:rPr>
      </w:pPr>
    </w:p>
    <w:p>
      <w:pPr>
        <w:ind w:firstLine="436"/>
        <w:spacing w:after="0" w:line="252" w:lineRule="auto"/>
        <w:tabs>
          <w:tab w:leader="none" w:pos="8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Section 11(a) hereof, the Independent Counsel shall be selected as provided in this Section 11(b). If a Change in Control shall not have occurred (or if a Change of Control shall have occurred but Indemnitee shall not have requested that indemnification be determined by Independent Counsel as provided in subpart (i)), the Independent Counsel shall be selected by the Board, and the Company shall give written notice to Indemnitee advising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and certifying that the Independent Counsel so selected meets the requirements of “Independent Counsel.” In either event, Indemnitee or the Company, as the case may be, may, within ten days after such written notice of selection shall have been received, deliver to the Company or to Indemnitee, as the case may be,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20 days after the later of submission by Indemnitee of a written request for indemnification pursuant to Section 10(b)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11(a) hereof. Upon the due commencement of any judicial proceeding or arbitration pursuant to Section 13(a) hereof, Independent Counsel shall be discharged and relieved of any further responsibility in such capacity (subject to the applicable standards of professional conduct then prevailing).</w:t>
      </w:r>
    </w:p>
    <w:p>
      <w:pPr>
        <w:spacing w:after="0" w:line="189" w:lineRule="exact"/>
        <w:rPr>
          <w:rFonts w:ascii="Times New Roman" w:cs="Times New Roman" w:eastAsia="Times New Roman" w:hAnsi="Times New Roman"/>
          <w:sz w:val="18"/>
          <w:szCs w:val="18"/>
          <w:color w:val="auto"/>
        </w:rPr>
      </w:pPr>
    </w:p>
    <w:p>
      <w:pPr>
        <w:ind w:firstLine="436"/>
        <w:spacing w:after="0" w:line="266" w:lineRule="auto"/>
        <w:tabs>
          <w:tab w:leader="none" w:pos="81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such Independent Counsel against any and all Expenses, claims, liabilities, loss and damages arising out of or relating to this Agreement or the engagement of Independent Counsel pursuant hereto.</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8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disputes a portion of the amounts for which indemnification is requested, the undisputed portion shall be paid and only the disputed portion withheld pending resolution of any such dispute.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w:t>
      </w:r>
      <w:r>
        <w:rPr>
          <w:sz w:val="20"/>
          <w:szCs w:val="20"/>
          <w:color w:val="auto"/>
        </w:rPr>
        <w:tab/>
      </w:r>
      <w:r>
        <w:rPr>
          <w:rFonts w:ascii="Times New Roman" w:cs="Times New Roman" w:eastAsia="Times New Roman" w:hAnsi="Times New Roman"/>
          <w:sz w:val="17"/>
          <w:szCs w:val="17"/>
          <w:b w:val="1"/>
          <w:bCs w:val="1"/>
          <w:color w:val="auto"/>
        </w:rPr>
        <w:t>Presumptions and Effect of Certain Proceedings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20" w:firstLine="436"/>
        <w:spacing w:after="0" w:line="254" w:lineRule="auto"/>
        <w:tabs>
          <w:tab w:leader="none" w:pos="8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making such determination shall, to the fullest extent not prohibited by law, presume that Indemnitee is entitled to indemnification under this Agreement if Indemnitee has submitted a request for indemnification in accordance with Section 10(b) hereof, and the Company shall, to the fullest extent not prohibited by law, have the burden of proof to overcome that presumption in connection with the making by any Person or Persons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firstLine="436"/>
        <w:spacing w:after="0" w:line="252" w:lineRule="auto"/>
        <w:tabs>
          <w:tab w:leader="none" w:pos="8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13(g), if the Person or Persons empowered or selected under Section 11 hereto determine whether Indemnitee is entitled to indemnification shall not have made a determination within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60-day period may be extended for a reasonable time, not to exceed an additional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12(b) shall not apply (i) if the determination of entitlement to indemnification is to be made by the stockholders pursuant to Section 11(a) of this Agreement and if (A) within 15 days after receipt by the Company of the request for such determination the Board has resolved to submit such determination to the stockholders for their consideration at an annual meeting thereof to be held within 75 days after such receipt and such determination is made thereat, or (B) a special meeting of stockholders is called within 15 days after such receipt for the purpose of making such determination, such meeting is held for such purpose within 60 days after having been so called and such determination is made thereat, or (ii) if the determination of entitlement to indemnification is to be made by Independent Counsel pursuant to Section 11(a) of this Agreement.</w:t>
      </w:r>
    </w:p>
    <w:p>
      <w:pPr>
        <w:spacing w:after="0" w:line="197" w:lineRule="exact"/>
        <w:rPr>
          <w:rFonts w:ascii="Times New Roman" w:cs="Times New Roman" w:eastAsia="Times New Roman" w:hAnsi="Times New Roman"/>
          <w:sz w:val="18"/>
          <w:szCs w:val="18"/>
          <w:color w:val="auto"/>
        </w:rPr>
      </w:pPr>
    </w:p>
    <w:p>
      <w:pPr>
        <w:ind w:right="140" w:firstLine="436"/>
        <w:spacing w:after="0" w:line="258" w:lineRule="auto"/>
        <w:tabs>
          <w:tab w:leader="none" w:pos="8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 xml:space="preserve">nolo contendere </w:t>
      </w:r>
      <w:r>
        <w:rPr>
          <w:rFonts w:ascii="Times New Roman" w:cs="Times New Roman" w:eastAsia="Times New Roman" w:hAnsi="Times New Roman"/>
          <w:sz w:val="18"/>
          <w:szCs w:val="18"/>
          <w:color w:val="auto"/>
        </w:rPr>
        <w:t>or its equivalent, shall not (except as otherwise expressly provided in this Agreement) of itself adversely affect the right of Indemnitee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his conduct was unlawful.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11" w:name="page112"/>
    <w:bookmarkEnd w:id="111"/>
    <w:p>
      <w:pPr>
        <w:ind w:left="-40" w:right="20" w:firstLine="436"/>
        <w:spacing w:after="0" w:line="254" w:lineRule="auto"/>
        <w:tabs>
          <w:tab w:leader="none" w:pos="7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any determination of good faith, Indemnitee shall be deemed to have acted in good faith if Indemnitee’s action is based on the records or books of account of the Company or Enterprise, including financial statements, or on information supplied to Indemnitee by the officers of the Company or Enterprise in the </w:t>
      </w:r>
      <w:r>
        <w:rPr>
          <w:rFonts w:ascii="Times New Roman" w:cs="Times New Roman" w:eastAsia="Times New Roman" w:hAnsi="Times New Roman"/>
          <w:sz w:val="18"/>
          <w:szCs w:val="18"/>
          <w:i w:val="1"/>
          <w:iCs w:val="1"/>
          <w:color w:val="auto"/>
        </w:rPr>
        <w:t>course</w:t>
      </w:r>
      <w:r>
        <w:rPr>
          <w:rFonts w:ascii="Times New Roman" w:cs="Times New Roman" w:eastAsia="Times New Roman" w:hAnsi="Times New Roman"/>
          <w:sz w:val="18"/>
          <w:szCs w:val="18"/>
          <w:color w:val="auto"/>
        </w:rPr>
        <w:t xml:space="preserve"> of their duties, or on the advice of legal counsel for the Company or Enterprise, its Board, any committee of the Board or any director, or on information or records given or reports made to the Company or Enterprise, its Board, any committee of the Board or any director, by an independent certified public accountant or by an appraiser, investment banker, compensation consultant or other expert selected with reasonable care by the Company or Enterprise, its Board, any committee of the Board or any director. The provisions of this Section 12(d) shall not be deemed to be exclusive or to limit in any way the other circumstances in which Indemnitee may be deemed to have met the applicable standard of conduct set forth in this Agreement.</w:t>
      </w:r>
    </w:p>
    <w:p>
      <w:pPr>
        <w:spacing w:after="0" w:line="191" w:lineRule="exact"/>
        <w:rPr>
          <w:rFonts w:ascii="Times New Roman" w:cs="Times New Roman" w:eastAsia="Times New Roman" w:hAnsi="Times New Roman"/>
          <w:sz w:val="18"/>
          <w:szCs w:val="18"/>
          <w:color w:val="auto"/>
        </w:rPr>
      </w:pPr>
    </w:p>
    <w:p>
      <w:pPr>
        <w:ind w:left="-40" w:firstLine="436"/>
        <w:spacing w:after="0" w:line="266" w:lineRule="auto"/>
        <w:tabs>
          <w:tab w:leader="none" w:pos="77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the Company or the Enterprise or any director, officer, trustee, partner, managing member, fiduciary, agent or employee of the Company or the Enterprise will not be imputed to Indemnitee for purposes of determining the right to indemnification under this Agreement.</w:t>
      </w:r>
    </w:p>
    <w:p>
      <w:pPr>
        <w:spacing w:after="0" w:line="280" w:lineRule="exact"/>
        <w:rPr>
          <w:sz w:val="20"/>
          <w:szCs w:val="20"/>
          <w:color w:val="auto"/>
        </w:rPr>
      </w:pPr>
    </w:p>
    <w:p>
      <w:pPr>
        <w:ind w:left="40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Section 13.</w:t>
        <w:tab/>
        <w:t>Remedies of Indemnitee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0" w:right="40" w:firstLine="436"/>
        <w:spacing w:after="0" w:line="252" w:lineRule="auto"/>
        <w:tabs>
          <w:tab w:leader="none" w:pos="7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13(g), if (i) a determination is made pursuant to Section 11 hereof that Indemnitee is not entitled to indemnification under this Agreement; (ii) advancement of Expenses, to the fullest extent permitted by applicable law, is not timely made pursuant to Section 9 hereof; (iii) no determination of entitlement to indemnification shall have been made pursuant to Section 11(a) hereof within 90 days after receipt by the Company of the request for indemnification; (iv) payment of indemnification is not made pursuant to Section 4, 5 or the last sentence of Section 11(a) hereof within 30 days after receipt by the Company of a written request therefor; (v) a contribution payment is not made in a timely manner pursuant to Section 8 hereof; (vi) payment of indemnification pursuant to Section 3 or 6 hereof is not made within ten days after a determination has been made that Indemnitee is entitled to indemnification; or (vii)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the Indemnitee hereunder, then Indemnitee shall be entitled to an adjudication by the Delaware Court to such indemnification, contribution or advancement rights. Alternatively, Indemnitee, at his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Indemnitee shall commence such proceeding seeking an adjudication or an award in arbitration within 180 days following the date on which Indemnitee first has the right to commence such proceeding pursuant to this Section 13(a). The Company shall not oppose Indemnitee’s right to seek any such adjudication or award in arbitration.</w:t>
      </w:r>
    </w:p>
    <w:p>
      <w:pPr>
        <w:spacing w:after="0" w:line="197" w:lineRule="exact"/>
        <w:rPr>
          <w:rFonts w:ascii="Times New Roman" w:cs="Times New Roman" w:eastAsia="Times New Roman" w:hAnsi="Times New Roman"/>
          <w:sz w:val="18"/>
          <w:szCs w:val="18"/>
          <w:color w:val="auto"/>
        </w:rPr>
      </w:pPr>
    </w:p>
    <w:p>
      <w:pPr>
        <w:ind w:left="-40" w:right="240" w:firstLine="436"/>
        <w:spacing w:after="0" w:line="266" w:lineRule="auto"/>
        <w:tabs>
          <w:tab w:leader="none" w:pos="79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11(a) of this Agreement that Indemnitee is not entitled to indemnification, any judicial proceeding or arbitration commenced pursuant to this Section 13 shall be conducted in all respects as a de novo trial, or arbitration, on the merits and Indemnitee shall not be prejudiced by reason of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12" w:name="page113"/>
    <w:bookmarkEnd w:id="112"/>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determination. In any judicial proceeding or arbitration commenced pursuant to this Section, the Company shall have the burden of proving Indemnitee is not entitled to indemnification or advancement of Expenses, as the case may be.</w:t>
      </w:r>
    </w:p>
    <w:p>
      <w:pPr>
        <w:spacing w:after="0" w:line="162" w:lineRule="exact"/>
        <w:rPr>
          <w:sz w:val="20"/>
          <w:szCs w:val="20"/>
          <w:color w:val="auto"/>
        </w:rPr>
      </w:pPr>
    </w:p>
    <w:p>
      <w:pPr>
        <w:ind w:firstLine="436"/>
        <w:spacing w:after="0" w:line="258" w:lineRule="auto"/>
        <w:tabs>
          <w:tab w:leader="none" w:pos="8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11(a) hereof that Indemnitee is entitled to indemnification, the Company shall be bound by such determination in any judicial proceeding or arbitration commenced pursuant to this Section, absent (i) a misstatement or misrepresentation by Indemnitee (or anyone acting on Indemnitee’s behalf) of a material fact, or an omission of a material fact necessary to make Indemnitee’s statement (or statements of a Person or Persons acting on behalf of Indemnitee) not materially misleading, in connection with the request for indemnification; or (ii) a prohibition of such indemnification under applicable law.</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82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to the fullest extent not prohibited by law, be precluded from asserting in any judicial proceeding or arbitration commenced pursuant to this Section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right="200" w:firstLine="436"/>
        <w:spacing w:after="0" w:line="254" w:lineRule="auto"/>
        <w:tabs>
          <w:tab w:leader="none" w:pos="81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all Expenses and, if requested by Indemnitee, shall (within ten days after the Company’s receipt of such written request) pay to Indemnitee, to the fullest extent permitted by applicable law, all such Expenses that are incurred by Indemnitee in connection with any judicial proceeding or arbitration brought by Indemnitee (i) in connection with, to enforce Indemnitee’s rights under, or to recover damages for breach of, this Agreement or any other indemnification, advancement or contribution agreement or provision of the Charter now or hereafter in effect; or (ii) for recovery or advances under any insurance policy maintained by any person for the benefit of Indemnitee, regardless of the outcome and whether Indemnitee ultimately is determined to be entitled to such indemnification,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jc w:val="both"/>
        <w:ind w:firstLine="436"/>
        <w:spacing w:after="0" w:line="261" w:lineRule="auto"/>
        <w:tabs>
          <w:tab w:leader="none" w:pos="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or is obliged to indemnify for the period commencing with the date on which Indemnitee pays such amounts for which he or she requested indemnification, contribution, reimbursement or advancement of any Expenses and ending with the date on which such payment is made to or on behalf of Indemnitee by the Company.</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83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58"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Establishment of Trust</w:t>
      </w:r>
      <w:r>
        <w:rPr>
          <w:rFonts w:ascii="Times New Roman" w:cs="Times New Roman" w:eastAsia="Times New Roman" w:hAnsi="Times New Roman"/>
          <w:sz w:val="17"/>
          <w:szCs w:val="17"/>
          <w:color w:val="auto"/>
        </w:rPr>
        <w:t>. In the event of a Change in Control, the Company shall, upon written request by Indemnitee, create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for the benefit of Indemnitee and from time to time upon written request of Indemnitee shall fund the Trust in an amount sufficient to satisfy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Expenses reasonably anticipated at the time of each such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13" w:name="page114"/>
    <w:bookmarkEnd w:id="11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to be incurred in connection with investigating, preparing for, participating in or defending any Proceeding, in connection with or to which the Indemnitee is or was or becomes a party, witness or other participant, or to which Indemnitee is threatened to be made a party, witness, or other participant, by reason of (or arising in part out of) Indemnitee’s Corporate Status. The amount or amounts to be deposited in the Trust pursuant to the foregoing funding obligation shall be determined by mutual agreement of Indemnitee and the Company or, if the Company and Indemnitee are unable to reach such an agreement, by Independent Counsel selected in accordance with Section 11(b) hereof. The terms of the Trust shall provide that, except upon the consent of both Indemnitee and the Company, (i) the Trust shall not be revoked or the principal thereof invaded without the written consent of the Indemnitee, (ii) to the extent the Indemnitee has a right to advancement of Expenses pursuant to this Agreement, the Trustee shall advance, within 20 days of a request by the Indemnitee any and all Expenses to the Indemnitee (and the Indemnitee hereby agrees to reimburse the Trust under the same circumstances for which the Indemnitee would be required to reimburse the Company under Section 9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(iv) all unexpended funds in such Trust shall revert to the Company upon mutual agreement by Indemnitee and the Company or, if Indemnitee and the Company are unable to reach such an agreement, by determination of Independent Counsel selected in accordance with Section 11(b) hereof, that Indemnitee has been fully indemnified under the terms of this Agreement. Nothing in this Section shall relieve the Company of any of its obligations under this Agreement.</w:t>
      </w:r>
    </w:p>
    <w:p>
      <w:pPr>
        <w:spacing w:after="0" w:line="301" w:lineRule="exact"/>
        <w:rPr>
          <w:sz w:val="20"/>
          <w:szCs w:val="20"/>
          <w:color w:val="auto"/>
        </w:rPr>
      </w:pPr>
    </w:p>
    <w:p>
      <w:pPr>
        <w:ind w:left="444"/>
        <w:spacing w:after="0"/>
        <w:tabs>
          <w:tab w:leader="none" w:pos="1424"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Non-Exclusivity; Survival; Insurance; Subrogration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 w:firstLine="436"/>
        <w:spacing w:after="0" w:line="261" w:lineRule="auto"/>
        <w:tabs>
          <w:tab w:leader="none" w:pos="82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(i) shall not be deemed exclusive of any other rights to which Indemnitee may at any time be entitled under applicable law, the Charter, By-Laws, any agreement, a vote of stockholders or a resolution of directors, or otherwise; and</w:t>
      </w:r>
    </w:p>
    <w:p>
      <w:pPr>
        <w:ind w:left="4" w:right="120" w:hanging="4"/>
        <w:spacing w:after="0" w:line="251" w:lineRule="auto"/>
        <w:tabs>
          <w:tab w:leader="none" w:pos="26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enforced and this Agreement shall be interpreted independently of and without reference to or limitation or constraint (whether procedural, substantive or otherwise) by any other such rights to which Indemnitee may at any time be entitled. No amendment, alteration or repeal of this Agreement or of any provision hereof shall limit or restrict any right of Indemnitee under this Agreement in respect of any action taken or omitted by Indemnitee in his Corporate Status prior to such amendment, alteration or repeal. To the extent that a change in applicable law, whether by statute or judicial decision, permits greater indemnification rights or advancement of Expenses than would be afforded currently under the Charter or this Agreement, it is the intent of the parties hereto that Indemnitee shall enjoy by this Agreement the greater benefits so afforded by such change. To the extent that a change in Delaware law, whether by statute or judicial decision, narrows or limits indemnification or advancement of Expenses that are afforded currently under the Charter or this Agreement, it is the intent of the parties hereto that such change, except to the extent required by applicable law, shall have no effect on this Agreement or the parties’ rights and obligations hereunder.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14" w:name="page115"/>
    <w:bookmarkEnd w:id="114"/>
    <w:p>
      <w:pPr>
        <w:ind w:firstLine="436"/>
        <w:spacing w:after="0" w:line="254" w:lineRule="auto"/>
        <w:tabs>
          <w:tab w:leader="none" w:pos="82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to the fullest extent permitted by law,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u w:val="single" w:color="auto"/>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incurred by or on behalf of him or in such capacity as a director, officer, employee or agent of the Company, or arising out of his status as such, whether or not the Company would have the power to indemnify him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8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maintains an insurance policy or policies providing liability insurance for directors, managers, officers, employees, or agents or fiduciaries of the Company or of any other limited liability company, corporation, partnership, joint venture, trust, employee benefit plan or other enterprise that such person serves at the request of the Company, Indemnitee shall be covered by such policy or policies in accordance with their terms to the maximum extent of the coverage available for any such director, officer,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In the event of a Change of Control or the Company’s becoming insolvent (including being placed into receivership or 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six years thereafter.</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83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15(f), in the event the Company is obligated to make a payment under this Agreement, the Company shall be subrogated to the extent of such payment to all of the rights of recovery under an insurance policy or any other Indemnification Arrangement or other indemnity agreement covering Indemnitee, who shall execute all documents required and shall do everything that may be necessary to secure such rights and to enable the Company to effectively bring suit to enforce such rights.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8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15(f), the Company’s obligation to indemnify and to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payments or advancement of Expenses from such other entity or Enterprise with respect to the Proceeding for which indemnification or advancement of expenses is sought.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15" w:name="page116"/>
    <w:bookmarkEnd w:id="115"/>
    <w:p>
      <w:pPr>
        <w:ind w:firstLine="436"/>
        <w:spacing w:after="0" w:line="253" w:lineRule="auto"/>
        <w:tabs>
          <w:tab w:leader="none" w:pos="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SPONSOR DIRECTOR AGREEMENTS: The Company hereby acknowledges that Indemnitee may have certain rights to indemnification, advancement of expenses and/or insurance provided by a third party (other than the Company and its Subsidiaries) (collectively, the “</w:t>
      </w:r>
      <w:r>
        <w:rPr>
          <w:rFonts w:ascii="Times New Roman" w:cs="Times New Roman" w:eastAsia="Times New Roman" w:hAnsi="Times New Roman"/>
          <w:sz w:val="18"/>
          <w:szCs w:val="18"/>
          <w:u w:val="single" w:color="auto"/>
          <w:color w:val="auto"/>
        </w:rPr>
        <w:t>Third-Party Indemnitors</w:t>
      </w:r>
      <w:r>
        <w:rPr>
          <w:rFonts w:ascii="Times New Roman" w:cs="Times New Roman" w:eastAsia="Times New Roman" w:hAnsi="Times New Roman"/>
          <w:sz w:val="18"/>
          <w:szCs w:val="18"/>
          <w:color w:val="auto"/>
        </w:rPr>
        <w:t>”). The Company hereby agrees (i) that it is the indemnitor of first resort (i.e., its obligations to Indemnitee under this Agreement and any indemnity provisions set forth in its Charter, By-laws or elsewhere (the “</w:t>
      </w:r>
      <w:r>
        <w:rPr>
          <w:rFonts w:ascii="Times New Roman" w:cs="Times New Roman" w:eastAsia="Times New Roman" w:hAnsi="Times New Roman"/>
          <w:sz w:val="18"/>
          <w:szCs w:val="18"/>
          <w:u w:val="single" w:color="auto"/>
          <w:color w:val="auto"/>
        </w:rPr>
        <w:t>Third-Party Arrangements</w:t>
      </w:r>
      <w:r>
        <w:rPr>
          <w:rFonts w:ascii="Times New Roman" w:cs="Times New Roman" w:eastAsia="Times New Roman" w:hAnsi="Times New Roman"/>
          <w:sz w:val="18"/>
          <w:szCs w:val="18"/>
          <w:color w:val="auto"/>
        </w:rPr>
        <w:t>”) are primary and any obligation of the Third-Party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any Third-Party Arrangement, without regard to any rights Indemnitee may have against the Third-Party Indemnitors, and, (iii) that it irrevocably waives, relinquishes and releases the Third-Party Indemnitors from any and all claims against the Third-Party Indemnitors for contribution, subrogation or any other recovery of any kind in respect thereof. The Company further agrees that no advancement or payment by the Third-Party Indemnitors on behalf of Indemnitee with respect to any claim for which Indemnitee has sought indemnification from the Company shall affect the foregoing and the Third-Party Indemnitors shall have a right of contribution and/or be subrogated to the extent of such advancement or payment to all of the rights of recovery of Indemnitee against the Company. The Company and Indemnitee agree that the Third-Party Indemnitors are express third party beneficiaries of the terms hereof.]</w:t>
      </w:r>
    </w:p>
    <w:p>
      <w:pPr>
        <w:spacing w:after="0" w:line="18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16. Term</w:t>
      </w:r>
      <w:r>
        <w:rPr>
          <w:rFonts w:ascii="Times New Roman" w:cs="Times New Roman" w:eastAsia="Times New Roman" w:hAnsi="Times New Roman"/>
          <w:sz w:val="18"/>
          <w:szCs w:val="18"/>
          <w:color w:val="auto"/>
        </w:rPr>
        <w:t>. All agreements and obligations of the Company contained herein shall continue until and terminate upon the later of: (a)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after the date that Indemnitee’s Corporate Status shall have ceased and (b) one year after the final termination of any Proceeding then pending in respect of which Indemnitee is granted rights of indemnification or advancement of Expenses hereunder and of any proceeding commenced by Indemnitee pursuant to Section 13 of this Agreement relating thereto.</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17. Severability</w:t>
      </w:r>
      <w:r>
        <w:rPr>
          <w:rFonts w:ascii="Times New Roman" w:cs="Times New Roman" w:eastAsia="Times New Roman" w:hAnsi="Times New Roman"/>
          <w:sz w:val="18"/>
          <w:szCs w:val="18"/>
          <w:color w:val="auto"/>
        </w:rPr>
        <w:t>. If any provision of this Agreement shall be held to be invalid, illegal or otherwise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(a) the validity, legality and enforceability of the remaining provisions of this Agreement (including, without limitation, all portions of any Section of this Agreement containing any such provision held to be invalid, illegal or otherwise unenforceable, that is not itself invalid, illegal or unenforceable) shall not in any way be affected or impaired thereby and shall remain enforceable to the fullest extent permitted by law; (b) such provision shall be deemed reformed to the extent necessary to conform to applicable law and to give the maximum effect to the intent of the parties hereto; and (c) to the fullest extent possible, the provisions of this Agreement (including, without limitation, all portions of any Section of this Agreement containing any such provision held to be invalid, illegal or unenforceable, that are not themselves invalid, illegal or unenforceable) shall be construed so as to give effect to the intent manifested thereby.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16" w:name="page117"/>
    <w:bookmarkEnd w:id="116"/>
    <w:p>
      <w:pPr>
        <w:ind w:left="4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18.</w:t>
      </w:r>
      <w:r>
        <w:rPr>
          <w:sz w:val="20"/>
          <w:szCs w:val="20"/>
          <w:color w:val="auto"/>
        </w:rPr>
        <w:tab/>
      </w:r>
      <w:r>
        <w:rPr>
          <w:rFonts w:ascii="Times New Roman" w:cs="Times New Roman" w:eastAsia="Times New Roman" w:hAnsi="Times New Roman"/>
          <w:sz w:val="17"/>
          <w:szCs w:val="17"/>
          <w:b w:val="1"/>
          <w:bCs w:val="1"/>
          <w:color w:val="auto"/>
        </w:rPr>
        <w:t>Enforcement and Binding Effect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20" w:right="300" w:firstLine="436"/>
        <w:spacing w:after="0" w:line="266" w:lineRule="auto"/>
        <w:tabs>
          <w:tab w:leader="none" w:pos="79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[serve]/[continue to serve] as a director, officer or employee of the Company, and the Company acknowledges that Indemnitee is relying upon this Agreement in serving as a director, officer or employee of the Company.</w:t>
      </w:r>
    </w:p>
    <w:p>
      <w:pPr>
        <w:spacing w:after="0" w:line="175"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80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By-Laws and applicable law, and shall not be deemed a substitute therefor, nor to diminish or abrogate any rights of Indemnitee thereunder.</w:t>
      </w:r>
    </w:p>
    <w:p>
      <w:pPr>
        <w:spacing w:after="0" w:line="179" w:lineRule="exact"/>
        <w:rPr>
          <w:rFonts w:ascii="Times New Roman" w:cs="Times New Roman" w:eastAsia="Times New Roman" w:hAnsi="Times New Roman"/>
          <w:sz w:val="18"/>
          <w:szCs w:val="18"/>
          <w:color w:val="auto"/>
        </w:rPr>
      </w:pPr>
    </w:p>
    <w:p>
      <w:pPr>
        <w:ind w:left="-20" w:firstLine="436"/>
        <w:spacing w:after="0" w:line="282" w:lineRule="auto"/>
        <w:tabs>
          <w:tab w:leader="none" w:pos="79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by or granted Indemnitee pursuant to this Agreement shall apply to Indemnitee’s service as an officer, director, employee or agent of the Company or the Enterprise prior to the date of this Agreement, as well as service on or after the date of this Agreement.</w:t>
      </w:r>
    </w:p>
    <w:p>
      <w:pPr>
        <w:spacing w:after="0" w:line="161" w:lineRule="exact"/>
        <w:rPr>
          <w:rFonts w:ascii="Times New Roman" w:cs="Times New Roman" w:eastAsia="Times New Roman" w:hAnsi="Times New Roman"/>
          <w:sz w:val="18"/>
          <w:szCs w:val="18"/>
          <w:color w:val="auto"/>
        </w:rPr>
      </w:pPr>
    </w:p>
    <w:p>
      <w:pPr>
        <w:ind w:left="-20" w:right="340" w:firstLine="436"/>
        <w:spacing w:after="0" w:line="266" w:lineRule="auto"/>
        <w:tabs>
          <w:tab w:leader="none" w:pos="80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by or granted pursuant to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and personal and legal representatives.</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79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any successor (whether direct or indirect by purchase, merger, consolidation or otherwise) to all or substantially all,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even though he may have ceased to serve in such capacity at the time of any Proceeding, and shall inure to the benefit of the heirs, executors and administrators of such a person.</w:t>
      </w:r>
    </w:p>
    <w:p>
      <w:pPr>
        <w:spacing w:after="0" w:line="187" w:lineRule="exact"/>
        <w:rPr>
          <w:rFonts w:ascii="Times New Roman" w:cs="Times New Roman" w:eastAsia="Times New Roman" w:hAnsi="Times New Roman"/>
          <w:sz w:val="18"/>
          <w:szCs w:val="18"/>
          <w:color w:val="auto"/>
        </w:rPr>
      </w:pPr>
    </w:p>
    <w:p>
      <w:pPr>
        <w:ind w:left="-20" w:right="160" w:firstLine="436"/>
        <w:spacing w:after="0" w:line="254" w:lineRule="auto"/>
        <w:tabs>
          <w:tab w:leader="none" w:pos="7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and the Company irreparable harm. Accordingly, the parties hereto agree that the parties may enforce this Agreement by seeking injunctive relief and/or specific performance hereof, without any necessity of showing actual damage or irreparable harm and that by seeking injunctive relief and/or specific performance, they shall not be precluded from seeking or obtaining any other relief to which they may be entitled. The Company and Indemnitee further agree that they shall be entitled to such specific performance and injunctive relief, including temporary restraining orders, preliminary injunctions and permanent injunctions, without the necessity of posting bonds or other undertaking in connection therewith. The Company and Indemnitee acknowledge that in the absence of a waiver, a bond or undertaking may be required by the Delaware Court, and they hereby waive any such requirement of such a bond or undertaking.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66" w:right="479" w:bottom="1440" w:gutter="0" w:footer="0" w:header="0"/>
        </w:sectPr>
      </w:pPr>
    </w:p>
    <w:bookmarkStart w:id="117" w:name="page118"/>
    <w:bookmarkEnd w:id="117"/>
    <w:p>
      <w:pPr>
        <w:ind w:left="4"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19. 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both parties hereto. No waiver of any of the provisions of this Agreement shall be deemed or shall constitute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76" w:lineRule="exact"/>
        <w:rPr>
          <w:sz w:val="20"/>
          <w:szCs w:val="20"/>
          <w:color w:val="auto"/>
        </w:rPr>
      </w:pPr>
    </w:p>
    <w:p>
      <w:pPr>
        <w:ind w:left="4" w:right="1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Section 20. 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(i) upon delivery if delivered by hand to the party to whom such notice or other communication shall have been directed; or</w:t>
      </w:r>
    </w:p>
    <w:p>
      <w:pPr>
        <w:spacing w:after="0" w:line="1" w:lineRule="exact"/>
        <w:rPr>
          <w:sz w:val="20"/>
          <w:szCs w:val="20"/>
          <w:color w:val="auto"/>
        </w:rPr>
      </w:pPr>
    </w:p>
    <w:p>
      <w:pPr>
        <w:ind w:left="4" w:right="140" w:hanging="4"/>
        <w:spacing w:after="0" w:line="255"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85"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82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MKlaben@soterahealth.com/ Facsimile: (440) 526-6134</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Notice of change of address shall be effective only when given in accordance with this Section.</w:t>
      </w:r>
    </w:p>
    <w:p>
      <w:pPr>
        <w:spacing w:after="0" w:line="2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21. 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13(a) hereof, the Company and Indemnitee hereby irrevocably and unconditionally: (a) agree that any action or proceeding arising out of or in connection with this Agreement shall be brought only in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appoint irrevocably, to the extent such party otherwise subject to service of process in the State of Delaware, Corporation Service Company, 251 Little Falls Drive, City of Wilmington, County of New Castle, 19808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 or is subject (in whole or in part) to a jury trial.</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118" w:name="page119"/>
    <w:bookmarkEnd w:id="118"/>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22.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of which together shall constitute one and the same Agreement. Only one such counterpart signed by the party against whom enforcement is sought needs to be produced to evidence the existence of this Agreement.</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23. Miscellaneous</w:t>
      </w:r>
      <w:r>
        <w:rPr>
          <w:rFonts w:ascii="Times New Roman" w:cs="Times New Roman" w:eastAsia="Times New Roman" w:hAnsi="Times New Roman"/>
          <w:sz w:val="18"/>
          <w:szCs w:val="18"/>
          <w:color w:val="auto"/>
        </w:rPr>
        <w:t>. The headings of this Agreement are inserted for convenience only and shall not be deemed to constitute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affect the construction thereof.</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Indemnitee (a) acknowledges and agrees that the Prior Agreement is hereby terminated, effective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(b) acknowledges and agrees that Topco Parent has fully performed its obligations under the Prior Agreement and (c) does hereby forever waive, release and discharge Topco Parent to the fullest extent permitted by law from any and all actions, causes of action, claims, demands, demands for indemnification, damages, losses, liabilities, awards, judgments, costs, expenses, debts and suits of every kind, nature and description whatsoever now existing or hereafter arising under the Prior Agreement. The Company and the Indemnitee agree that Topco Parent is an express third-party beneficiary of this Section 25.]</w:t>
      </w:r>
    </w:p>
    <w:p>
      <w:pPr>
        <w:spacing w:after="0" w:line="18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25. Further Assurances</w:t>
      </w:r>
      <w:r>
        <w:rPr>
          <w:rFonts w:ascii="Times New Roman" w:cs="Times New Roman" w:eastAsia="Times New Roman" w:hAnsi="Times New Roman"/>
          <w:sz w:val="18"/>
          <w:szCs w:val="18"/>
          <w:color w:val="auto"/>
        </w:rPr>
        <w:t>. If for the validation of any of the provisions in this Agreement any act, resolution, approval or other procedure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the Company undertakes to cause such act, resolution, approval or other procedure to be affected or adopted in a manner that will enable the Company to fulfill its obligations under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COMPANY</w:t>
            </w:r>
          </w:p>
        </w:tc>
        <w:tc>
          <w:tcPr>
            <w:tcW w:w="154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INDEMNITEE</w:t>
            </w:r>
          </w:p>
        </w:tc>
      </w:tr>
      <w:tr>
        <w:trPr>
          <w:trHeight w:val="4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rPr>
                <w:sz w:val="19"/>
                <w:szCs w:val="19"/>
                <w:color w:val="auto"/>
              </w:rPr>
            </w:pPr>
          </w:p>
        </w:tc>
      </w:tr>
      <w:tr>
        <w:trPr>
          <w:trHeight w:val="4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54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47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Email:</w:t>
            </w:r>
          </w:p>
        </w:tc>
      </w:tr>
      <w:tr>
        <w:trPr>
          <w:trHeight w:val="372"/>
        </w:trPr>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21</w:t>
            </w:r>
          </w:p>
        </w:tc>
        <w:tc>
          <w:tcPr>
            <w:tcW w:w="472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3380105</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3423285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STOCKHOLDERS PARTY HERETO</w:t>
      </w:r>
    </w:p>
    <w:p>
      <w:pPr>
        <w:spacing w:after="0" w:line="23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80" w:type="dxa"/>
            <w:vAlign w:val="bottom"/>
          </w:tcPr>
          <w:p>
            <w:pPr>
              <w:spacing w:after="0"/>
              <w:rPr>
                <w:sz w:val="20"/>
                <w:szCs w:val="20"/>
                <w:color w:val="auto"/>
              </w:rPr>
            </w:pPr>
          </w:p>
        </w:tc>
      </w:tr>
      <w:tr>
        <w:trPr>
          <w:trHeight w:val="408"/>
        </w:trPr>
        <w:tc>
          <w:tcPr>
            <w:tcW w:w="11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ARTICLE 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DEFINITIONS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ARTICLE II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CORPORATE GOVERNANCE</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Board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Reports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Acknowledgments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Agreement; Certain Actions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Committees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ARTICLE III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APPROVAL RIGHTS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Required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Required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ARTICLE IV</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TRANSFERS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Transfer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and Obligations of Transferees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Legends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V</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Parties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Entitlement of the Parties to Rely on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66" w:right="4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54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540" w:type="dxa"/>
            <w:vAlign w:val="bottom"/>
          </w:tcPr>
          <w:p>
            <w:pPr>
              <w:jc w:val="right"/>
              <w:ind w:right="4931"/>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373"/>
        </w:trPr>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540" w:type="dxa"/>
            <w:vAlign w:val="bottom"/>
          </w:tcPr>
          <w:p>
            <w:pPr>
              <w:jc w:val="right"/>
              <w:ind w:right="4911"/>
              <w:spacing w:after="0"/>
              <w:rPr>
                <w:sz w:val="20"/>
                <w:szCs w:val="20"/>
                <w:color w:val="auto"/>
              </w:rPr>
            </w:pPr>
            <w:r>
              <w:rPr>
                <w:rFonts w:ascii="Times New Roman" w:cs="Times New Roman" w:eastAsia="Times New Roman" w:hAnsi="Times New Roman"/>
                <w:sz w:val="18"/>
                <w:szCs w:val="18"/>
                <w:color w:val="auto"/>
              </w:rPr>
              <w:t>ARTICLE VI</w:t>
            </w:r>
          </w:p>
        </w:tc>
      </w:tr>
      <w:tr>
        <w:trPr>
          <w:trHeight w:val="306"/>
        </w:trPr>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40" w:type="dxa"/>
            <w:vAlign w:val="bottom"/>
          </w:tcPr>
          <w:p>
            <w:pPr>
              <w:jc w:val="right"/>
              <w:ind w:right="4651"/>
              <w:spacing w:after="0"/>
              <w:rPr>
                <w:sz w:val="20"/>
                <w:szCs w:val="20"/>
                <w:color w:val="auto"/>
              </w:rPr>
            </w:pPr>
            <w:r>
              <w:rPr>
                <w:rFonts w:ascii="Times New Roman" w:cs="Times New Roman" w:eastAsia="Times New Roman" w:hAnsi="Times New Roman"/>
                <w:sz w:val="18"/>
                <w:szCs w:val="18"/>
                <w:color w:val="auto"/>
              </w:rPr>
              <w:t>MISCELLANEOUS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Opportunity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Information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Third Party Liability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of the Essence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Promotion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Exculpation Among Stockholders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66" w:right="4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AGREEMENT</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2020, is entered into by and among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stockholders of the Company whose name appears on the signature pages hereto and any Person (as defined below) who executes a Joinder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currently contemplating an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common stock, par value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each Stockholder that is party to this Agreement on the date hereof is also a limited partner of Sotera Health Topco Parent, L.P. (“</w:t>
      </w:r>
      <w:r>
        <w:rPr>
          <w:rFonts w:ascii="Times New Roman" w:cs="Times New Roman" w:eastAsia="Times New Roman" w:hAnsi="Times New Roman"/>
          <w:sz w:val="18"/>
          <w:szCs w:val="18"/>
          <w:u w:val="single" w:color="auto"/>
          <w:color w:val="auto"/>
        </w:rPr>
        <w:t>Topco Parent</w:t>
      </w:r>
      <w:r>
        <w:rPr>
          <w:rFonts w:ascii="Times New Roman" w:cs="Times New Roman" w:eastAsia="Times New Roman" w:hAnsi="Times New Roman"/>
          <w:sz w:val="18"/>
          <w:szCs w:val="18"/>
          <w:color w:val="auto"/>
        </w:rPr>
        <w:t>”), a Delaware limited partnership and a party to the amended and restated agreement of limited partnership of Topco Parent dated as of June 30, 2020 (the “</w:t>
      </w:r>
      <w:r>
        <w:rPr>
          <w:rFonts w:ascii="Times New Roman" w:cs="Times New Roman" w:eastAsia="Times New Roman" w:hAnsi="Times New Roman"/>
          <w:sz w:val="18"/>
          <w:szCs w:val="18"/>
          <w:u w:val="single" w:color="auto"/>
          <w:color w:val="auto"/>
        </w:rPr>
        <w:t>LPA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was a direct wholly-owned Subsidiary of Topco Parent and on the date hereof, Topco Parent distributed its Common Stock to the limited partners of Topco Parent and such limited partners became the stockholders of the Company; and</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the execution of the underwriting agreement to be entered into in connection with the Company’s proposed IPO, the Company and the Stockholders wish to set forth certain understandings between such parties, including with respect to certain governance matters.</w:t>
      </w:r>
    </w:p>
    <w:p>
      <w:pPr>
        <w:spacing w:after="0" w:line="176"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of the parties hereto, and of other good and valuable consideration, the receipt and sufficiency of which are hereby acknowledged, it is mutually agreed by and among the Company and the Stockholders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have the following meanings:</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Stockholder shall be deemed an Affiliate of the Company or any of its Subsidiaries or Topco Parent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securityholder of the Company shall be deemed an Affiliate of any other securityholder of the Company solely by reason of an investment in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portfolio company of a Sponsor shall not be deemed to be an Affiliate of such Sponsor.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24" w:name="page125"/>
    <w:bookmarkEnd w:id="1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on which national banking institutions in New York, New York are open to the public for conducting business and are not required or authorized to close.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 LPA</w:t>
      </w:r>
      <w:r>
        <w:rPr>
          <w:rFonts w:ascii="Times New Roman" w:cs="Times New Roman" w:eastAsia="Times New Roman" w:hAnsi="Times New Roman"/>
          <w:sz w:val="18"/>
          <w:szCs w:val="18"/>
          <w:color w:val="auto"/>
        </w:rPr>
        <w:t>” means the Amended and Restated Agreement of Limited Partnership of the Co-Investor, dated as of May 15, 2015.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 Partner</w:t>
      </w:r>
      <w:r>
        <w:rPr>
          <w:rFonts w:ascii="Times New Roman" w:cs="Times New Roman" w:eastAsia="Times New Roman" w:hAnsi="Times New Roman"/>
          <w:sz w:val="18"/>
          <w:szCs w:val="18"/>
          <w:color w:val="auto"/>
        </w:rPr>
        <w:t>” means a Person (other than Warburg Pincus) who is or was a limited partner in the Co-Investor.</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Co-Investor</w:t>
      </w:r>
      <w:r>
        <w:rPr>
          <w:rFonts w:ascii="Times New Roman" w:cs="Times New Roman" w:eastAsia="Times New Roman" w:hAnsi="Times New Roman"/>
          <w:sz w:val="18"/>
          <w:szCs w:val="18"/>
          <w:color w:val="auto"/>
        </w:rPr>
        <w:t>” means Bull Co-Invest L.P., which shall act through the WP Designated Sponsor Fund except as expressly provided otherwise herein.</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securities issued in respect thereof, or in substitution therefor, in connection with any stock split, stock dividend or combination, or any reclassification, recapitalization, merger, consolidation, share exchange or other similar reorganization.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issued and outstanding shares of Common Stock.</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has a correlative meaning.</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Credit Agreement, dated as of December 13, 2019, by and among the Company, Sotera Health Holdings, LLC, a Delaware limited liability company and direct wholly-owned Subsidiary of the Company, the lenders and issuing banks party thereto and JEFFERIES FINANCE LLC, as first lien administrative agent and first lien collateral agent, together with all other agreements and documents entered into pursuant to the terms thereof or in connection therewith, in all cases, as amended, modified or supplemented from time to time, and any successor credit agreement or other financing used to refinance the initial credit agreement or any subsequent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Sponsor Directors</w:t>
      </w:r>
      <w:r>
        <w:rPr>
          <w:rFonts w:ascii="Times New Roman" w:cs="Times New Roman" w:eastAsia="Times New Roman" w:hAnsi="Times New Roman"/>
          <w:sz w:val="18"/>
          <w:szCs w:val="18"/>
          <w:color w:val="auto"/>
        </w:rPr>
        <w:t>” means the WP Directors and the GTCR Directors, collectively.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Sponsor Fund</w:t>
      </w:r>
      <w:r>
        <w:rPr>
          <w:rFonts w:ascii="Times New Roman" w:cs="Times New Roman" w:eastAsia="Times New Roman" w:hAnsi="Times New Roman"/>
          <w:sz w:val="18"/>
          <w:szCs w:val="18"/>
          <w:color w:val="auto"/>
        </w:rPr>
        <w:t>” means the WP Designated Sponsor Fund or the GTCR Designated Sponsor Fund, or both, as the context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440" w:top="270" w:right="599" w:bottom="1440" w:gutter="0" w:footer="0" w:header="0"/>
        </w:sectPr>
      </w:pPr>
    </w:p>
    <w:bookmarkStart w:id="125" w:name="page126"/>
    <w:bookmarkEnd w:id="1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External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w:t>
      </w:r>
      <w:r>
        <w:rPr>
          <w:rFonts w:ascii="Times New Roman" w:cs="Times New Roman" w:eastAsia="Times New Roman" w:hAnsi="Times New Roman"/>
          <w:sz w:val="18"/>
          <w:szCs w:val="18"/>
          <w:color w:val="auto"/>
        </w:rPr>
        <w:t>” means GTCR Fund XI/A VCOC, GTCR Fund XI/C VCOC, GTCR Co-Invest XI LP and their respective Affiliates.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Designated Sponsor Fund</w:t>
      </w:r>
      <w:r>
        <w:rPr>
          <w:rFonts w:ascii="Times New Roman" w:cs="Times New Roman" w:eastAsia="Times New Roman" w:hAnsi="Times New Roman"/>
          <w:sz w:val="18"/>
          <w:szCs w:val="18"/>
          <w:color w:val="auto"/>
        </w:rPr>
        <w:t>” means each of the GTCR Fund XI/A VCOC and the GTCR Fund XI/C VCOC or such other GTCR Stockholder designated by GTCR (in writing to the Partnership) as a GTCR Designated Sponsor Fund from time to time. For purposes of the rights of a Designated Sponsor Fund under this Agreement, all GTCR Designated Sponsor Funds shall collectively be regarded as a single Designated Sponsor Fund.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Fund XI/A VCOC</w:t>
      </w:r>
      <w:r>
        <w:rPr>
          <w:rFonts w:ascii="Times New Roman" w:cs="Times New Roman" w:eastAsia="Times New Roman" w:hAnsi="Times New Roman"/>
          <w:sz w:val="18"/>
          <w:szCs w:val="18"/>
          <w:color w:val="auto"/>
        </w:rPr>
        <w:t>” means GTCR Fund XI/A LP.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Fund XI/C VCOC</w:t>
      </w:r>
      <w:r>
        <w:rPr>
          <w:rFonts w:ascii="Times New Roman" w:cs="Times New Roman" w:eastAsia="Times New Roman" w:hAnsi="Times New Roman"/>
          <w:sz w:val="18"/>
          <w:szCs w:val="18"/>
          <w:color w:val="auto"/>
        </w:rPr>
        <w:t>” means GTCR Fund XI/C LP.</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Stockholders</w:t>
      </w:r>
      <w:r>
        <w:rPr>
          <w:rFonts w:ascii="Times New Roman" w:cs="Times New Roman" w:eastAsia="Times New Roman" w:hAnsi="Times New Roman"/>
          <w:sz w:val="18"/>
          <w:szCs w:val="18"/>
          <w:color w:val="auto"/>
        </w:rPr>
        <w:t>” means, collectively, GTCR Fund XI/A VCOC, GTCR Fund XI/C VCOC, GTCR Co-Invest XI LP and their respective Affiliates that are, from time to time, stockholders of the Company, each of which shall act through the applicable GTCR Designated Sponsor Fund except as expressly provided otherwise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that certain Indenture, dated as of the December 13, 2019, by and among the Company, Sotera Health Holdings, LLC, a Delaware limited liability company and direct wholly-owned Subsidiary of the Company, as issuer, the subsidiary note parties party thereto and Wilmington Trust, National Association, as second lien notes collateral agent, calculation agent and trustee, together with all other agreements and documents entered into pursuant to the terms thereof or in connection therewith, in all cases, as amended, modified or supplemented from time to time, and any successor indenture or any subsequent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from time to time, and the rules and regulations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LPA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Stockholder</w:t>
      </w:r>
      <w:r>
        <w:rPr>
          <w:rFonts w:ascii="Times New Roman" w:cs="Times New Roman" w:eastAsia="Times New Roman" w:hAnsi="Times New Roman"/>
          <w:sz w:val="18"/>
          <w:szCs w:val="18"/>
          <w:color w:val="auto"/>
        </w:rPr>
        <w:t>” means a Stockholder (including, with respect to any estate planning, personal services or similar vehicle, its Affiliates) who provides or has in the past provided Services.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 specified result, all actions (to the extent permitted by applicable laws and stock exchange regulations) necessary to cause such result, including (i) voting or providing a written consent or proxy with respect to the Company Shares, (ii) calling and attending meetings in person or by proxy for purposes of obtaining a quorum and causing the adoption of stockholders’ resolutions and amendments to the Company’s certificate of incorporation or by-laws, (iii) causing members of the Board (to the extent such members were nominated or designated by the Person obligated to undertake the Necessary Action, and subject to any fiduciary duties that such members may have as directors of the Company) to act in a certain manner or causing them to be removed in the event they do not act in such a manner, (iv) executing agreements and instruments, and (v) making, or causing to be made, with governmental, administrative or regulatory authorities, all filings, registrations or similar actions that are required to achieve such result.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the Company and the Stockholders.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Management Stockholder, any spouse, lineal descendant, parent, heir, sibling, executor, administrator, testamentary trust, trustee or legatee of such Management Stockholder or any trust or other Person in which the sole (direct or indirect) beneficiaries or other equity holders thereof are such Management Stockholder or any of the other Persons referred to herein.</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governmental entity or any other entity.</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preferred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public offering and sale of equity securities of the Company or its successor for cash pursuant to an effective registration statement (other than on Form S-4, S-8 or a comparable form) under the Securities Act.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Sale</w:t>
      </w:r>
      <w:r>
        <w:rPr>
          <w:rFonts w:ascii="Times New Roman" w:cs="Times New Roman" w:eastAsia="Times New Roman" w:hAnsi="Times New Roman"/>
          <w:sz w:val="18"/>
          <w:szCs w:val="18"/>
          <w:color w:val="auto"/>
        </w:rPr>
        <w:t>” means a sale of Company Shares for consideration in a privately negotiated transaction, including a block trade (but for the avoidance of doubt, a Private Sale shall exclude a Public Sale, any distribution-in-kind by the Sponsors to direct or indirect limited partners and a Transfer by a Sponsor to an Affiliate).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27" w:name="page128"/>
    <w:bookmarkEnd w:id="12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Private Sale Eligible Shares</w:t>
      </w:r>
      <w:r>
        <w:rPr>
          <w:rFonts w:ascii="Times New Roman" w:cs="Times New Roman" w:eastAsia="Times New Roman" w:hAnsi="Times New Roman"/>
          <w:sz w:val="18"/>
          <w:szCs w:val="18"/>
          <w:color w:val="auto"/>
        </w:rPr>
        <w:t>” means, with respect to a Management Stockholder, a number of Company Shares equal to the product of</w:t>
      </w:r>
    </w:p>
    <w:p>
      <w:pPr>
        <w:spacing w:after="0" w:line="27" w:lineRule="exact"/>
        <w:rPr>
          <w:sz w:val="20"/>
          <w:szCs w:val="20"/>
          <w:color w:val="auto"/>
        </w:rPr>
      </w:pPr>
    </w:p>
    <w:p>
      <w:pPr>
        <w:ind w:left="224" w:hanging="224"/>
        <w:spacing w:after="0"/>
        <w:tabs>
          <w:tab w:leader="none" w:pos="22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Company Shares then owned by Management Stockholder subject to the restrictions on Transfer set forth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multiplied by</w:t>
      </w:r>
    </w:p>
    <w:p>
      <w:pPr>
        <w:spacing w:after="0" w:line="20"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number of Company Shares sold by the Sponsors in a Private Sale and the denominator of which is the total number of Company Shares held by Sponsors immediately prior to such Private Sale.</w:t>
      </w:r>
    </w:p>
    <w:p>
      <w:pPr>
        <w:spacing w:after="0" w:line="181"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Sale</w:t>
      </w:r>
      <w:r>
        <w:rPr>
          <w:rFonts w:ascii="Times New Roman" w:cs="Times New Roman" w:eastAsia="Times New Roman" w:hAnsi="Times New Roman"/>
          <w:sz w:val="18"/>
          <w:szCs w:val="18"/>
          <w:color w:val="auto"/>
        </w:rPr>
        <w:t>” means any sale of Company Shares (i) to the public pursuant to an offering registered under the Securities Act or (ii) to the public through a broker, dealer or market maker pursuant to the provisions of Rule 144 promulgated under the Securities Act.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Sale Eligible Shares</w:t>
      </w:r>
      <w:r>
        <w:rPr>
          <w:rFonts w:ascii="Times New Roman" w:cs="Times New Roman" w:eastAsia="Times New Roman" w:hAnsi="Times New Roman"/>
          <w:sz w:val="18"/>
          <w:szCs w:val="18"/>
          <w:color w:val="auto"/>
        </w:rPr>
        <w:t>” means, with respect to a Management Stockholder, a number of Company Shares equal to the product of</w:t>
      </w:r>
    </w:p>
    <w:p>
      <w:pPr>
        <w:spacing w:after="0" w:line="27" w:lineRule="exact"/>
        <w:rPr>
          <w:sz w:val="20"/>
          <w:szCs w:val="20"/>
          <w:color w:val="auto"/>
        </w:rPr>
      </w:pPr>
    </w:p>
    <w:p>
      <w:pPr>
        <w:ind w:left="224" w:hanging="224"/>
        <w:spacing w:after="0"/>
        <w:tabs>
          <w:tab w:leader="none" w:pos="224"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Company Shares then owned by Management Stockholder subject to the restrictions on Transfer set forth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multiplied by</w:t>
      </w:r>
    </w:p>
    <w:p>
      <w:pPr>
        <w:spacing w:after="0" w:line="20" w:lineRule="exact"/>
        <w:rPr>
          <w:rFonts w:ascii="Times New Roman" w:cs="Times New Roman" w:eastAsia="Times New Roman" w:hAnsi="Times New Roman"/>
          <w:sz w:val="17"/>
          <w:szCs w:val="17"/>
          <w:color w:val="auto"/>
        </w:rPr>
      </w:pPr>
    </w:p>
    <w:p>
      <w:pPr>
        <w:ind w:left="4" w:right="180" w:hanging="4"/>
        <w:spacing w:after="0" w:line="260"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number of Company Shares sold by the Sponsors in such Public Sale and the denominator of which is the total number of Company Shares held by Sponsors immediately prior to such Public Sale.</w:t>
      </w:r>
    </w:p>
    <w:p>
      <w:pPr>
        <w:spacing w:after="0" w:line="181"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Amended and Restated Registration Rights Agreement dated as of the date hereof, by and among the WP Stockholders, the GTCR Stockholders, the Co-Investor, the Company and the other parties thereto, as amended, modified or supplemented from time to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promulgated thereunder.</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the provision of services to Topco Parent, the Company or any of their respective Subsidiaries as an employee, manager, director or independent contractor of Topco Parent or the Company or as an employee, manager, director or independent contractor of any of their respective Subsidiaries.</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either (i) the WP Stockholders together or (ii) the GTCR Stockholders together, and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means, collectively, the WP Stockholders and the GTCR Stockholders.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Person (i) of which a majority of the outstanding voting securities or other voting equity interests are owned, directly or indirectly, by such first Person or any Subsidiary of such first Person or (ii) with respect to which such Person or any of its Subsidiaries is a general partner or managing member or is allocated or has the right to be allocated (through partnership interests or otherwise) a majority of such second Person’s gains or losses; provided, that the Company shall not be deemed a Subsidiary of any Sponsor.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28" w:name="page129"/>
    <w:bookmarkEnd w:id="128"/>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with respect to any Company Shares, a direct or indirect transfer, sale, exchange, assignment, pledge, hypothecation or other encumbrance or other disposition of such Company Shares, including by way of a merger, consolidation, division, share exchange, business combination or otherwise, including the grant of an option or other right, whether directly or indirectly, whether voluntarily, involuntarily or by operation of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 Parent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Company Shares are traded on the Nasdaq Global Select Market or any other market in which such securities are quoted for purchase and sale.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shall each have a correlative meaning to 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of the trading prices of shares of the Company Shares on the Nasdaq Global Select Market or any other market in which such securities are quoted for purchase and sale (as reported by Bloomberg L.P. or, if not reported therein, in another authoritative source mutually selected by the parties) during the twenty (20) consecutive Trading Days preceding the date of a Transfer; provided that if, from the beginning of the twenty-first (21st) Trading Day prior to the date of such Transfer until the date of such Transfer, there shall occur any change, or the record date for any change, in the outstanding shares of Company Shares as a result of any reclassification, recapitalization, stock split or combination, exchange or readjustment of shares, or any stock dividend, in each case other than pursuant to the terms of any equity-based compensation or incentive plan sponsored by the Company that is in effect and disclosed by the Company with the SEC prior to such date, the VWAP shall be equitably adjusted to reflect such change.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Pincus</w:t>
      </w:r>
      <w:r>
        <w:rPr>
          <w:rFonts w:ascii="Times New Roman" w:cs="Times New Roman" w:eastAsia="Times New Roman" w:hAnsi="Times New Roman"/>
          <w:sz w:val="18"/>
          <w:szCs w:val="18"/>
          <w:color w:val="auto"/>
        </w:rPr>
        <w:t>” means Warburg Pincus Private Equity XI, L.P. and its Affiliates (other than the Co-Investor).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Designated Sponsor Fund</w:t>
      </w:r>
      <w:r>
        <w:rPr>
          <w:rFonts w:ascii="Times New Roman" w:cs="Times New Roman" w:eastAsia="Times New Roman" w:hAnsi="Times New Roman"/>
          <w:sz w:val="18"/>
          <w:szCs w:val="18"/>
          <w:color w:val="auto"/>
        </w:rPr>
        <w:t>” means Warburg Pincus Private Equity XI, L.P. or one of its Affiliates designated by Warburg Pincus (in writing to the Company) as the WP Designated Sponsor Fund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WP Stockholders</w:t>
      </w:r>
      <w:r>
        <w:rPr>
          <w:rFonts w:ascii="Times New Roman" w:cs="Times New Roman" w:eastAsia="Times New Roman" w:hAnsi="Times New Roman"/>
          <w:sz w:val="17"/>
          <w:szCs w:val="17"/>
          <w:color w:val="auto"/>
        </w:rPr>
        <w:t>” means, collectively, Warburg Pincus Private Equity XI, L.P., Warburg Pincus XI Partners, L.P., WP XI Partners, L.P., Warburg Pincus Private Equity XI-B, L.P., Warburg Pincus Private Equity XI-C, L.P., the Co-Investor and their respective Affiliates that are, from to time, stockholders of the Company, each of which shall act through the WP Designated Sponsor Fund except as expressly provided otherwise herein.</w:t>
      </w:r>
    </w:p>
    <w:p>
      <w:pPr>
        <w:spacing w:after="0" w:line="158"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 The meanings of defined terms are equally applicable to the singular and plural forms of the defined terms.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29" w:name="page130"/>
    <w:bookmarkEnd w:id="129"/>
    <w:p>
      <w:pPr>
        <w:ind w:right="160" w:firstLine="987"/>
        <w:spacing w:after="0" w:line="282" w:lineRule="auto"/>
        <w:tabs>
          <w:tab w:leader="none" w:pos="13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similar words refer to this Agreement as a whole and not to any particular provision of this Agreement; and subsection, Section and Exhibit references are to this Agreement unless otherwise specified.</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is not limiting and means “</w:t>
      </w: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and headings of this Agreement are for convenience of reference only and shall not affect the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requires, any pronouns used herein shall include the corresponding masculine, feminine or neuter forms.</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37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Agreement, when determining the percentage represented by the number of Company Shares owned by any Stockholder at any time relative to the number of Company Shares owned by such Stockholder as of immediately following the Closing, such determination shall be equitably adjusted to appropriately account for any stock split, reverse stock split, stock dividend (including any dividend or distribution of securities convertible into capital stock), reorganization, reclassification, combination, recapitalization or other like change with respect to the Company Shares occurring after the Closing and prior to such determination, to the extent necessary to provide the parties with the same effect as contemplated by this Agreement prior to such stock split, reverse stock split, stock dividend, reorganization, reclassification, combination, recapitalization or other like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CORPORATE GOVERNANCE</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The Board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60" w:firstLine="987"/>
        <w:spacing w:after="0" w:line="261" w:lineRule="auto"/>
        <w:tabs>
          <w:tab w:leader="none" w:pos="13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of Initial Board</w:t>
      </w:r>
      <w:r>
        <w:rPr>
          <w:rFonts w:ascii="Times New Roman" w:cs="Times New Roman" w:eastAsia="Times New Roman" w:hAnsi="Times New Roman"/>
          <w:sz w:val="18"/>
          <w:szCs w:val="18"/>
          <w:color w:val="auto"/>
        </w:rPr>
        <w:t>. Prior to the Closing, the Sponsors shall take all Necessary Action to cause: (i) the Board, as of immediately following the Closing, to comprise the following nine (9) directors: James C. Neary, Stephanie Geveda, Ruoxi Chen, David A. Donnini, Constantine S. Mihas, Sean L. Cunningham, Michael B. Petras, Jr., Ann R. Klee, and Vincent K. Petrella and (ii) the Chairman of the Board, as of immediately following the Closing, to be Michael B. Petras, Jr.</w:t>
      </w:r>
    </w:p>
    <w:p>
      <w:pPr>
        <w:spacing w:after="0" w:line="28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Board.</w:t>
      </w:r>
    </w:p>
    <w:p>
      <w:pPr>
        <w:spacing w:after="0" w:line="117" w:lineRule="exact"/>
        <w:rPr>
          <w:sz w:val="20"/>
          <w:szCs w:val="20"/>
          <w:color w:val="auto"/>
        </w:rPr>
      </w:pPr>
    </w:p>
    <w:p>
      <w:pPr>
        <w:ind w:left="1380"/>
        <w:spacing w:after="0"/>
        <w:tabs>
          <w:tab w:leader="none" w:pos="17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Board shall be divided into three (3) classes of directors as follows: (A) the initial class I directors shall include</w:t>
      </w:r>
    </w:p>
    <w:p>
      <w:pPr>
        <w:spacing w:after="0" w:line="27" w:lineRule="exact"/>
        <w:rPr>
          <w:sz w:val="20"/>
          <w:szCs w:val="20"/>
          <w:color w:val="auto"/>
        </w:rPr>
      </w:pPr>
    </w:p>
    <w:p>
      <w:pPr>
        <w:ind w:left="980"/>
        <w:spacing w:after="0" w:line="290" w:lineRule="auto"/>
        <w:rPr>
          <w:sz w:val="20"/>
          <w:szCs w:val="20"/>
          <w:color w:val="auto"/>
        </w:rPr>
      </w:pPr>
      <w:r>
        <w:rPr>
          <w:rFonts w:ascii="Times New Roman" w:cs="Times New Roman" w:eastAsia="Times New Roman" w:hAnsi="Times New Roman"/>
          <w:sz w:val="17"/>
          <w:szCs w:val="17"/>
          <w:color w:val="auto"/>
        </w:rPr>
        <w:t>James C. Neary, Constantine Mihas and Michael B. Petras, Jr., (B) the initial class II directors shall include Ruoxi Chen, David A. Donnini and Ann R. Klee, and (C) the initial class III directors shall include Stephanie Geveda, Sean L. Cunningham and Vincent K. Petrella.</w:t>
      </w:r>
    </w:p>
    <w:p>
      <w:pPr>
        <w:spacing w:after="0" w:line="49" w:lineRule="exact"/>
        <w:rPr>
          <w:sz w:val="20"/>
          <w:szCs w:val="20"/>
          <w:color w:val="auto"/>
        </w:rPr>
      </w:pPr>
    </w:p>
    <w:p>
      <w:pPr>
        <w:ind w:left="980" w:right="220" w:firstLine="408"/>
        <w:spacing w:after="0" w:line="282" w:lineRule="auto"/>
        <w:tabs>
          <w:tab w:leader="none" w:pos="177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term of the class I directors shall expire at the first annual meeting of the stockholders following the date hereof at which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0" w:name="page131"/>
    <w:bookmarkEnd w:id="1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elected. The initial term of the class II directors shall expire at the second annual meeting of the stockholders following the date hereof at which directors are elected. The initial term of the class III directors shall expire at the third annual meeting of the stockholders following the date hereof at which directors are elected. Following the expiration of the initial term of any class of directors, all subsequent terms of such class shall be for a period of three (3) years.</w:t>
      </w:r>
    </w:p>
    <w:p>
      <w:pPr>
        <w:spacing w:after="0" w:line="288" w:lineRule="exact"/>
        <w:rPr>
          <w:sz w:val="20"/>
          <w:szCs w:val="20"/>
          <w:color w:val="auto"/>
        </w:rPr>
      </w:pPr>
    </w:p>
    <w:p>
      <w:pPr>
        <w:ind w:left="380" w:hanging="373"/>
        <w:spacing w:after="0"/>
        <w:tabs>
          <w:tab w:leader="none" w:pos="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WP and GTCR Designees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08"/>
        <w:spacing w:after="0" w:line="255" w:lineRule="auto"/>
        <w:tabs>
          <w:tab w:leader="none" w:pos="75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WP Stockholders collectively own a number of Company Shares representing at least the percentage shown below of the number of Company Shares collectively owned by the WP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WP Designated Sponsor Fund that, if elected, will result in the WP Stockholders having the number of directors serving on the Board that is shown below (each such director, a “</w:t>
      </w:r>
      <w:r>
        <w:rPr>
          <w:rFonts w:ascii="Times New Roman" w:cs="Times New Roman" w:eastAsia="Times New Roman" w:hAnsi="Times New Roman"/>
          <w:sz w:val="18"/>
          <w:szCs w:val="18"/>
          <w:u w:val="single" w:color="auto"/>
          <w:color w:val="auto"/>
        </w:rPr>
        <w:t>WP Director</w:t>
      </w:r>
      <w:r>
        <w:rPr>
          <w:rFonts w:ascii="Times New Roman" w:cs="Times New Roman" w:eastAsia="Times New Roman" w:hAnsi="Times New Roman"/>
          <w:sz w:val="18"/>
          <w:szCs w:val="18"/>
          <w:color w:val="auto"/>
        </w:rPr>
        <w:t>”). The WP Designated Sponsor Fund hereby designates three (3) of its five (5) WP Directors as James C. Neary, Stephanie Geveda and Ruoxi Chen.</w:t>
      </w:r>
    </w:p>
    <w:p>
      <w:pPr>
        <w:spacing w:after="0" w:line="199"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Percent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Number of</w:t>
            </w:r>
          </w:p>
        </w:tc>
        <w:tc>
          <w:tcPr>
            <w:tcW w:w="0" w:type="dxa"/>
            <w:vAlign w:val="bottom"/>
          </w:tcPr>
          <w:p>
            <w:pPr>
              <w:spacing w:after="0"/>
              <w:rPr>
                <w:sz w:val="1"/>
                <w:szCs w:val="1"/>
                <w:color w:val="auto"/>
              </w:rPr>
            </w:pPr>
          </w:p>
        </w:tc>
      </w:tr>
      <w:tr>
        <w:trPr>
          <w:trHeight w:val="165"/>
        </w:trPr>
        <w:tc>
          <w:tcPr>
            <w:tcW w:w="680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31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60% but greater than or equal to 40%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40% but greater than or equal to 20%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Less than 20% but greater than or equal to 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9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Less than 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right="40" w:firstLine="408"/>
        <w:spacing w:after="0" w:line="255" w:lineRule="auto"/>
        <w:tabs>
          <w:tab w:leader="none" w:pos="80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GTCR Stockholders collectively own a number of Company Shares representing the percentage shown below of the number of Company Shares collectively owned by the GTCR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GTCR Designated Sponsor Fund that, if elected, will result in the GTCR Stockholders having the number of directors serving on the Board that is shown below (each such director, a “</w:t>
      </w:r>
      <w:r>
        <w:rPr>
          <w:rFonts w:ascii="Times New Roman" w:cs="Times New Roman" w:eastAsia="Times New Roman" w:hAnsi="Times New Roman"/>
          <w:sz w:val="18"/>
          <w:szCs w:val="18"/>
          <w:u w:val="single" w:color="auto"/>
          <w:color w:val="auto"/>
        </w:rPr>
        <w:t>GTCR Director</w:t>
      </w:r>
      <w:r>
        <w:rPr>
          <w:rFonts w:ascii="Times New Roman" w:cs="Times New Roman" w:eastAsia="Times New Roman" w:hAnsi="Times New Roman"/>
          <w:sz w:val="18"/>
          <w:szCs w:val="18"/>
          <w:color w:val="auto"/>
        </w:rPr>
        <w:t>”). The GTCR Designated Sponsor Fund hereby designates three (3) GTCR Directors as David A. Donnini, Constantine S. Mihas, Sean L. Cunningham.</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20"/>
          </w:cols>
          <w:pgMar w:left="1420" w:top="270" w:right="459" w:bottom="1440" w:gutter="0" w:footer="0" w:header="0"/>
        </w:sectPr>
      </w:pPr>
    </w:p>
    <w:bookmarkStart w:id="131" w:name="page132"/>
    <w:bookmarkEnd w:id="131"/>
    <w:tbl>
      <w:tblPr>
        <w:tblLayout w:type="fixed"/>
        <w:tblInd w:w="174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Percent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Number of</w:t>
            </w:r>
          </w:p>
        </w:tc>
        <w:tc>
          <w:tcPr>
            <w:tcW w:w="0" w:type="dxa"/>
            <w:vAlign w:val="bottom"/>
          </w:tcPr>
          <w:p>
            <w:pPr>
              <w:spacing w:after="0"/>
              <w:rPr>
                <w:sz w:val="1"/>
                <w:szCs w:val="1"/>
                <w:color w:val="auto"/>
              </w:rPr>
            </w:pPr>
          </w:p>
        </w:tc>
      </w:tr>
      <w:tr>
        <w:trPr>
          <w:trHeight w:val="165"/>
        </w:trPr>
        <w:tc>
          <w:tcPr>
            <w:tcW w:w="680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31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70% but greater than or equal to 40%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60" w:right="180" w:firstLine="408"/>
        <w:spacing w:after="0" w:line="256" w:lineRule="auto"/>
        <w:tabs>
          <w:tab w:leader="none" w:pos="181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Designated Sponsor Fund has designated fewer than the total number of designees such Designated Sponsor Fund shall be entitled to designate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such Designated Sponsor Fund shall have the right, at any time and from time to time, to designate such additional designees to which it is entitled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in which case each Sponsor shall take all Necessary Action (including, as requested by such Designated Sponsor Fund, by increasing the size of the Board, electing such designees to the Board and causing the resignation of any directors other than the Designated Sponsor Directors) to enable such Designated Sponsor Fund to designate and effect the election or appointment of such additional individual or individuals.</w:t>
      </w:r>
    </w:p>
    <w:p>
      <w:pPr>
        <w:spacing w:after="0" w:line="79" w:lineRule="exact"/>
        <w:rPr>
          <w:rFonts w:ascii="Times New Roman" w:cs="Times New Roman" w:eastAsia="Times New Roman" w:hAnsi="Times New Roman"/>
          <w:sz w:val="18"/>
          <w:szCs w:val="18"/>
          <w:color w:val="auto"/>
        </w:rPr>
      </w:pPr>
    </w:p>
    <w:p>
      <w:pPr>
        <w:ind w:left="960" w:right="40" w:firstLine="408"/>
        <w:spacing w:after="0" w:line="258" w:lineRule="auto"/>
        <w:tabs>
          <w:tab w:leader="none" w:pos="180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decrease in the number of directors that a Designated Sponsor Fund is entitled to designate for election to the Board, each WP Director or GTCR Director, as applicable, shall be permitted to complete their remaining term in office. Following any such decrease and expiration of the next expiring term of a WP Director or GTCR Director, as applicable, the Parties shall take all Necessary Action to cause the authorized size of the Board to be reduced accordingly unless a majority of the remaining Designated Sponsor Directors, if any, determine not to reduce the authorized size of the Board.</w:t>
      </w:r>
    </w:p>
    <w:p>
      <w:pPr>
        <w:spacing w:after="0" w:line="291"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5"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xml:space="preserve">. Upon request by any Designated Sponsor Fund to (i) cause the removal of any of its respective designees to the Board, each Sponsor shall take all Necessary Action to cause the removal of any such designee at the request of the applicable Designated Sponsor Fund or (ii) designate for election to the Board a director to fill any vacancy created by reason of death, removal or resignation of any of its designees to the Board, and each Sponsor shall take all Necessary Action to cause any such vacancy to be filled by a replacement director designated by such Designated Sponsor Fund as promptly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and notwithstanding anything to the contrary in this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no Designated Sponsor Fund shall have the right to designate a replacement director, and the Sponsors shall not be required to take any action to cause any vacancy to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53" w:right="459" w:bottom="1440" w:gutter="0" w:footer="0" w:header="0"/>
        </w:sectPr>
      </w:pPr>
    </w:p>
    <w:bookmarkStart w:id="132" w:name="page133"/>
    <w:bookmarkEnd w:id="13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filled by any such designee, to the extent that election or appointment of such designee to the Board would result in the Board having as members, at any time, a number of directors designated by such Designated Sponsor Fund in excess of the number of directors that such Designated Sponsor Fund is then entitled to designate for membership on the Board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61" w:lineRule="auto"/>
        <w:tabs>
          <w:tab w:leader="none" w:pos="13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Directors</w:t>
      </w:r>
      <w:r>
        <w:rPr>
          <w:rFonts w:ascii="Times New Roman" w:cs="Times New Roman" w:eastAsia="Times New Roman" w:hAnsi="Times New Roman"/>
          <w:sz w:val="18"/>
          <w:szCs w:val="18"/>
          <w:color w:val="auto"/>
        </w:rPr>
        <w:t xml:space="preserve">. Subject to the rights of holders of any series of Preferred Stock, for so long as any Designated Sponsor Fund has the right to designate at least one (1) director under this Agreement, without the consent of each Designated Sponsor Fund, the Company will take all Necessary Action to ensure that the number of directors serving on the Board shall not exceed eleven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directors may be increased if necessary to satisfy the requirements of applicable laws and stock exchange regulations.</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quorum for a meeting of the Board shall require:</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 majority of the directors then in office;</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WP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w:t>
      </w:r>
    </w:p>
    <w:p>
      <w:pPr>
        <w:spacing w:after="0" w:line="27" w:lineRule="exact"/>
        <w:rPr>
          <w:rFonts w:ascii="Times New Roman" w:cs="Times New Roman" w:eastAsia="Times New Roman" w:hAnsi="Times New Roman"/>
          <w:sz w:val="18"/>
          <w:szCs w:val="18"/>
          <w:color w:val="auto"/>
        </w:rPr>
      </w:pPr>
    </w:p>
    <w:p>
      <w:pPr>
        <w:ind w:left="98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WP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the Board called in accordance with the Company’s certificate of incorporation and by-laws fails to achieve a quorum due to the absence of a WP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Times New Roman" w:cs="Times New Roman" w:eastAsia="Times New Roman" w:hAnsi="Times New Roman"/>
          <w:sz w:val="18"/>
          <w:szCs w:val="18"/>
          <w:u w:val="single" w:color="auto"/>
          <w:color w:val="auto"/>
        </w:rPr>
        <w:t>Section 2.01(g)(iii)</w:t>
      </w:r>
      <w:r>
        <w:rPr>
          <w:rFonts w:ascii="Times New Roman" w:cs="Times New Roman" w:eastAsia="Times New Roman" w:hAnsi="Times New Roman"/>
          <w:sz w:val="18"/>
          <w:szCs w:val="18"/>
          <w:color w:val="auto"/>
        </w:rPr>
        <w:t xml:space="preserve">, for so long as the GTCR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 (1) GTCR Director; and</w:t>
      </w:r>
    </w:p>
    <w:p>
      <w:pPr>
        <w:spacing w:after="0" w:line="81"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GTCR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w:t>
      </w:r>
    </w:p>
    <w:p>
      <w:pPr>
        <w:spacing w:after="0" w:line="27" w:lineRule="exact"/>
        <w:rPr>
          <w:rFonts w:ascii="Times New Roman" w:cs="Times New Roman" w:eastAsia="Times New Roman" w:hAnsi="Times New Roman"/>
          <w:sz w:val="18"/>
          <w:szCs w:val="18"/>
          <w:color w:val="auto"/>
        </w:rPr>
      </w:pPr>
    </w:p>
    <w:p>
      <w:pPr>
        <w:ind w:left="98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GTCR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the Board called in accordance with the Company’s certificate of incorporation and by-laws fails to achieve a quorum due to the absence of a GTCR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Times New Roman" w:cs="Times New Roman" w:eastAsia="Times New Roman" w:hAnsi="Times New Roman"/>
          <w:sz w:val="18"/>
          <w:szCs w:val="18"/>
          <w:u w:val="single" w:color="auto"/>
          <w:color w:val="auto"/>
        </w:rPr>
        <w:t>Section 2.01(g)(ii)</w:t>
      </w:r>
      <w:r>
        <w:rPr>
          <w:rFonts w:ascii="Times New Roman" w:cs="Times New Roman" w:eastAsia="Times New Roman" w:hAnsi="Times New Roman"/>
          <w:sz w:val="18"/>
          <w:szCs w:val="18"/>
          <w:color w:val="auto"/>
        </w:rPr>
        <w:t xml:space="preserve">, for so long as the WP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 (1) WP Director.</w:t>
      </w:r>
    </w:p>
    <w:p>
      <w:pPr>
        <w:spacing w:after="0" w:line="298"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380" w:firstLine="987"/>
        <w:spacing w:after="0" w:line="261" w:lineRule="auto"/>
        <w:tabs>
          <w:tab w:leader="none" w:pos="13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Sponsor and their respective Affiliates (provided, for the avoidance of doubt, that Subsidiaries of the Company shall not be considered Affiliates for this purpose), or any current, former, direct or indirect partner, manager, member, shareholder, employee, director, officer, management company, incorporator, successor or agent of such Person (collectively, the “Indemnified Persons”) who was or is made a party or is threatened to be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33" w:name="page134"/>
    <w:bookmarkEnd w:id="133"/>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party to or is involved in any threatened, pending or completed action, suit or proceeding, whether civil, criminal, administrative, arbitrative (hereinafter a “Proceeding”), or any appeal in such a Proceeding or any inquiry or investigation that could lead to such a Proceeding, by reason of the fact that he or she, or a Person of whom he or she is the legal representative, is or was a holder of equity securities of Topco Parent or the Company,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actually incurred by such Person in connection with such Proceeding; provided, that such Person had no reasonable cause to believe that such Person’s conduct was unlawful; provided further, that, such actions or omissions on which such proceeding or threatened proceeding are based were not found by a court of competent jurisdiction, upon entry of a final and non-appealable judgment to constitute fraud, gross negligence or willful misconduct. No amendment, modification or repeal of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shall have the effect of limiting or denying any such rights with respect to actions taken or Proceedings arising prior to any amendment, modification or repeal. It is expressly acknowledged that the indemnification provided in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could involve indemnification for negligence (other than gross negligence) or under theories of strict liability. Reasonable expenses incurred by an Indemnified Person who was, is or is threatened to be made a named defendant or respondent in a Proceeding shall be paid by the Company in advance of the final disposition of the Proceeding upon receipt of an undertaking by or on behalf of such Person to repay such amount if it shall ultimately be determined that he or she is not entitled to be indemnified by the Company.</w:t>
      </w:r>
    </w:p>
    <w:p>
      <w:pPr>
        <w:spacing w:after="0" w:line="290" w:lineRule="exact"/>
        <w:rPr>
          <w:sz w:val="20"/>
          <w:szCs w:val="20"/>
          <w:color w:val="auto"/>
        </w:rPr>
      </w:pPr>
    </w:p>
    <w:p>
      <w:pPr>
        <w:ind w:left="1380" w:hanging="393"/>
        <w:spacing w:after="0"/>
        <w:tabs>
          <w:tab w:leader="none" w:pos="13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Expenses, Indemnification and Insurance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7" w:lineRule="auto"/>
        <w:tabs>
          <w:tab w:leader="none" w:pos="172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pay to each Designated Sponsor Director such fees or equity consideration as may be determined by the Board, (B) reimburse each Designated Sponsor Director for all reasonable out-of-pocket expenses incurred in connection with such director’s attendance at meetings of the Board and any committee thereof, including reasonable travel, lodging and meal expenses,</w:t>
      </w:r>
    </w:p>
    <w:p>
      <w:pPr>
        <w:spacing w:after="0" w:line="1" w:lineRule="exact"/>
        <w:rPr>
          <w:rFonts w:ascii="Times New Roman" w:cs="Times New Roman" w:eastAsia="Times New Roman" w:hAnsi="Times New Roman"/>
          <w:sz w:val="18"/>
          <w:szCs w:val="18"/>
          <w:color w:val="auto"/>
        </w:rPr>
      </w:pPr>
    </w:p>
    <w:p>
      <w:pPr>
        <w:ind w:left="980"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enter into indemnification agreements with each Designated Sponsor Director agreeing to indemnify and advance expenses to such Designated Sponsor Director, in each case, to the maximum extent permitted by applicable law, (D) include in its certificate of incorporation or by-laws provisions for exculpation and indemnification of, and advancement of expenses to, the Designated Sponsor Directors, in each case to the maximum extent permitted by applicable law, and (E) obtain customary director and officer indemnity insurance, which insurance shall name as insured each Designated Sponsor Director.</w:t>
      </w:r>
    </w:p>
    <w:p>
      <w:pPr>
        <w:spacing w:after="0" w:line="78"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77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 addition to the rights provided to each Indemnified Person, each WP Director and each GTCR Director (each, a “</w:t>
      </w:r>
      <w:r>
        <w:rPr>
          <w:rFonts w:ascii="Times New Roman" w:cs="Times New Roman" w:eastAsia="Times New Roman" w:hAnsi="Times New Roman"/>
          <w:sz w:val="18"/>
          <w:szCs w:val="18"/>
          <w:u w:val="single" w:color="auto"/>
          <w:color w:val="auto"/>
        </w:rPr>
        <w:t>Director Indemnitee</w:t>
      </w:r>
      <w:r>
        <w:rPr>
          <w:rFonts w:ascii="Times New Roman" w:cs="Times New Roman" w:eastAsia="Times New Roman" w:hAnsi="Times New Roman"/>
          <w:sz w:val="18"/>
          <w:szCs w:val="18"/>
          <w:color w:val="auto"/>
        </w:rPr>
        <w:t>”) pursuant to this Agreement, the Company’s certificate of incorporation, by-laws or any indemnification agreements that such directors may enter into with the Company from time to time to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such Persons may have certain rights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4" w:name="page135"/>
    <w:bookmarkEnd w:id="134"/>
    <w:p>
      <w:pPr>
        <w:ind w:left="9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and/or advancement of expenses provided by, and/or insurance obtained by, the Sponsors and/or certain of their Affiliates (excluding the Company and its Subsidiaries), whether now or in the future (collectively, the “</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Notwithstanding anything to the contrary in any of the Indemnification Agreements or this Agreement, the Company hereby agrees that, with respect to its indemnification and advancement obligations to the Indemnified Persons, each WP Director and each GTCR Director under the Indemnification Agreements, this Agreement or otherwise, the Company (A) is the indemnitor of first resort (i.e., its obligations to indemnify the Indemnified Persons, each WP Director and each GTCR Director are primary and any obligation of the Fund Indemnitors or their insurers to advance expenses or to provide indemnification for the same expenses or liabilities incurred by the Indemnified Persons, each WP Director and each GTCR Director is secondary and excess), (B) shall be required to advance the full amount of expenses incurred by each Indemnified Persons, each WP Director and each GTCR Director and shall be liable for the full amount of all expenses, judgments, penalties, fines and amounts paid in settlement by each Indemnified Persons, each WP Director and each GTCR Director or on his or her behalf to the extent legally permitted and as required by this Agreement, the Company’s certificate of incorporation, bylaws or any the Indemnification Agreements, without regard to any rights such Director Indemnitees may have against the Fund Indemnitors or their insurers, and (C) irrevocably waives, relinquishes and releases the Fund Indemnitors and such insurers from any and all claims against the Fund Indemnitors or such insurers for contribution, by way of subrogation or any other recovery of any kind in respect thereof. In furtherance and not in limitation of the foregoing, the Company agrees that in the event that any Fund Indemnitor or its insurer should advance any expenses or make any payment to an Indemnified Person, a WP Director or a GTCR Director for matters subject to advancement or indemnification by the Company pursuant to the Company’s certificate of incorporation or bylaws, an Indemnification Agreement, this Agreement or otherwise, the Company shall promptly reimburse such Fund Indemnitor or insurer and that such Fund Indemnitor or insurer shall be subrogated to all of the claims or rights of such Indemnified Person, WP Director or GTCR Director under the Company’s certificate of incorporation or bylaws, the Indemnification Agreements, this Agreement or otherwise, including to the payment of expenses in an action to collect. The Company agrees that any Fund Indemnitor or its insurer not a party hereto shall be an express third party beneficiary of this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able to enforce such clause according to its terms as if it were a party hereto. Nothing contained in the Indemnification Agreements is intended to limit the scope of this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or the other terms set forth in this Agreement or the rights of the Fund Indemnitors or their insurers hereunder.</w:t>
      </w:r>
    </w:p>
    <w:p>
      <w:pPr>
        <w:spacing w:after="0" w:line="313"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Financial Statements and Reports.</w:t>
      </w:r>
    </w:p>
    <w:p>
      <w:pPr>
        <w:spacing w:after="0" w:line="117" w:lineRule="exact"/>
        <w:rPr>
          <w:sz w:val="20"/>
          <w:szCs w:val="20"/>
          <w:color w:val="auto"/>
        </w:rPr>
      </w:pPr>
    </w:p>
    <w:p>
      <w:pPr>
        <w:ind w:left="-20" w:right="320" w:firstLine="987"/>
        <w:spacing w:after="0" w:line="282" w:lineRule="auto"/>
        <w:tabs>
          <w:tab w:leader="none" w:pos="13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to each Sponsor, so long as such Sponsor’s Designated Sponsor Fund shall be entitled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135" w:name="page136"/>
    <w:bookmarkEnd w:id="135"/>
    <w:p>
      <w:pPr>
        <w:ind w:left="1720" w:hanging="352"/>
        <w:spacing w:after="0"/>
        <w:tabs>
          <w:tab w:leader="none" w:pos="17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monthly operating reports as soon as available and not later than thirty (30) days following the applicable month end;</w:t>
      </w:r>
    </w:p>
    <w:p>
      <w:pPr>
        <w:spacing w:after="0" w:line="117" w:lineRule="exact"/>
        <w:rPr>
          <w:rFonts w:ascii="Times New Roman" w:cs="Times New Roman" w:eastAsia="Times New Roman" w:hAnsi="Times New Roman"/>
          <w:sz w:val="18"/>
          <w:szCs w:val="18"/>
          <w:color w:val="auto"/>
        </w:rPr>
      </w:pPr>
    </w:p>
    <w:p>
      <w:pPr>
        <w:ind w:left="1760" w:hanging="392"/>
        <w:spacing w:after="0"/>
        <w:tabs>
          <w:tab w:leader="none" w:pos="17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as and when prepared;</w:t>
      </w:r>
    </w:p>
    <w:p>
      <w:pPr>
        <w:spacing w:after="0" w:line="117" w:lineRule="exact"/>
        <w:rPr>
          <w:rFonts w:ascii="Times New Roman" w:cs="Times New Roman" w:eastAsia="Times New Roman" w:hAnsi="Times New Roman"/>
          <w:sz w:val="18"/>
          <w:szCs w:val="18"/>
          <w:color w:val="auto"/>
        </w:rPr>
      </w:pPr>
    </w:p>
    <w:p>
      <w:pPr>
        <w:ind w:left="960" w:right="300" w:firstLine="408"/>
        <w:spacing w:after="0" w:line="312" w:lineRule="auto"/>
        <w:tabs>
          <w:tab w:leader="none" w:pos="181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events that, in the Board’s determination, would reasonably be expected to have a material impact on the business operations of the Company and its Subsidiaries taken as a whole, including the commencement of criminal or material civil actions;</w:t>
      </w:r>
    </w:p>
    <w:p>
      <w:pPr>
        <w:spacing w:after="0" w:line="31" w:lineRule="exact"/>
        <w:rPr>
          <w:rFonts w:ascii="Times New Roman" w:cs="Times New Roman" w:eastAsia="Times New Roman" w:hAnsi="Times New Roman"/>
          <w:sz w:val="17"/>
          <w:szCs w:val="17"/>
          <w:color w:val="auto"/>
        </w:rPr>
      </w:pPr>
    </w:p>
    <w:p>
      <w:pPr>
        <w:ind w:left="1800" w:hanging="432"/>
        <w:spacing w:after="0"/>
        <w:tabs>
          <w:tab w:leader="none" w:pos="18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reasonably be requested by a Sponsor or as is otherwise required by applicable law; and</w:t>
      </w:r>
    </w:p>
    <w:p>
      <w:pPr>
        <w:spacing w:after="0" w:line="117" w:lineRule="exact"/>
        <w:rPr>
          <w:rFonts w:ascii="Times New Roman" w:cs="Times New Roman" w:eastAsia="Times New Roman" w:hAnsi="Times New Roman"/>
          <w:sz w:val="18"/>
          <w:szCs w:val="18"/>
          <w:color w:val="auto"/>
        </w:rPr>
      </w:pPr>
    </w:p>
    <w:p>
      <w:pPr>
        <w:ind w:left="960" w:right="200" w:firstLine="408"/>
        <w:spacing w:after="0" w:line="266" w:lineRule="auto"/>
        <w:tabs>
          <w:tab w:leader="none" w:pos="175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to all directors of the Company, in their capacity as such, including all meeting “pre-read” materials, proposed resolutions and minutes of meetings, except if doing so would, in the opinion of counsel to the Company, jeopardize the attorney-client privilege for attorney-client privileged communications .</w:t>
      </w:r>
    </w:p>
    <w:p>
      <w:pPr>
        <w:spacing w:after="0" w:line="175"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3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the Company acknowledges and agrees that the WP Stockholders may disclose to the Co-Investor and the Co-Invest Limited Partners the information required to be disclosed pursuant to Section 7.04 of the Co-Invest LPA or any other agreement between the Co-Investor and a Co-Invest Limited Partner for so long as the Co-Investor and the Co-Invest Limited Partners a</w:t>
      </w:r>
      <w:r>
        <w:rPr>
          <w:rFonts w:ascii="Times New Roman" w:cs="Times New Roman" w:eastAsia="Times New Roman" w:hAnsi="Times New Roman"/>
          <w:sz w:val="18"/>
          <w:szCs w:val="18"/>
          <w:u w:val="single" w:color="auto"/>
          <w:color w:val="auto"/>
        </w:rPr>
        <w:t>re subject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duty of confidentiality with respect to such information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Certain Acknowledgments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160" w:firstLine="987"/>
        <w:spacing w:after="0" w:line="261" w:lineRule="auto"/>
        <w:tabs>
          <w:tab w:leader="none" w:pos="13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Topco Parent has fully satisfied its obligations under Section 9.02 of the LPA and does hereby forever waive, release and discharge Topco Parent to the fullest extent permitted by law from any and all actions, causes of action, claims, demands, demands for indemnification, damages, losses, liabilities, awards, judgments, costs, expenses, debts, dues and suits of every kind, nature and description whatsoever now existing or hereafter arising under Section 9.02 of the LPA.</w:t>
      </w:r>
    </w:p>
    <w:p>
      <w:pPr>
        <w:spacing w:after="0" w:line="179" w:lineRule="exact"/>
        <w:rPr>
          <w:rFonts w:ascii="Times New Roman" w:cs="Times New Roman" w:eastAsia="Times New Roman" w:hAnsi="Times New Roman"/>
          <w:sz w:val="18"/>
          <w:szCs w:val="18"/>
          <w:color w:val="auto"/>
        </w:rPr>
      </w:pPr>
    </w:p>
    <w:p>
      <w:pPr>
        <w:jc w:val="both"/>
        <w:ind w:left="-20" w:right="40" w:firstLine="987"/>
        <w:spacing w:after="0" w:line="258" w:lineRule="auto"/>
        <w:tabs>
          <w:tab w:leader="none" w:pos="13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in connection with the distribution of Company Shares by Topco Parent to its limited partners in accordance with the LPA, fractional Company Shares that would otherwise have been distributable to Stockholders in accordance with Section 4.01 of the LPA have been rounded up or rounded down to the nearest whole Company Share. Notwithstanding such rounding, the Stockholders acknowledge and agree that such rounding is permitted under Section 4.01 and Article XIII of the LPA and Topco Parent shall have no liability for such rounding.</w:t>
      </w:r>
    </w:p>
    <w:p>
      <w:pPr>
        <w:spacing w:after="0" w:line="183" w:lineRule="exact"/>
        <w:rPr>
          <w:rFonts w:ascii="Times New Roman" w:cs="Times New Roman" w:eastAsia="Times New Roman" w:hAnsi="Times New Roman"/>
          <w:sz w:val="18"/>
          <w:szCs w:val="18"/>
          <w:color w:val="auto"/>
        </w:rPr>
      </w:pPr>
    </w:p>
    <w:p>
      <w:pPr>
        <w:ind w:left="-20" w:firstLine="987"/>
        <w:spacing w:after="0" w:line="255" w:lineRule="auto"/>
        <w:tabs>
          <w:tab w:leader="none" w:pos="13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on or prior to the date hereof, such Stockholder has received a distribution of Company Shares and/or cash from Topco Parent in accordance with Section 4.01 of the LPA and that the Company Shares and cash distributed to the limited partners of Topco Parent in such distribution constitute substantially all of the assets of Topco Parent. Accordingly, Topco Parent has or will enter into dissolution following such distribution pursuant to Section 10.01 of the LPA. Each Stockholder further acknowledges and agrees that following the dissolution and completion of the winding up of Topco Parent, the certificate of limited partnership of Topco Parent will be canceled by a filing with the Secretary of State of the State of Delaware and all equity interests in Topco Parent will be canceled for no consideration and Topco Parent shall cease to exist.</w:t>
      </w:r>
    </w:p>
    <w:p>
      <w:pPr>
        <w:spacing w:after="0" w:line="297"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Voting Agreement; Certain Actions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firstLine="987"/>
        <w:spacing w:after="0" w:line="266" w:lineRule="auto"/>
        <w:tabs>
          <w:tab w:leader="none" w:pos="135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Sponsor agrees to take all Necessary Action, including by casting all votes to which such Stockholder is entitled in respect of its Company Shares, whether at any annual or special meeting, by written consent or otherwise, so as to cause the election, removal and replacement of directors in the manner contemplated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to otherwise give the fullest effect possible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60" w:top="270" w:right="459" w:bottom="1440" w:gutter="0" w:footer="0" w:header="0"/>
        </w:sectPr>
      </w:pPr>
    </w:p>
    <w:bookmarkStart w:id="136" w:name="page137"/>
    <w:bookmarkEnd w:id="136"/>
    <w:p>
      <w:pPr>
        <w:ind w:left="-20" w:right="20" w:firstLine="987"/>
        <w:spacing w:after="0" w:line="261" w:lineRule="auto"/>
        <w:tabs>
          <w:tab w:leader="none" w:pos="13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agrees, to the extent permitted by applicable laws and stock exchange regulations, to include in the slate of nominees recommended by the Board for election at any meeting of stockholders called for the purpose of electing directors the individuals designated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to nominate and recommend each such individual to be elected as a director as provided herein, and to solicit proxies or consents in favor thereof, and take all Necessary Action to otherwise give the fullest effect possible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40" w:firstLine="987"/>
        <w:spacing w:after="0" w:line="255" w:lineRule="auto"/>
        <w:tabs>
          <w:tab w:leader="none" w:pos="13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designate one or more committees of the Board, each committee to consist of one or more directors. To the extent permitted by applicable laws and stock exchange regulations, the Sponsors shall be represented on each committee of the Board in proportion to the number of directors each Sponsor’s Designated Sponsor Fund is permitted to appoint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Sponsor shall, to the extent permitted by applicable laws and stock exchange regulations, be entitled to at least one (1) director on each committee;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each Designated Sponsor Fund may, within its sole discretion, decide not to designate any of its Designated Sponsor Directors to serve on one or more committees of the Board. As used in this Agreement, the term “committee” shall refer to any committee of the Board and any subcommittee of any such committee.</w:t>
      </w:r>
    </w:p>
    <w:p>
      <w:pPr>
        <w:spacing w:after="0" w:line="188"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3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Section 2.06(a), for so long as the WP Designated Sponsor Fund shall be entitled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Chairman of the Compensation Committee shall be a member of the Board selected by the WP Directors.</w:t>
      </w:r>
    </w:p>
    <w:p>
      <w:pPr>
        <w:spacing w:after="0" w:line="175"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a meeting of any committee of the Board shall require:</w:t>
      </w:r>
    </w:p>
    <w:p>
      <w:pPr>
        <w:spacing w:after="0" w:line="117" w:lineRule="exact"/>
        <w:rPr>
          <w:rFonts w:ascii="Times New Roman" w:cs="Times New Roman" w:eastAsia="Times New Roman" w:hAnsi="Times New Roman"/>
          <w:sz w:val="18"/>
          <w:szCs w:val="18"/>
          <w:color w:val="auto"/>
        </w:rPr>
      </w:pPr>
    </w:p>
    <w:p>
      <w:pPr>
        <w:ind w:left="960" w:firstLine="408"/>
        <w:spacing w:after="0" w:line="255" w:lineRule="auto"/>
        <w:tabs>
          <w:tab w:leader="none" w:pos="17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at least one (1) WP Director serves on such committee, at least one (1) WP Director that serves on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such committee called in accordance with the Company’s certificate of incorporation and bylaws and the charter or resolutions of the Board constituting such committee fails to achieve a quorum due to the absence of the WP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for so long as at least one (1) GTCR Director serves on such committee, at least one (1) GTCR Director; and</w:t>
      </w:r>
    </w:p>
    <w:p>
      <w:pPr>
        <w:spacing w:after="0" w:line="80" w:lineRule="exact"/>
        <w:rPr>
          <w:rFonts w:ascii="Times New Roman" w:cs="Times New Roman" w:eastAsia="Times New Roman" w:hAnsi="Times New Roman"/>
          <w:sz w:val="18"/>
          <w:szCs w:val="18"/>
          <w:color w:val="auto"/>
        </w:rPr>
      </w:pPr>
    </w:p>
    <w:p>
      <w:pPr>
        <w:ind w:left="960" w:right="320" w:firstLine="408"/>
        <w:spacing w:after="0" w:line="282" w:lineRule="auto"/>
        <w:tabs>
          <w:tab w:leader="none" w:pos="176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at least one (1) GTCR Director serves on such committee, at least one (1) GTCR Director that serves on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meeting of such committee called in accordance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137" w:name="page138"/>
    <w:bookmarkEnd w:id="137"/>
    <w:p>
      <w:pPr>
        <w:ind w:left="98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Company’s certificate of incorporation and by-laws and the charter or resolutions of the Board constituting such committee fails to achieve a quorum due to the absence of the GTCR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Times New Roman" w:cs="Times New Roman" w:eastAsia="Times New Roman" w:hAnsi="Times New Roman"/>
          <w:sz w:val="18"/>
          <w:szCs w:val="18"/>
          <w:u w:val="single" w:color="auto"/>
          <w:color w:val="auto"/>
        </w:rPr>
        <w:t>Section 2.06(c)(i)</w:t>
      </w:r>
      <w:r>
        <w:rPr>
          <w:rFonts w:ascii="Times New Roman" w:cs="Times New Roman" w:eastAsia="Times New Roman" w:hAnsi="Times New Roman"/>
          <w:sz w:val="18"/>
          <w:szCs w:val="18"/>
          <w:color w:val="auto"/>
        </w:rPr>
        <w:t>, for so long as at least one (1) WP Director serves on such committee, at least one (1) WP Director.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APPROVAL RIGHTS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Company shall not take or commit to take, and (to the extent applicable) shall not cause or permit any of its Subsidiaries to take or commit to take, directly or indirectly, whether by amendment, merger, consolidation, reorganization or otherwise, any of the following actions without the approval of 75% of the total number of directors then in office.</w:t>
      </w:r>
    </w:p>
    <w:p>
      <w:pPr>
        <w:spacing w:after="0" w:line="176" w:lineRule="exact"/>
        <w:rPr>
          <w:sz w:val="20"/>
          <w:szCs w:val="20"/>
          <w:color w:val="auto"/>
        </w:rPr>
      </w:pPr>
    </w:p>
    <w:p>
      <w:pPr>
        <w:ind w:right="160" w:firstLine="987"/>
        <w:spacing w:after="0" w:line="266" w:lineRule="auto"/>
        <w:tabs>
          <w:tab w:leader="none" w:pos="13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any acquisition of the stock (including a minority interest) or assets of any other entity (other than a Subsidiary of the Company), in a single transaction or a series of related transactions (whether by purchase, tender offer, exchange offer, merger, other business combination transaction or otherwise), with a value in excess of $300 million in the aggregate;</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38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or other business combination of the Company with or into any other entity, or transfer (by lease, assignment, sale or otherwise) of all or substantially all of the Company’s and its Subsidiaries’ assets, taken as a whole, to another entity, or a “Change in Control” (or any similar term) as defined in the Company’s or its Subsidiaries’ indebtedness documents, other than any such consolidation, merger or other business combination solely between the Company and its Subsidiaries or between Subsidiaries of the Company;</w:t>
      </w:r>
    </w:p>
    <w:p>
      <w:pPr>
        <w:spacing w:after="0" w:line="179" w:lineRule="exact"/>
        <w:rPr>
          <w:rFonts w:ascii="Times New Roman" w:cs="Times New Roman" w:eastAsia="Times New Roman" w:hAnsi="Times New Roman"/>
          <w:sz w:val="18"/>
          <w:szCs w:val="18"/>
          <w:color w:val="auto"/>
        </w:rPr>
      </w:pPr>
    </w:p>
    <w:p>
      <w:pPr>
        <w:ind w:right="100" w:firstLine="987"/>
        <w:spacing w:after="0" w:line="266" w:lineRule="auto"/>
        <w:tabs>
          <w:tab w:leader="none" w:pos="13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in a single transaction or a series of related transactions, of any assets of the Company or any of its Subsidiaries with a value in excess of $300 million in the aggregate or for consideration in excess of $300 million, other than the sale of inventory or products in the ordinary course of business, other than a transaction solely between the Company and its Subsidiaries or between Subsidiaries of the Company;</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size of the Board, other than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Company’s certificate of incorporation or by-laws;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38" w:name="page139"/>
    <w:bookmarkEnd w:id="138"/>
    <w:p>
      <w:pPr>
        <w:ind w:left="1340" w:hanging="353"/>
        <w:spacing w:after="0"/>
        <w:tabs>
          <w:tab w:leader="none" w:pos="1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termination of the Chief Executive Officer or designation of a new Chief Executive Officer;</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composition of any committee of the Board;</w:t>
      </w:r>
    </w:p>
    <w:p>
      <w:pPr>
        <w:spacing w:after="0" w:line="225" w:lineRule="exact"/>
        <w:rPr>
          <w:rFonts w:ascii="Times New Roman" w:cs="Times New Roman" w:eastAsia="Times New Roman" w:hAnsi="Times New Roman"/>
          <w:sz w:val="18"/>
          <w:szCs w:val="18"/>
          <w:color w:val="auto"/>
        </w:rPr>
      </w:pPr>
    </w:p>
    <w:p>
      <w:pPr>
        <w:ind w:right="100" w:firstLine="987"/>
        <w:spacing w:after="0" w:line="261" w:lineRule="auto"/>
        <w:tabs>
          <w:tab w:leader="none" w:pos="138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Company or (ii) Affiliates of (A) the Company (other than any Subsidiary of the Company) or (B) any executive officer of the Company;</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3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any class or series of capital stock or equity interests of the Company or any of its Subsidiaries, other than, (A) in the case of the Company, any award under any stockholder approved equity compensation plan, (B) in the case of a Subsidiary of the Company, to the Company or another direct or indirect Subsidiary of the Company and (C) as required by the organizational documents of a Subsidiary of the Company or a contract to which a Subsidiary of the Company is party, in each case, that is in effect on the date hereof; or</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3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indebtedness, in a single transaction or a series of related transactions, by the Company or any of its Subsidiaries in an amount in excess of $300 million outstanding at any one time, other than (i) intercompany debt among Subsidiaries of the Company or the Company and any Subsidiary and (ii) incurrence of additional indebtedness under the Credit Agreement or Indenture.</w:t>
      </w:r>
    </w:p>
    <w:p>
      <w:pPr>
        <w:spacing w:after="0" w:line="176" w:lineRule="exact"/>
        <w:rPr>
          <w:sz w:val="20"/>
          <w:szCs w:val="20"/>
          <w:color w:val="auto"/>
        </w:rPr>
      </w:pPr>
    </w:p>
    <w:p>
      <w:pPr>
        <w:jc w:val="both"/>
        <w:ind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Termination of Required Approvals.</w:t>
      </w:r>
      <w:r>
        <w:rPr>
          <w:rFonts w:ascii="Times New Roman" w:cs="Times New Roman" w:eastAsia="Times New Roman" w:hAnsi="Times New Roman"/>
          <w:sz w:val="17"/>
          <w:szCs w:val="17"/>
          <w:color w:val="auto"/>
        </w:rPr>
        <w:t xml:space="preserve"> The approval rights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shall terminate at such time as neither the WP Designated Sponsor Fund nor the GTCR Designated Fund has the right individually to designate at least three (3) directors pursuant to Section 2.01.</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TRANSFERS.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Limitations on Transfer</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54" w:lineRule="auto"/>
        <w:tabs>
          <w:tab w:leader="none" w:pos="137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sixth (6th) anniversary of the date hereof, no Management Stockholder may Transfer any of its Company Shares held on the date hereof (excluding, for the avoidance of doubt, any Company Shares acquired pursuant to equity awards issued under the Company’s 2020 Omnibus Incentive Plan)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xml:space="preserve">”) or securities of the Company or its Subsidiaries issued in respect of such Existing Shares, or in substitution for Existing Shares, in connection with any stock split, stock dividend or combination, or any reclassification, recapitalization, merger, consolidation, share exchange or other similar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prohibition shall not apply to Transfers (i) to a Permitted Transferee that is being effected for bona fide estate planning or similar purposes, (ii) made pursuant to applicable laws of descent or distribution or to such Management Stockholder’s legal guardian in the case of mental incapacity, (iii) with the prior written consent of a majority of the members of the Compensation Committee of the Board, (iv) in connection with a merger of the Company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solely to tender into a tender or exchange offer commenced by a third party or by the Company; provided, that with respect to an unsolicited tender or exchange offer commenced by a third party, such Transfer shall be permitted only if the Board is affirmatively publicly recommending to the Company’s shareholders that such shareholders tender into such offer, (v) of vested Company Shares in a Public Sale (A) at such time as the Sponsors sell Company Shares in a Public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Management Stockholder may only Transfer a number of vested Company Shares up to the number of Public Sale Eligible Shares, or (B) pursuant to the penultimate sentence of this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(vi) of vested Company Shares in a Public Sale or Private Sale following a Private Sale by the Sponsors up to the number of Private Sale Eligible Shares and (vii) to a bona fide charity or donor-advised fund organized under Section 501(c)(3) of the Internal Revenue Code of 1986, as amended;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Management Stockholder may make Transfers pursuant to this clause (vii) in a single calendar year in excess of the lesser of (A) $3,000,000 worth of Company Shares determined based on the VWAP at the time of such Transfer and (B) ten percent (10%) of the Company Shares subject to the restrictions on Transfer set forth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held by such Management Stockholder at the beginning of the calendar year in which such Transfer takes place. If at the time of a Public Sale by the Sponsors, the Management Stockholder is not permitted to, or chooses not to Transfer all such Public Sale Eligible Shares and Private Sale Eligible Shares, the Management Stockholder shall retain the right to Transfer at a future date in a Public Sale, a number of vested Company Shares equal to the lesser of (x) the number of vested Company Shares then owned by the Management Stockholder as of such future date and (y) that portion of such Public Sale Eligible Shares and Private Sale Eligible Shares which the Management Stockholder was not permitted to Transfer, or chose not to Transfer in a prior Public Sale. For the avoidance of doubt, the number of Public Sale Eligible Shares and Private Sale Eligible Shares shall be cumulative and increase with each Public Sale or Private Sale by the Sponsors, but be reduced for the number of vested Company Shares Transferred by a Management Stockholder pursuant to </w:t>
      </w:r>
      <w:r>
        <w:rPr>
          <w:rFonts w:ascii="Times New Roman" w:cs="Times New Roman" w:eastAsia="Times New Roman" w:hAnsi="Times New Roman"/>
          <w:sz w:val="18"/>
          <w:szCs w:val="18"/>
          <w:u w:val="single" w:color="auto"/>
          <w:color w:val="auto"/>
        </w:rPr>
        <w:t>Section 4.01(a)(iv)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987"/>
        <w:spacing w:after="0" w:line="266" w:lineRule="auto"/>
        <w:tabs>
          <w:tab w:leader="none" w:pos="13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on Transfers of Company Shares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in addition to any restrictions set forth in the Registration Rights Agreement, any “lock up” restrictions imposed by the underwriters in connection with any Public Offering, any other plan, program, contract, agreement or policy pursuant to which the Company Shares may be subject, and any restrictions imposed by applicable law.</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36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Transfer of Company Shares other than in accordance with this Agreement shall be null and void, and the Company shall refuse to recognize any such Transfer for any purpose and shall not, and shall cause any transfer agent not to, reflect in its records any change in record ownership of Company Shares pursuant to any such Transfer.</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38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Registration Rights Agreement, any Stockholder that proposes to Transfer Company Shares in accordance with the terms and conditions hereof shall be responsible for any expenses incurred by the Company in connection with such Transfer.</w:t>
      </w:r>
    </w:p>
    <w:p>
      <w:pPr>
        <w:spacing w:after="0" w:line="162" w:lineRule="exact"/>
        <w:rPr>
          <w:sz w:val="20"/>
          <w:szCs w:val="20"/>
          <w:color w:val="auto"/>
        </w:rPr>
      </w:pPr>
    </w:p>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Rights and Obligations of Transferees</w:t>
      </w:r>
      <w:r>
        <w:rPr>
          <w:rFonts w:ascii="Times New Roman" w:cs="Times New Roman" w:eastAsia="Times New Roman" w:hAnsi="Times New Roman"/>
          <w:sz w:val="17"/>
          <w:szCs w:val="17"/>
          <w:color w:val="auto"/>
        </w:rPr>
        <w:t xml:space="preserve">. Any Transferee of Company Shares that is an Affiliate or Permitted Transferee of any Stockholder shall be required, at the time of and as a condition to such Transfer, to become a party to this Agreement by executing and delivering a Joinder Agreement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thereby making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hereof) and such other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40" w:name="page141"/>
    <w:bookmarkEnd w:id="14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documents as may be necessary, in the reasonable opinion of the Sponsors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reasonable opinion of the Sponsor whose Designated 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to make such Person a party hereto, whereupon such Transferee will be treated as a Stockholder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Transferee of Company Shares shall be required to become a party to this Agreement if such Transferee acquired such Company Shares (a) after the sixth (6th) anniversary of the date hereof (or the foregoing transfer restrictions otherwise have expired) or (b) in a sale to the public in a Public Sale or in a permissible Private Sale.</w:t>
      </w:r>
    </w:p>
    <w:p>
      <w:pPr>
        <w:spacing w:after="0" w:line="29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40" w:firstLine="987"/>
        <w:spacing w:after="0" w:line="266" w:lineRule="auto"/>
        <w:tabs>
          <w:tab w:leader="none" w:pos="1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Company Shares, if any, issued to a Stockholder shall bear a legend on the reverse side thereof substantially in the following form in addition to any other legend determined by the Company or as required by applicable law or by agreement with the Company (and, in the case of uncertificated Company Shares, notice of such legend shall be given in accordance with applicable law):</w:t>
      </w:r>
    </w:p>
    <w:p>
      <w:pPr>
        <w:spacing w:after="0" w:line="280" w:lineRule="exact"/>
        <w:rPr>
          <w:sz w:val="20"/>
          <w:szCs w:val="20"/>
          <w:color w:val="auto"/>
        </w:rPr>
      </w:pPr>
    </w:p>
    <w:p>
      <w:pPr>
        <w:ind w:left="440"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b w:val="1"/>
          <w:bCs w:val="1"/>
          <w:color w:val="auto"/>
        </w:rPr>
        <w:t>”), AND MAY NOT BE OFFERED OR SOLD, UNLESS IT HAS BEEN REGISTERED UNDER THE SECURITIES ACT OR UNLESS AN EXEMPTION FROM REGISTRATION IS AVAILABLE (AND, IN SUCH CASE, AN OPINION OF COUNSEL REASONABLY SATISFACTORY TO THE COMPANY MAY BE REQUESTED BY THE COMPANY TO THE EFFECT THAT SUCH OFFER OR SALE IS NOT REQUIRED TO BE REGISTERED UNDER THE SECURITIES ACT).</w:t>
      </w:r>
    </w:p>
    <w:p>
      <w:pPr>
        <w:spacing w:after="0" w:line="71" w:lineRule="exact"/>
        <w:rPr>
          <w:sz w:val="20"/>
          <w:szCs w:val="20"/>
          <w:color w:val="auto"/>
        </w:rPr>
      </w:pPr>
    </w:p>
    <w:p>
      <w:pPr>
        <w:ind w:left="440" w:right="120"/>
        <w:spacing w:after="0" w:line="262" w:lineRule="auto"/>
        <w:rPr>
          <w:sz w:val="20"/>
          <w:szCs w:val="20"/>
          <w:color w:val="auto"/>
        </w:rPr>
      </w:pPr>
      <w:r>
        <w:rPr>
          <w:rFonts w:ascii="Times New Roman" w:cs="Times New Roman" w:eastAsia="Times New Roman" w:hAnsi="Times New Roman"/>
          <w:sz w:val="18"/>
          <w:szCs w:val="18"/>
          <w:b w:val="1"/>
          <w:bCs w:val="1"/>
          <w:color w:val="auto"/>
        </w:rPr>
        <w:t>THIS SECURITY MAY BE SUBJECT TO CERTAIN RESTRICTIONS ON TRANSFER AND OTHER TERMS AND CONDITIONS SET FORTH IN A STOCKHOLDERS AGREEMENT, DATED AS OF [•], 2020 (AS MAY BE AMENDED OR RESTATED FROM TIME TO TIME), A COPY OF WHICH MAY BE OBTAINED FROM THE COMPANY AT ITS PRINCIPAL EXECUTIVE OFFICES FREE OF CHARGE.</w:t>
      </w:r>
    </w:p>
    <w:p>
      <w:pPr>
        <w:spacing w:after="0" w:line="72" w:lineRule="exact"/>
        <w:rPr>
          <w:sz w:val="20"/>
          <w:szCs w:val="20"/>
          <w:color w:val="auto"/>
        </w:rPr>
      </w:pPr>
    </w:p>
    <w:p>
      <w:pPr>
        <w:ind w:right="20" w:firstLine="987"/>
        <w:spacing w:after="0" w:line="256" w:lineRule="auto"/>
        <w:tabs>
          <w:tab w:leader="none" w:pos="138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permitted sale of any Company Shares (i) in a Public Offering, (ii) in compliance with Rule 144 under the Securities Act, or (iii) pursuant to another exemption from registration under the Securities Act, or upon the termination of this Agreement in accordance with its terms, upon the written request of the holder of such Company Shares, any certificates representing such Company Shares shall be replaced, at the expense of the Company, with certificates or instruments not bearing the legends required by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condition any replacement of certificates pursuant to clause (iii) of this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on the receipt of an opinion of legal counsel reasonably satisfactory to the Company stating that such Company Shares are freely transferable under the Securities Act.</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Company Shares cease to be subject to any and all restrictions on Transfer and all other obligations set forth in this Agreement, upon the written request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41" w:name="page142"/>
    <w:bookmarkEnd w:id="141"/>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holder of such Company Shares, any certificates representing such Company Shares shall be replaced, at the expense of the Company, with certificates or instruments not bearing the second paragraph of the legends required by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Sponsor shall provide the Company with notice of a Transfer to a third party of Company Shares held by such Sponsor (excluding Transfers to Affiliates) reasonably promptly after such Transfer and in any event within ten (10) Trading Days following such Transfer.</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Representations and Warranties of the Parties</w:t>
      </w:r>
      <w:r>
        <w:rPr>
          <w:rFonts w:ascii="Times New Roman" w:cs="Times New Roman" w:eastAsia="Times New Roman" w:hAnsi="Times New Roman"/>
          <w:sz w:val="18"/>
          <w:szCs w:val="18"/>
          <w:color w:val="auto"/>
        </w:rPr>
        <w:t>. Each of the Parties hereby represents and warrants to each other Party that on the date hereof:</w:t>
      </w:r>
    </w:p>
    <w:p>
      <w:pPr>
        <w:spacing w:after="0" w:line="162" w:lineRule="exact"/>
        <w:rPr>
          <w:sz w:val="20"/>
          <w:szCs w:val="20"/>
          <w:color w:val="auto"/>
        </w:rPr>
      </w:pPr>
    </w:p>
    <w:p>
      <w:pPr>
        <w:ind w:left="4" w:right="40" w:firstLine="987"/>
        <w:spacing w:after="0" w:line="254" w:lineRule="auto"/>
        <w:tabs>
          <w:tab w:leader="none" w:pos="137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the necessary legal capacity or power and authority to enter into this Agreement and to carry out its obligations hereunder. To the extent applicable, such Party is duly organized and validly existing under the laws of its jurisdiction of organization, and the execution of this Agreement, and the consummation of the transactions contemplated herein, have been authorized by all necessary corporate or other action, and no other act or proceeding, corporate or otherwise, on its part is necessary to authorize the execution of this Agreement or the consummation of any of the transactions contemplated hereby. This Agreement has been duly executed by such Party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9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Party of this Agreement and the performance of its obligations hereunder do not and will not</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the breach of any provision of the constitutive documents of such Party;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such Party is a party or by which such Party’s assets or operations are bound or affected; or (iii) violate, in any material respect, any law applicable to such Party, the Company or any of its Subsidiaries.</w:t>
      </w:r>
    </w:p>
    <w:p>
      <w:pPr>
        <w:spacing w:after="0" w:line="186"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375"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any consents that have already been obtained, no consent, waiver, approval, authorization, exemption, registration, license or declaration is required to be made or obtained by such Party in connection with (i) the execution, delivery or performance of this Agreement or</w:t>
      </w:r>
    </w:p>
    <w:p>
      <w:pPr>
        <w:ind w:left="4" w:right="300" w:hanging="4"/>
        <w:spacing w:after="0" w:line="260" w:lineRule="auto"/>
        <w:tabs>
          <w:tab w:leader="none" w:pos="2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transactions currently contemplated herein, excluding, for the avoidance of doubt, any transactions contemplated herein solely as a result of one or more amendments to this Agreement following the date hereof.</w:t>
      </w:r>
    </w:p>
    <w:p>
      <w:pPr>
        <w:spacing w:after="0" w:line="18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38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Party is a Stockholder, such Party understands that Company Shares cannot be sold or otherwise disposed of unless they are registered under the Securities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42" w:name="page143"/>
    <w:bookmarkEnd w:id="14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and applicable U.S. state securities laws or unless an exemption from such registration is available, and that registration of Company Shares is subject to the terms and conditions set forth in the Registration Rights Agreement, and that accordingly such Stockholder is able and is prepared to bear the economic risk of making an investment in the Company and to suffer a complete loss of investment.</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Entitlement of the Parties to Rely on Representations and Warranties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relied upon by the Parties in connection with the entering into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(without any action by any Party):</w:t>
      </w:r>
    </w:p>
    <w:p>
      <w:pPr>
        <w:spacing w:after="0" w:line="225" w:lineRule="exact"/>
        <w:rPr>
          <w:sz w:val="20"/>
          <w:szCs w:val="20"/>
          <w:color w:val="auto"/>
        </w:rPr>
      </w:pPr>
    </w:p>
    <w:p>
      <w:pPr>
        <w:ind w:left="1360" w:hanging="373"/>
        <w:spacing w:after="0"/>
        <w:tabs>
          <w:tab w:leader="none" w:pos="13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Stockholder, as of the date that such Stockholder no longer owns any Company Shares; and</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all the Parties, as of the date that no Designated Sponsor Fund has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The provisions of this Agreement shall be controlling as among the Parties hereto and if any such provisions or the operation thereof conflict with the provisions of the Company’s certificate of incorporation or by-laws, and the Parties shall take all action to enforce or cause the enforcement of the terms hereof. Without limiting the foregoing, the Sponsors and the Company agree to take all Necessary Action to amend the Company’s certificate of incorporation or by-laws so as to avoid any conflict with the provisions hereof.</w:t>
      </w:r>
    </w:p>
    <w:p>
      <w:pPr>
        <w:spacing w:after="0" w:line="288"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Corporate Opportunity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87"/>
        <w:spacing w:after="0" w:line="271" w:lineRule="auto"/>
        <w:tabs>
          <w:tab w:leader="none" w:pos="137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of Certain Affairs</w:t>
      </w:r>
      <w:r>
        <w:rPr>
          <w:rFonts w:ascii="Times New Roman" w:cs="Times New Roman" w:eastAsia="Times New Roman" w:hAnsi="Times New Roman"/>
          <w:sz w:val="17"/>
          <w:szCs w:val="17"/>
          <w:color w:val="auto"/>
        </w:rPr>
        <w:t>. In recognition and anticipation that (i) certain partners, principals, directors, officers, members, managers, employees and/or other representatives of the Sponsors (each of the foregoing Persons other than the Sponsors,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xml:space="preserve">”) may serve as directors, officers or agents of the Company or its Subsidiaries, and (b) the Sponsors may now engage and may continue to engage in the same or similar activities (which shall include other business activities that overlap with or compete with those in which the Company or its Subsidiaries, directly or indirectly, may engage) or related lines of business in which the Company or its Subsidiaries, directly or indirectly, may engage, and/or may have an interest in the same or similar areas of corporate opportunities as the Company or its Subsidiaries, directly or indirectly, may have an interest, the provisions of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are set forth to regulate and define the conduct of certain affairs of the Company and its Subsidiaries with respect to certain classes or categories of business opportunities as they may involve the Sponsors and the Identified Persons, and the powers, rights, duties and liabilities of the Company and its Subsidiaries and their respective officers, directors and stockholders in connection therewith.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143" w:name="page144"/>
    <w:bookmarkEnd w:id="143"/>
    <w:p>
      <w:pPr>
        <w:ind w:firstLine="987"/>
        <w:spacing w:after="0" w:line="268" w:lineRule="auto"/>
        <w:tabs>
          <w:tab w:leader="none" w:pos="138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Competition and Corporate Opportunities</w:t>
      </w:r>
      <w:r>
        <w:rPr>
          <w:rFonts w:ascii="Times New Roman" w:cs="Times New Roman" w:eastAsia="Times New Roman" w:hAnsi="Times New Roman"/>
          <w:sz w:val="17"/>
          <w:szCs w:val="17"/>
          <w:color w:val="auto"/>
        </w:rPr>
        <w:t>. To the fullest extent permitted by law, (i) the Sponsors and the Identified Persons shall have the right to, and shall have no duty (contractual, fiduciary or otherwise) not to, directly or indirectly engage in the same or similar business activities or lines of business as the Company or any of its Subsidiaries, on its own account, or in partnership with, or as an employee, officer, director or stockholder of any other person, including those lines of business deemed to be competing with the Company or any of its Subsidiaries, (ii) none of the Company or its stockholders or any of its Subsidiaries or their stockholders or equityholders shall have any rights in and to the business ventures of any Sponsor or Identified Person or the income or profits derived therefrom, (iii) each of the Sponsor and the Identified Persons may do business with any potential or actual customer or supplier of the Company of any of its Subsidiaries, (iv) each of the Sponsors and the Identified Persons may employ or otherwise engage any officer of employee of the Company or any of its Subsidiaries, and (v) the Company, on behalf of itself, its Subsidiaries and its and their respective stockholders, renounces any interest or expectancy of the Company and its Subsidiaries in, or in being offered an opportunity to participate in, any business opportunity that may from time to time be presented to any Sponsor or any Identified Person, even if the opportunity is one that the Company or its Subsidiaries might reasonably be deemed to have pursued or had the ability or desire to pursue if granted the opportunity to do so, (vi) no Sponsor or Identified Person shall have any duty to communicate or offer such business opportunity to the Company or any of its Subsidiaries or shall be liable to the Company or any of its Subsidiaries or any of their respective stockholders for breach of any fiduciary or other duty (contractual, fiduciary or otherwise), as a director or officer or otherwise, by reason of the fact that such Sponsor or Identified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writing solely in his or her capacity as a director or officer of the Company.</w:t>
      </w:r>
    </w:p>
    <w:p>
      <w:pPr>
        <w:spacing w:after="0" w:line="177" w:lineRule="exact"/>
        <w:rPr>
          <w:rFonts w:ascii="Times New Roman" w:cs="Times New Roman" w:eastAsia="Times New Roman" w:hAnsi="Times New Roman"/>
          <w:sz w:val="17"/>
          <w:szCs w:val="17"/>
          <w:color w:val="auto"/>
        </w:rPr>
      </w:pPr>
    </w:p>
    <w:p>
      <w:pPr>
        <w:ind w:right="300" w:firstLine="987"/>
        <w:spacing w:after="0" w:line="255" w:lineRule="auto"/>
        <w:tabs>
          <w:tab w:leader="none" w:pos="136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Sponsors and the Company shall take all Necessary Action to cause the Company’s certificate of incorporation to include the renunciation on corporate opportunities by the Company and its Subsidiaries contemplated by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hereof. The Company’s certificate of incorporation shall not be deemed to be in conflict with this Section 6.03 to the extent it provides a broader waiver or renunciation by the Company or its Subsidiaries of corporate opportunities that may be offered to or pursued by any Sponsor or Identified Person or provides other protections or benefits to any Sponsor or Identified Person with respect thereto. The Company acknowledges and agrees that the resolutions of the Board approving this Agreement shall constitute a resolution adopted pursuant to Section 122(17) of the DGCL adopting this Section 6.03, including the waiver and renunciation of the corporate opportunities identified herein.</w:t>
      </w:r>
    </w:p>
    <w:p>
      <w:pPr>
        <w:spacing w:after="0" w:line="189"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grants permission to the Sponsors to use the name and logo of the Company and its Subsidiaries in marketing materials used by each such Sponsor and its respective Affiliates. The Sponsors and/or their respective Affiliates, as the case may be, shall include a trademark attribution notice giving notice of the Company’s and/or its Subsidiaries’ ownership of their trademarks in any marketing materials in which the Company’s and/or its Subsidiaries’ name and logo appear.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44" w:name="page145"/>
    <w:bookmarkEnd w:id="144"/>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Sharing of Information</w:t>
      </w:r>
      <w:r>
        <w:rPr>
          <w:rFonts w:ascii="Times New Roman" w:cs="Times New Roman" w:eastAsia="Times New Roman" w:hAnsi="Times New Roman"/>
          <w:sz w:val="18"/>
          <w:szCs w:val="18"/>
          <w:color w:val="auto"/>
        </w:rPr>
        <w:t>. Except as set forth in this Section 6.05, the Sponsors shall maintain the confidentiality of the Company Confidential Information (as defined below) and cause the Sponsor Affiliated Persons (as defined below) and Internal Recipients (as defined below) to maintain the confidentiality of the Company Confidential Information. Notwithstanding anything to the contrary contained in this Agreement, the Company hereby acknowledges and agrees that each of the Sponsors and its Affiliates, the Sponsor Designated Directors, or any officer of the Company that is an Affiliate of a Sponsor (each, a “</w:t>
      </w:r>
      <w:r>
        <w:rPr>
          <w:rFonts w:ascii="Times New Roman" w:cs="Times New Roman" w:eastAsia="Times New Roman" w:hAnsi="Times New Roman"/>
          <w:sz w:val="18"/>
          <w:szCs w:val="18"/>
          <w:u w:val="single" w:color="auto"/>
          <w:color w:val="auto"/>
        </w:rPr>
        <w:t>Sponsor Affiliated Person</w:t>
      </w:r>
      <w:r>
        <w:rPr>
          <w:rFonts w:ascii="Times New Roman" w:cs="Times New Roman" w:eastAsia="Times New Roman" w:hAnsi="Times New Roman"/>
          <w:sz w:val="18"/>
          <w:szCs w:val="18"/>
          <w:color w:val="auto"/>
        </w:rPr>
        <w:t>”) may, to the fullest extent permitted by applicable law, use for their own benefit and disclose to their respective Affiliates, directors, officers, representatives, agents and employees and professional advisers (the “</w:t>
      </w:r>
      <w:r>
        <w:rPr>
          <w:rFonts w:ascii="Times New Roman" w:cs="Times New Roman" w:eastAsia="Times New Roman" w:hAnsi="Times New Roman"/>
          <w:sz w:val="18"/>
          <w:szCs w:val="18"/>
          <w:u w:val="single" w:color="auto"/>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and to (a) the investors, limited partners or members of the applicable Sponsor or its related investment funds and their respective representatives (and, to the extent required for such limited partners’ or members’ internal reporting obligations, Affiliates of such limited partners or members), (b) persons who have expressed a bona fide interest in becoming investors, limited partners or members of the applicable Sponsor or its related investment funds, (c) potential transferees of the applicable Sponsor’s equity securities in the Company, (d) potential participants in future transactions involving the applicable Sponsor, any of its Affiliates or their related investment funds (potentially involving the Company or otherwise), and (e) such other persons as the applicable Sponsor shall deem reasonably necessary in connection with the conduct of its investment and business activities (the “</w:t>
      </w:r>
      <w:r>
        <w:rPr>
          <w:rFonts w:ascii="Times New Roman" w:cs="Times New Roman" w:eastAsia="Times New Roman" w:hAnsi="Times New Roman"/>
          <w:sz w:val="18"/>
          <w:szCs w:val="18"/>
          <w:u w:val="single" w:color="auto"/>
          <w:color w:val="auto"/>
        </w:rPr>
        <w:t>External Recipients</w:t>
      </w:r>
      <w:r>
        <w:rPr>
          <w:rFonts w:ascii="Times New Roman" w:cs="Times New Roman" w:eastAsia="Times New Roman" w:hAnsi="Times New Roman"/>
          <w:sz w:val="18"/>
          <w:szCs w:val="18"/>
          <w:color w:val="auto"/>
        </w:rPr>
        <w:t>” and together with the Internal Recipients, the “</w:t>
      </w:r>
      <w:r>
        <w:rPr>
          <w:rFonts w:ascii="Times New Roman" w:cs="Times New Roman" w:eastAsia="Times New Roman" w:hAnsi="Times New Roman"/>
          <w:sz w:val="18"/>
          <w:szCs w:val="18"/>
          <w:u w:val="single" w:color="auto"/>
          <w:color w:val="auto"/>
        </w:rPr>
        <w:t>Permitted Recipients</w:t>
      </w:r>
      <w:r>
        <w:rPr>
          <w:rFonts w:ascii="Times New Roman" w:cs="Times New Roman" w:eastAsia="Times New Roman" w:hAnsi="Times New Roman"/>
          <w:sz w:val="18"/>
          <w:szCs w:val="18"/>
          <w:color w:val="auto"/>
        </w:rPr>
        <w:t>”), any and all non-public information with respect to the Company or its Affiliates or Subsidiaries (including any Person in which the Company holds, or contemplates acquiring, an investment) (“</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that is in the possession of such Sponsor Affiliated Person on the date hereof or disclosed after the date of this Agreement to such Sponsor Affiliated Person by or on behalf of the Company or its Subsidiaries, including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Permitted Recipients agree to keep such Company Confidential Information confidential on the same terms that the Sponsor requires with respect to its own confidential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Sponsor Affiliated Persons and the Permitted Recipients may disclose any Company Confidential Information (x) as has become generally available to the public, was or has come into the possession of the relevant Sponsor Affiliated Person or Permitted Recipient on a non-confidential basis without a breach of any confidentiality obligations by such Person disclosing such Company Confidential Information, or has been independently developed by the Sponsor Affiliated Person or Permitted Recipient without use of the Company Confidential Information, (y) to the extent necessary in order to comply with any law, order, regulation or ruling applicable to the applicable Sponsor, or such Sponsor Affiliated Person or Permitted Recipient, or to a regulatory agency with applicable jurisdiction, and (z) as may be required in response to any summons or subpoena or in connection with any litigation or arbitration;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clauses (y) and (z), that such Sponsor, Sponsor Affiliated Person or Permitted Recipient provides prior written notice of such required disclosure to the Company and takes all commercially reasonable and lawful actions to avoid and/or minimize the extent of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-295275</wp:posOffset>
            </wp:positionV>
            <wp:extent cx="285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the event a notice or other document is required to be sent hereunder to the Company or any Stockholder, such notice or other document shall be in writing and shall be considered given and received, in all respects when personally delivered, or when sent by express or courier service or United States registered or certified mail, return receipt requested and postage and other fees prepaid, or by electronic mail, on the day such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45" w:name="page146"/>
    <w:bookmarkEnd w:id="14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or document is personally delivered or delivered by electronic mail or on the third Business Day following the day on which such notice or other document is delivered to any such commercial delivery service as aforesaid. Any notice and document shall be addressed to the party entitled to receive such notice or other document (a) in the case of the Company, at: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9100 South Hills Boulevard, Suite 300</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MKlaben@soterahealth.com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David Lopez</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Matthew P. Salerno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dlopez@cgsh.com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msalerno@cgsh.com</w:t>
      </w:r>
    </w:p>
    <w:p>
      <w:pPr>
        <w:spacing w:after="0" w:line="20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and (b) in the case of any Stockholder, at such Stockholder’s address shown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or at such other address as any such party shall request in a written notice sent to the Company. Any party hereto or its legal representatives may effect a change of address for purposes of this Agreement by giving written notice of such change to the Company, and the Company shall, upon the request of any party hereto, notify such party of such change in the manner provided herein. Until such notice of change of address is properly given, the addresses set forth herein shall be effective for all purposes.</w:t>
      </w:r>
    </w:p>
    <w:p>
      <w:pPr>
        <w:spacing w:after="0" w:line="1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terms and provisions of this Agreement may be modified or amended at any time and from time to time only by approval of Stockholders that collectively own a majority of the Company Shares then owned by all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(other than amendments made to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 accordance with the terms of this Agreement) that would have a disproportionate material adverse effect on any Stockholder relative to another Stockholder (other than as a result of such Stockholder electing not to exercise any rights granted to such Stockholder pursuant to the terms of this Agreement) shall require the written consent of that Stockholder. All Stockholders shall receive notice of any amendment to this Agreement.</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any dispute arising out of, relating to or in connection with this Agreement, shall be construed (both as to validity and performance), interpreted and enforced in accordance with the laws of the State of Delaware, without regard to any conflicts of law provisions thereof that would result in the application of the laws of any other jurisdiction. Any action against any party relating to the foregoing shall be brought exclusively in the Court of Chancery of the State of Delaware (or, if the Court of Chancery of the State of Delaware lacks jurisdiction, the state or federal courts in the State of Delaware) and appellate courts thereof. The parties hereby irrevocably waive, to the fullest extent permitted by applicable law, any objection that they may now or hereafter have to the laying of venue of any such action brought in such court or any defense of inconvenient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46" w:name="page147"/>
    <w:bookmarkEnd w:id="146"/>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forum for the maintenance of such action. Each party agrees that service of summons and complaint or any other process that might be served in any action may be made on such party by sending or delivering a copy of the process to the party to be served by registered mail, return receipt requested, at the address of the party provided for the giving of notices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however, shall affect the right of any party to serve legal process in any other manner permitted by law.</w:t>
      </w:r>
    </w:p>
    <w:p>
      <w:pPr>
        <w:spacing w:after="0" w:line="180"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ACKNOWLEDGE AND AGREE THAT ANY CONTROVERSY WHICH MAY ARISE UNDER THIS AGREEMENT IS LIKELY TO INVOLVE COMPLICATED AND DIFFICULT ISSUES, AND THEREFORE THE PARTIES HEREBY IRREVOCABLY AND UNCONDITIONALLY WAIVE ANY RIGHT SUCH PARTY MAY HAVE TO A TRIAL BY JURY IN RESPECT OF ANY LITIGATION DIRECTLY OR INDIRECTLY ARISING OUT OF OR RELATING TO THIS AGREEMENT. EACH PARTY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w:t>
      </w:r>
    </w:p>
    <w:p>
      <w:pPr>
        <w:spacing w:after="0" w:line="2" w:lineRule="exact"/>
        <w:rPr>
          <w:sz w:val="20"/>
          <w:szCs w:val="20"/>
          <w:color w:val="auto"/>
        </w:rPr>
      </w:pPr>
    </w:p>
    <w:p>
      <w:pPr>
        <w:ind w:left="4" w:right="260" w:hanging="4"/>
        <w:spacing w:after="0" w:line="260" w:lineRule="auto"/>
        <w:tabs>
          <w:tab w:leader="none" w:pos="3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PARTY MAKES THIS WAIVER VOLUNTARILY, AND (IV)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Registration Rights Agreement, embodies the entire agreement and understanding of the Parties and supersedes all prior agreements and understandings between the Parties with respect to the subject matter hereof and thereof.</w:t>
      </w:r>
    </w:p>
    <w:p>
      <w:pPr>
        <w:spacing w:after="0" w:line="176"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waiver of any breach of any of the terms of this Agreement shall be effective unless such waiver is made expressly in writing and executed and delivered by the party against whom such waiver is claimed. No waiver of any breach shall be deemed to be a further or continuing waiver of such breach or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87"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7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such provision shall be ineffective only to the extent of such invalidity, illegality or unenforceability, without invalidating the remainder of such provision or the remaining provisions of this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147" w:name="page148"/>
    <w:bookmarkEnd w:id="14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unless the severance of such provision could be in opposition to the parties’ intent with respect to such provision or the economic or legal substance of the transactions contemplated hereby would be affected in any manner materially adverse to any party hereto, in which case the parties will negotiate revisions to this Agreement to preserve as nearly as possible or nearly as practicable the economic or legal substance of such invalid, illegal or unenforceable provision.</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In connection with this Agreement and the transactions contemplated hereby, the Company and each Stockholder shall execute and deliver any additional documents and instruments and perform any additional acts that the Sponsors jointly, and reasonably, determine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the Sponsor whose Designated 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determines) to be necessary or appropriate to effectuate and perform the provisions of this Agreement and those transactions.</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any number of counterparts, each of which shall be deemed an original, but all of which shall constitute one and the same instrument. Facsimile, .pdf and other electronic signatures to this Agreement shall have the same effect as original signatures.</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this Agreement does not create any rights, claims or benefits inuring to any Person that is not a party hereto, and it does not create or establish any third party beneficiary hereto.</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No Third Party Liability</w:t>
      </w:r>
      <w:r>
        <w:rPr>
          <w:rFonts w:ascii="Times New Roman" w:cs="Times New Roman" w:eastAsia="Times New Roman" w:hAnsi="Times New Roman"/>
          <w:sz w:val="18"/>
          <w:szCs w:val="18"/>
          <w:color w:val="auto"/>
        </w:rPr>
        <w:t>. This Agreement may only be enforced against the named parties hereto. All claims or causes of action (whether in contract or tort)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 and no past, present or future controlling person, management company, portfolio company, director, manager, officer, employee, incorporator, member, partner, stockholder, Affiliate, agent, attorney or representative of any party hereto (including any Person negotiating or executing this Agreement on behalf of a party hereto), unless party to this Agreement, shall have any liability or obligation with respect to this Agreement or with respect any claim or cause of action (whether in contract or in tort, at law or in equity, or otherwise)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188"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Except as otherwise provided in this Agreement to the contrary, this Agreement shall be binding upon and inure to the benefit of the Company, the Stockholders and their respective heirs, legal representatives, executors, administrators, successors and permitted assigns. The rights and obligations under this Agreement shall not be assignable without the prior written consent of the Sponsors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prior written consent of the Sponsor whose Designated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148" w:name="page149"/>
    <w:bookmarkEnd w:id="148"/>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any attempted assignment of rights or obligations in violation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be null and void.</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w:t>
      </w:r>
    </w:p>
    <w:p>
      <w:pPr>
        <w:spacing w:after="0" w:line="187"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6.20.</w:t>
      </w:r>
      <w:r>
        <w:rPr>
          <w:sz w:val="20"/>
          <w:szCs w:val="20"/>
          <w:color w:val="auto"/>
        </w:rPr>
        <w:tab/>
      </w:r>
      <w:r>
        <w:rPr>
          <w:rFonts w:ascii="Times New Roman" w:cs="Times New Roman" w:eastAsia="Times New Roman" w:hAnsi="Times New Roman"/>
          <w:sz w:val="17"/>
          <w:szCs w:val="17"/>
          <w:u w:val="single" w:color="auto"/>
          <w:color w:val="auto"/>
        </w:rPr>
        <w:t>Time of the Essence</w:t>
      </w:r>
      <w:r>
        <w:rPr>
          <w:rFonts w:ascii="Times New Roman" w:cs="Times New Roman" w:eastAsia="Times New Roman" w:hAnsi="Times New Roman"/>
          <w:sz w:val="17"/>
          <w:szCs w:val="17"/>
          <w:color w:val="auto"/>
        </w:rPr>
        <w:t>. The parties agree that time shall be of the essence in the performance of this Agreement.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No Promotion</w:t>
      </w:r>
      <w:r>
        <w:rPr>
          <w:rFonts w:ascii="Times New Roman" w:cs="Times New Roman" w:eastAsia="Times New Roman" w:hAnsi="Times New Roman"/>
          <w:sz w:val="18"/>
          <w:szCs w:val="18"/>
          <w:color w:val="auto"/>
        </w:rPr>
        <w:t>. The Company and each Stockholder agrees that it will not, without the prior written consent of the applicable Sponsor, in each instance, (a) use in advertising, publicity, or otherwise the name of Warburg Pincus LLC, GTCR LLC, any Sponsor or any of their respective Affiliates, or any partner or employee of a Sponsor, nor any trade name, trademark, trade device, service mark, symbol or any abbreviation, contraction or simulation thereof owned by Warburg Pincus LLC, GTCR LLC, any Sponsor, or their respective Affiliates, or (b) represent, directly or indirectly, that any product or any service provided by the Company has been approved or endorsed by Warburg Pincus LLC, GTCR LLC, any Sponsor or any of their Affiliates. The Company shall obtain the written consent from the applicable Designated Sponsor Fund prior to the Company’s issuance of any public statement regarding any Sponsor.</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Exculpation Among Stockholders</w:t>
      </w:r>
      <w:r>
        <w:rPr>
          <w:rFonts w:ascii="Times New Roman" w:cs="Times New Roman" w:eastAsia="Times New Roman" w:hAnsi="Times New Roman"/>
          <w:sz w:val="18"/>
          <w:szCs w:val="18"/>
          <w:color w:val="auto"/>
        </w:rPr>
        <w:t>. Each Stockholder acknowledges that it is not relying upon any other Person in making its investment or decision to invest in the Company (other than the Company pursuant to any written agreement). Each Stockholder agrees that no Stockholder nor their respective Affiliates, controlling persons, officers, directors, partners, agents or employees of any Stockholder shall be liable to any other Stockholder for any action heretofore or hereafter taken or omitted to taken by any of them in connection with their purchase or acquisition of any Company Shares, except with respect to breaches hereof.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HEREOF, the Parties have duly executed this Agreement as of the date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SOTERA HEALTH COMPANY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039"/>
          </w:cols>
          <w:pgMar w:left="1420" w:top="270" w:right="1440" w:bottom="1440" w:gutter="0" w:footer="0" w:header="0"/>
        </w:sectPr>
      </w:pPr>
    </w:p>
    <w:bookmarkStart w:id="150" w:name="page151"/>
    <w:bookmarkEnd w:id="150"/>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WARBURG PINCUS PRIVATE EQUITY XI,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XI PARTNERS,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480"/>
          </w:cols>
          <w:pgMar w:left="1440" w:top="266" w:right="979" w:bottom="1440" w:gutter="0" w:footer="0" w:header="0"/>
        </w:sectPr>
      </w:pPr>
    </w:p>
    <w:bookmarkStart w:id="151" w:name="page152"/>
    <w:bookmarkEnd w:id="15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WARBURG PINCUS PRIVATE EQUITY XI-B,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(Cayman)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XI-C,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(Bermuda) Private Equity GP Ltd., its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880"/>
          </w:cols>
          <w:pgMar w:left="1440" w:top="266" w:right="579" w:bottom="1440" w:gutter="0" w:footer="0" w:header="0"/>
        </w:sectPr>
      </w:pPr>
    </w:p>
    <w:bookmarkStart w:id="152" w:name="page153"/>
    <w:bookmarkEnd w:id="15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GTCR FUND XI/A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05"/>
        </w:trPr>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Name:</w:t>
            </w: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GTCR FUND XI/C LP</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05"/>
        </w:trPr>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Name:</w:t>
            </w: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3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10020"/>
          </w:cols>
          <w:pgMar w:left="1440" w:top="266" w:right="439" w:bottom="1440" w:gutter="0" w:footer="0" w:header="0"/>
        </w:sectPr>
      </w:pPr>
    </w:p>
    <w:bookmarkStart w:id="153" w:name="page154"/>
    <w:bookmarkEnd w:id="15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019"/>
          </w:cols>
          <w:pgMar w:left="1440" w:top="266" w:right="1440" w:bottom="1440" w:gutter="0" w:footer="0" w:header="0"/>
        </w:sectPr>
      </w:pPr>
    </w:p>
    <w:bookmarkStart w:id="154" w:name="page155"/>
    <w:bookmarkEnd w:id="1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JOINDER TO STOCKHOLDERS AGREEMENT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Stockholders Agreement dated as of [•],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by and among Sotera Health Company and certain other persons named therein, as the same may be amended from time to time. Capitalized terms used, but not defined, herein shall have the meaning ascribed to such terms in the Stockholders Agreement.</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“Stockholder” under the Stockholders Agreement as of the date hereof and shall have all of the rights and obligations of the Stockholder from whom it has acquired Company Shares (to the extent permitted by the Stockholders Agreement) as if the Joining Party had executed the Stockholders Agreement. The Joining Party hereby ratifies, as of the date hereof, and agrees to be bound by, all of the terms, provisions and conditions contained in the Stockholders Agreement. The Joining Party hereby makes, as of the date hereof, the representations and warranties set forth in Article V of the Stockholders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written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JOINING PARTY].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AGREED ON THIS   day of</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80"/>
          </w:cols>
          <w:pgMar w:left="440" w:top="266" w:right="47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Spouse’s Joinder Agreement</w:t>
            </w: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283"/>
        </w:trPr>
        <w:tc>
          <w:tcPr>
            <w:tcW w:w="3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undersigned, being the spouse of</w:t>
            </w:r>
          </w:p>
        </w:tc>
        <w:tc>
          <w:tcPr>
            <w:tcW w:w="1500" w:type="dxa"/>
            <w:vAlign w:val="bottom"/>
            <w:tcBorders>
              <w:bottom w:val="single" w:sz="8" w:color="auto"/>
            </w:tcBorders>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agrees to be bound by the provisions of this Joinder Agreement, to the extent</w:t>
            </w: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applicable to the undersigned.</w:t>
            </w: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3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spacing w:after="0"/>
              <w:rPr>
                <w:sz w:val="19"/>
                <w:szCs w:val="19"/>
                <w:color w:val="auto"/>
              </w:rPr>
            </w:pPr>
          </w:p>
        </w:tc>
      </w:tr>
      <w:tr>
        <w:trPr>
          <w:trHeight w:val="364"/>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A-2</w:t>
            </w:r>
          </w:p>
        </w:tc>
      </w:tr>
    </w:tbl>
    <w:p>
      <w:pPr>
        <w:ind w:left="70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NAMES AND ADDRESSES OF STOCKHOLDERS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list of subsidiaries of Sotera Health Company, omitting subsidiaries which are dormant entities without any operations and holding no or </w:t>
      </w:r>
      <w:r>
        <w:rPr>
          <w:rFonts w:ascii="Times New Roman" w:cs="Times New Roman" w:eastAsia="Times New Roman" w:hAnsi="Times New Roman"/>
          <w:sz w:val="18"/>
          <w:szCs w:val="18"/>
          <w:i w:val="1"/>
          <w:iCs w:val="1"/>
          <w:color w:val="auto"/>
        </w:rPr>
        <w:t>de minimis assets</w:t>
      </w:r>
      <w:r>
        <w:rPr>
          <w:rFonts w:ascii="Times New Roman" w:cs="Times New Roman" w:eastAsia="Times New Roman" w:hAnsi="Times New Roman"/>
          <w:sz w:val="18"/>
          <w:szCs w:val="18"/>
          <w:color w:val="auto"/>
        </w:rPr>
        <w:t>, and which, considered in the aggregate as a single subsidiary, would not constitute a significant subsidiary as of September 30,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626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91"/>
        </w:trPr>
        <w:tc>
          <w:tcPr>
            <w:tcW w:w="7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Auralux Enterprises Ltd.</w:t>
            </w: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Alberta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Companhia Brasileira de Esterilização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DEROSS Holding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Embrapart Participaçãos LTDA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Iotron Industries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Iotron Industries USA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REVISS Services (UK) Limited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RSI Leasing,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Services,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Fleurus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Petit Rechain S.A.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Brasil Participaçãos EIRELI</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Costa Rica, S.R.L.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Denmark 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EO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France S.A.S.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Germany GmbH</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Italy S.p.A.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 de R.L. de C.V.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E-beam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ETO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Thailand,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UK Limited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1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2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C.V.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Unidade de Esterilização Cotia LTDA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1)"/>
      <w:numFmt w:val="lowerLetter"/>
      <w:start w:val="1"/>
    </w:lvl>
  </w:abstractNum>
  <w:abstractNum w:abstractNumId="2">
    <w:nsid w:val="7FB7E0AA"/>
    <w:multiLevelType w:val="hybridMultilevel"/>
    <w:lvl w:ilvl="0">
      <w:lvlJc w:val="left"/>
      <w:lvlText w:val="*"/>
      <w:numFmt w:val="bullet"/>
      <w:start w:val="1"/>
    </w:lvl>
    <w:lvl w:ilvl="1">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1)"/>
      <w:numFmt w:val="lowerLetter"/>
      <w:start w:val="1"/>
    </w:lvl>
  </w:abstractNum>
  <w:abstractNum w:abstractNumId="5">
    <w:nsid w:val="94211F2"/>
    <w:multiLevelType w:val="hybridMultilevel"/>
    <w:lvl w:ilvl="0">
      <w:lvlJc w:val="left"/>
      <w:lvlText w:val="(%1)"/>
      <w:numFmt w:val="lowerLetter"/>
      <w:start w:val="1"/>
    </w:lvl>
  </w:abstractNum>
  <w:abstractNum w:abstractNumId="6">
    <w:nsid w:val="885E1B"/>
    <w:multiLevelType w:val="hybridMultilevel"/>
    <w:lvl w:ilvl="0">
      <w:lvlJc w:val="left"/>
      <w:lvlText w:val="(%1)"/>
      <w:numFmt w:val="lowerLetter"/>
      <w:start w:val="1"/>
    </w:lvl>
  </w:abstractNum>
  <w:abstractNum w:abstractNumId="7">
    <w:nsid w:val="76272110"/>
    <w:multiLevelType w:val="hybridMultilevel"/>
    <w:lvl w:ilvl="0">
      <w:lvlJc w:val="left"/>
      <w:lvlText w:val="(%1)"/>
      <w:numFmt w:val="lowerLetter"/>
      <w:start w:val="4"/>
    </w:lvl>
  </w:abstractNum>
  <w:abstractNum w:abstractNumId="8">
    <w:nsid w:val="4C04A8AF"/>
    <w:multiLevelType w:val="hybridMultilevel"/>
    <w:lvl w:ilvl="0">
      <w:lvlJc w:val="left"/>
      <w:lvlText w:val="(%1)"/>
      <w:numFmt w:val="lowerLetter"/>
      <w:start w:val="1"/>
    </w:lvl>
  </w:abstractNum>
  <w:abstractNum w:abstractNumId="9">
    <w:nsid w:val="1716703B"/>
    <w:multiLevelType w:val="hybridMultilevel"/>
    <w:lvl w:ilvl="0">
      <w:lvlJc w:val="left"/>
      <w:lvlText w:val="(%1)"/>
      <w:numFmt w:val="lowerLetter"/>
      <w:start w:val="3"/>
    </w:lvl>
  </w:abstractNum>
  <w:abstractNum w:abstractNumId="10">
    <w:nsid w:val="14E17E33"/>
    <w:multiLevelType w:val="hybridMultilevel"/>
    <w:lvl w:ilvl="0">
      <w:lvlJc w:val="left"/>
      <w:lvlText w:val="(%1)"/>
      <w:numFmt w:val="lowerRoman"/>
      <w:start w:val="2"/>
    </w:lvl>
  </w:abstractNum>
  <w:abstractNum w:abstractNumId="11">
    <w:nsid w:val="3222E7CD"/>
    <w:multiLevelType w:val="hybridMultilevel"/>
    <w:lvl w:ilvl="0">
      <w:lvlJc w:val="left"/>
      <w:lvlText w:val="(%1)"/>
      <w:numFmt w:val="lowerLetter"/>
      <w:start w:val="1"/>
    </w:lvl>
  </w:abstractNum>
  <w:abstractNum w:abstractNumId="12">
    <w:nsid w:val="74DE0EE3"/>
    <w:multiLevelType w:val="hybridMultilevel"/>
    <w:lvl w:ilvl="0">
      <w:lvlJc w:val="left"/>
      <w:lvlText w:val="(%1)"/>
      <w:numFmt w:val="lowerLetter"/>
      <w:start w:val="3"/>
    </w:lvl>
    <w:lvl w:ilvl="1">
      <w:lvlJc w:val="left"/>
      <w:lvlText w:val="(%2)"/>
      <w:numFmt w:val="lowerLetter"/>
      <w:start w:val="9"/>
    </w:lvl>
  </w:abstractNum>
  <w:abstractNum w:abstractNumId="13">
    <w:nsid w:val="68EBC550"/>
    <w:multiLevelType w:val="hybridMultilevel"/>
    <w:lvl w:ilvl="0">
      <w:lvlJc w:val="left"/>
      <w:lvlText w:val="%1"/>
      <w:numFmt w:val="lowerLetter"/>
      <w:start w:val="1"/>
    </w:lvl>
    <w:lvl w:ilvl="1">
      <w:lvlJc w:val="left"/>
      <w:lvlText w:val="(%2)"/>
      <w:numFmt w:val="lowerRoman"/>
      <w:start w:val="2"/>
    </w:lvl>
  </w:abstractNum>
  <w:abstractNum w:abstractNumId="14">
    <w:nsid w:val="2DF6D648"/>
    <w:multiLevelType w:val="hybridMultilevel"/>
    <w:lvl w:ilvl="0">
      <w:lvlJc w:val="left"/>
      <w:lvlText w:val="(%1)"/>
      <w:numFmt w:val="lowerLetter"/>
      <w:start w:val="7"/>
    </w:lvl>
    <w:lvl w:ilvl="1">
      <w:lvlJc w:val="left"/>
      <w:lvlText w:val="%2"/>
      <w:numFmt w:val="lowerRoman"/>
      <w:start w:val="1"/>
    </w:lvl>
  </w:abstractNum>
  <w:abstractNum w:abstractNumId="15">
    <w:nsid w:val="46B7D447"/>
    <w:multiLevelType w:val="hybridMultilevel"/>
    <w:lvl w:ilvl="0">
      <w:lvlJc w:val="left"/>
      <w:lvlText w:val="(%1)"/>
      <w:numFmt w:val="lowerLetter"/>
      <w:start w:val="8"/>
    </w:lvl>
  </w:abstractNum>
  <w:abstractNum w:abstractNumId="16">
    <w:nsid w:val="4A2AC315"/>
    <w:multiLevelType w:val="hybridMultilevel"/>
    <w:lvl w:ilvl="0">
      <w:lvlJc w:val="left"/>
      <w:lvlText w:val="(%1)"/>
      <w:numFmt w:val="lowerLetter"/>
      <w:start w:val="3"/>
    </w:lvl>
  </w:abstractNum>
  <w:abstractNum w:abstractNumId="17">
    <w:nsid w:val="39EE015C"/>
    <w:multiLevelType w:val="hybridMultilevel"/>
    <w:lvl w:ilvl="0">
      <w:lvlJc w:val="left"/>
      <w:lvlText w:val="(%1)"/>
      <w:numFmt w:val="lowerLetter"/>
      <w:start w:val="1"/>
    </w:lvl>
  </w:abstractNum>
  <w:abstractNum w:abstractNumId="18">
    <w:nsid w:val="57FC4FBB"/>
    <w:multiLevelType w:val="hybridMultilevel"/>
    <w:lvl w:ilvl="0">
      <w:lvlJc w:val="left"/>
      <w:lvlText w:val="(%1)"/>
      <w:numFmt w:val="lowerLetter"/>
      <w:start w:val="2"/>
    </w:lvl>
  </w:abstractNum>
  <w:abstractNum w:abstractNumId="19">
    <w:nsid w:val="CC1016F"/>
    <w:multiLevelType w:val="hybridMultilevel"/>
    <w:lvl w:ilvl="0">
      <w:lvlJc w:val="left"/>
      <w:lvlText w:val="(%1)"/>
      <w:numFmt w:val="lowerLetter"/>
      <w:start w:val="1"/>
    </w:lvl>
  </w:abstractNum>
  <w:abstractNum w:abstractNumId="20">
    <w:nsid w:val="43F18422"/>
    <w:multiLevelType w:val="hybridMultilevel"/>
    <w:lvl w:ilvl="0">
      <w:lvlJc w:val="left"/>
      <w:lvlText w:val="(%1)"/>
      <w:numFmt w:val="lowerLetter"/>
      <w:start w:val="1"/>
    </w:lvl>
  </w:abstractNum>
  <w:abstractNum w:abstractNumId="21">
    <w:nsid w:val="60EF0119"/>
    <w:multiLevelType w:val="hybridMultilevel"/>
    <w:lvl w:ilvl="0">
      <w:lvlJc w:val="left"/>
      <w:lvlText w:val="(%1)"/>
      <w:numFmt w:val="lowerLetter"/>
      <w:start w:val="26"/>
    </w:lvl>
  </w:abstractNum>
  <w:abstractNum w:abstractNumId="22">
    <w:nsid w:val="26F324BA"/>
    <w:multiLevelType w:val="hybridMultilevel"/>
    <w:lvl w:ilvl="0">
      <w:lvlJc w:val="left"/>
      <w:lvlText w:val="(%1)"/>
      <w:numFmt w:val="lowerLetter"/>
      <w:start w:val="1"/>
    </w:lvl>
    <w:lvl w:ilvl="1">
      <w:lvlJc w:val="left"/>
      <w:lvlText w:val="(%2)"/>
      <w:numFmt w:val="lowerRoman"/>
      <w:start w:val="1"/>
    </w:lvl>
  </w:abstractNum>
  <w:abstractNum w:abstractNumId="23">
    <w:nsid w:val="7F01579B"/>
    <w:multiLevelType w:val="hybridMultilevel"/>
    <w:lvl w:ilvl="0">
      <w:lvlJc w:val="left"/>
      <w:lvlText w:val="%1"/>
      <w:numFmt w:val="lowerLetter"/>
      <w:start w:val="1"/>
    </w:lvl>
    <w:lvl w:ilvl="1">
      <w:lvlJc w:val="left"/>
      <w:lvlText w:val="(%2)"/>
      <w:numFmt w:val="lowerRoman"/>
      <w:start w:val="4"/>
    </w:lvl>
  </w:abstractNum>
  <w:abstractNum w:abstractNumId="24">
    <w:nsid w:val="49DA307D"/>
    <w:multiLevelType w:val="hybridMultilevel"/>
    <w:lvl w:ilvl="0">
      <w:lvlJc w:val="left"/>
      <w:lvlText w:val="(%1)"/>
      <w:numFmt w:val="lowerLetter"/>
      <w:start w:val="4"/>
    </w:lvl>
    <w:lvl w:ilvl="1">
      <w:lvlJc w:val="left"/>
      <w:lvlText w:val="%2"/>
      <w:numFmt w:val="lowerRoman"/>
      <w:start w:val="1"/>
    </w:lvl>
  </w:abstractNum>
  <w:abstractNum w:abstractNumId="25">
    <w:nsid w:val="7055A5F5"/>
    <w:multiLevelType w:val="hybridMultilevel"/>
    <w:lvl w:ilvl="0">
      <w:lvlJc w:val="left"/>
      <w:lvlText w:val="(%1)"/>
      <w:numFmt w:val="lowerLetter"/>
      <w:start w:val="6"/>
    </w:lvl>
  </w:abstractNum>
  <w:abstractNum w:abstractNumId="26">
    <w:nsid w:val="5FB8370B"/>
    <w:multiLevelType w:val="hybridMultilevel"/>
    <w:lvl w:ilvl="0">
      <w:lvlJc w:val="left"/>
      <w:lvlText w:val="(%1)"/>
      <w:numFmt w:val="lowerLetter"/>
      <w:start w:val="8"/>
    </w:lvl>
  </w:abstractNum>
  <w:abstractNum w:abstractNumId="27">
    <w:nsid w:val="50801EE1"/>
    <w:multiLevelType w:val="hybridMultilevel"/>
    <w:lvl w:ilvl="0">
      <w:lvlJc w:val="left"/>
      <w:lvlText w:val="(%1)"/>
      <w:numFmt w:val="lowerLetter"/>
      <w:start w:val="1"/>
    </w:lvl>
  </w:abstractNum>
  <w:abstractNum w:abstractNumId="28">
    <w:nsid w:val="488AC1A"/>
    <w:multiLevelType w:val="hybridMultilevel"/>
    <w:lvl w:ilvl="0">
      <w:lvlJc w:val="left"/>
      <w:lvlText w:val="(%1)"/>
      <w:numFmt w:val="lowerLetter"/>
      <w:start w:val="1"/>
    </w:lvl>
  </w:abstractNum>
  <w:abstractNum w:abstractNumId="29">
    <w:nsid w:val="5FB8011C"/>
    <w:multiLevelType w:val="hybridMultilevel"/>
    <w:lvl w:ilvl="0">
      <w:lvlJc w:val="left"/>
      <w:lvlText w:val="(%1)"/>
      <w:numFmt w:val="lowerLetter"/>
      <w:start w:val="1"/>
    </w:lvl>
  </w:abstractNum>
  <w:abstractNum w:abstractNumId="30">
    <w:nsid w:val="6AA78F7F"/>
    <w:multiLevelType w:val="hybridMultilevel"/>
    <w:lvl w:ilvl="0">
      <w:lvlJc w:val="left"/>
      <w:lvlText w:val="(%1)"/>
      <w:numFmt w:val="lowerLetter"/>
      <w:start w:val="1"/>
    </w:lvl>
  </w:abstractNum>
  <w:abstractNum w:abstractNumId="31">
    <w:nsid w:val="7672BD23"/>
    <w:multiLevelType w:val="hybridMultilevel"/>
    <w:lvl w:ilvl="0">
      <w:lvlJc w:val="left"/>
      <w:lvlText w:val="(%1)"/>
      <w:numFmt w:val="lowerLetter"/>
      <w:start w:val="2"/>
    </w:lvl>
  </w:abstractNum>
  <w:abstractNum w:abstractNumId="32">
    <w:nsid w:val="6FC75AF8"/>
    <w:multiLevelType w:val="hybridMultilevel"/>
    <w:lvl w:ilvl="0">
      <w:lvlJc w:val="left"/>
      <w:lvlText w:val="(%1)"/>
      <w:numFmt w:val="lowerLetter"/>
      <w:start w:val="1"/>
    </w:lvl>
  </w:abstractNum>
  <w:abstractNum w:abstractNumId="33">
    <w:nsid w:val="6A5F7029"/>
    <w:multiLevelType w:val="hybridMultilevel"/>
    <w:lvl w:ilvl="0">
      <w:lvlJc w:val="left"/>
      <w:lvlText w:val="(%1)"/>
      <w:numFmt w:val="lowerLetter"/>
      <w:start w:val="2"/>
    </w:lvl>
  </w:abstractNum>
  <w:abstractNum w:abstractNumId="34">
    <w:nsid w:val="7D5E18F8"/>
    <w:multiLevelType w:val="hybridMultilevel"/>
    <w:lvl w:ilvl="0">
      <w:lvlJc w:val="left"/>
      <w:lvlText w:val="(%1)"/>
      <w:numFmt w:val="lowerLetter"/>
      <w:start w:val="1"/>
    </w:lvl>
  </w:abstractNum>
  <w:abstractNum w:abstractNumId="35">
    <w:nsid w:val="5F3534A4"/>
    <w:multiLevelType w:val="hybridMultilevel"/>
    <w:lvl w:ilvl="0">
      <w:lvlJc w:val="left"/>
      <w:lvlText w:val="(%1)"/>
      <w:numFmt w:val="lowerLetter"/>
      <w:start w:val="1"/>
    </w:lvl>
    <w:lvl w:ilvl="1">
      <w:lvlJc w:val="left"/>
      <w:lvlText w:val="(%2)"/>
      <w:numFmt w:val="lowerLetter"/>
      <w:start w:val="35"/>
    </w:lvl>
  </w:abstractNum>
  <w:abstractNum w:abstractNumId="36">
    <w:nsid w:val="73A1821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37">
    <w:nsid w:val="7DE6771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8">
    <w:nsid w:val="555C55B5"/>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39">
    <w:nsid w:val="3FA62ACA"/>
    <w:multiLevelType w:val="hybridMultilevel"/>
    <w:lvl w:ilvl="0">
      <w:lvlJc w:val="left"/>
      <w:lvlText w:val="(%1)"/>
      <w:numFmt w:val="upperLetter"/>
      <w:start w:val="3"/>
    </w:lvl>
  </w:abstractNum>
  <w:abstractNum w:abstractNumId="40">
    <w:nsid w:val="14FCE74E"/>
    <w:multiLevelType w:val="hybridMultilevel"/>
    <w:lvl w:ilvl="0">
      <w:lvlJc w:val="left"/>
      <w:lvlText w:val="(%1)"/>
      <w:numFmt w:val="upperLetter"/>
      <w:start w:val="4"/>
    </w:lvl>
  </w:abstractNum>
  <w:abstractNum w:abstractNumId="41">
    <w:nsid w:val="6A3DD3E8"/>
    <w:multiLevelType w:val="hybridMultilevel"/>
    <w:lvl w:ilvl="0">
      <w:lvlJc w:val="left"/>
      <w:lvlText w:val="(%1)"/>
      <w:numFmt w:val="lowerRoman"/>
      <w:start w:val="4"/>
    </w:lvl>
  </w:abstractNum>
  <w:abstractNum w:abstractNumId="42">
    <w:nsid w:val="71C91298"/>
    <w:multiLevelType w:val="hybridMultilevel"/>
    <w:lvl w:ilvl="0">
      <w:lvlJc w:val="left"/>
      <w:lvlText w:val="(%1)"/>
      <w:numFmt w:val="lowerLetter"/>
      <w:start w:val="2"/>
    </w:lvl>
  </w:abstractNum>
  <w:abstractNum w:abstractNumId="43">
    <w:nsid w:val="9DAF632"/>
    <w:multiLevelType w:val="hybridMultilevel"/>
    <w:lvl w:ilvl="0">
      <w:lvlJc w:val="left"/>
      <w:lvlText w:val="(%1)"/>
      <w:numFmt w:val="lowerLetter"/>
      <w:start w:val="3"/>
    </w:lvl>
  </w:abstractNum>
  <w:abstractNum w:abstractNumId="44">
    <w:nsid w:val="53299938"/>
    <w:multiLevelType w:val="hybridMultilevel"/>
    <w:lvl w:ilvl="0">
      <w:lvlJc w:val="left"/>
      <w:lvlText w:val="(%1)"/>
      <w:numFmt w:val="lowerLetter"/>
      <w:start w:val="6"/>
    </w:lvl>
  </w:abstractNum>
  <w:abstractNum w:abstractNumId="45">
    <w:nsid w:val="1FBFE8E0"/>
    <w:multiLevelType w:val="hybridMultilevel"/>
    <w:lvl w:ilvl="0">
      <w:lvlJc w:val="left"/>
      <w:lvlText w:val="(%1)"/>
      <w:numFmt w:val="lowerLetter"/>
      <w:start w:val="1"/>
    </w:lvl>
  </w:abstractNum>
  <w:abstractNum w:abstractNumId="46">
    <w:nsid w:val="5092CA79"/>
    <w:multiLevelType w:val="hybridMultilevel"/>
    <w:lvl w:ilvl="0">
      <w:lvlJc w:val="left"/>
      <w:lvlText w:val="(%1)"/>
      <w:numFmt w:val="lowerLetter"/>
      <w:start w:val="1"/>
    </w:lvl>
  </w:abstractNum>
  <w:abstractNum w:abstractNumId="47">
    <w:nsid w:val="1D545C4D"/>
    <w:multiLevelType w:val="hybridMultilevel"/>
    <w:lvl w:ilvl="0">
      <w:lvlJc w:val="left"/>
      <w:lvlText w:val="(%1)"/>
      <w:numFmt w:val="lowerLetter"/>
      <w:start w:val="10"/>
    </w:lvl>
  </w:abstractNum>
  <w:abstractNum w:abstractNumId="48">
    <w:nsid w:val="59ADEA3D"/>
    <w:multiLevelType w:val="hybridMultilevel"/>
    <w:lvl w:ilvl="0">
      <w:lvlJc w:val="left"/>
      <w:lvlText w:val="(%1)"/>
      <w:numFmt w:val="lowerLetter"/>
      <w:start w:val="1"/>
    </w:lvl>
  </w:abstractNum>
  <w:abstractNum w:abstractNumId="49">
    <w:nsid w:val="288F1A34"/>
    <w:multiLevelType w:val="hybridMultilevel"/>
    <w:lvl w:ilvl="0">
      <w:lvlJc w:val="left"/>
      <w:lvlText w:val="(%1)"/>
      <w:numFmt w:val="lowerLetter"/>
      <w:start w:val="5"/>
    </w:lvl>
  </w:abstractNum>
  <w:abstractNum w:abstractNumId="50">
    <w:nsid w:val="2A155DBC"/>
    <w:multiLevelType w:val="hybridMultilevel"/>
    <w:lvl w:ilvl="0">
      <w:lvlJc w:val="left"/>
      <w:lvlText w:val="%1"/>
      <w:numFmt w:val="lowerLetter"/>
      <w:start w:val="1"/>
    </w:lvl>
    <w:lvl w:ilvl="1">
      <w:lvlJc w:val="left"/>
      <w:lvlText w:val="(%2)"/>
      <w:numFmt w:val="lowerLetter"/>
      <w:start w:val="1"/>
    </w:lvl>
  </w:abstractNum>
  <w:abstractNum w:abstractNumId="51">
    <w:nsid w:val="1D9F6E5F"/>
    <w:multiLevelType w:val="hybridMultilevel"/>
    <w:lvl w:ilvl="0">
      <w:lvlJc w:val="left"/>
      <w:lvlText w:val="(%1)"/>
      <w:numFmt w:val="lowerLetter"/>
      <w:start w:val="1"/>
    </w:lvl>
    <w:lvl w:ilvl="1">
      <w:lvlJc w:val="left"/>
      <w:lvlText w:val="(%2)"/>
      <w:numFmt w:val="lowerLetter"/>
      <w:start w:val="2"/>
    </w:lvl>
  </w:abstractNum>
  <w:abstractNum w:abstractNumId="52">
    <w:nsid w:val="97E1B4E"/>
    <w:multiLevelType w:val="hybridMultilevel"/>
    <w:lvl w:ilvl="0">
      <w:lvlJc w:val="left"/>
      <w:lvlText w:val="(%1)"/>
      <w:numFmt w:val="lowerLetter"/>
      <w:start w:val="1"/>
    </w:lvl>
  </w:abstractNum>
  <w:abstractNum w:abstractNumId="53">
    <w:nsid w:val="51088277"/>
    <w:multiLevelType w:val="hybridMultilevel"/>
    <w:lvl w:ilvl="0">
      <w:lvlJc w:val="left"/>
      <w:lvlText w:val="(%1)"/>
      <w:numFmt w:val="lowerRoman"/>
      <w:start w:val="4"/>
    </w:lvl>
  </w:abstractNum>
  <w:abstractNum w:abstractNumId="54">
    <w:nsid w:val="1CA0C5FA"/>
    <w:multiLevelType w:val="hybridMultilevel"/>
    <w:lvl w:ilvl="0">
      <w:lvlJc w:val="left"/>
      <w:lvlText w:val="(%1)"/>
      <w:numFmt w:val="lowerRoman"/>
      <w:start w:val="1"/>
    </w:lvl>
  </w:abstractNum>
  <w:abstractNum w:abstractNumId="55">
    <w:nsid w:val="53584BCB"/>
    <w:multiLevelType w:val="hybridMultilevel"/>
    <w:lvl w:ilvl="0">
      <w:lvlJc w:val="left"/>
      <w:lvlText w:val="(%1)"/>
      <w:numFmt w:val="lowerRoman"/>
      <w:start w:val="7"/>
    </w:lvl>
    <w:lvl w:ilvl="1">
      <w:lvlJc w:val="left"/>
      <w:lvlText w:val="(%2)"/>
      <w:numFmt w:val="lowerLetter"/>
      <w:start w:val="2"/>
    </w:lvl>
  </w:abstractNum>
  <w:abstractNum w:abstractNumId="56">
    <w:nsid w:val="415E286C"/>
    <w:multiLevelType w:val="hybridMultilevel"/>
    <w:lvl w:ilvl="0">
      <w:lvlJc w:val="left"/>
      <w:lvlText w:val="(%1)"/>
      <w:numFmt w:val="lowerLetter"/>
      <w:start w:val="1"/>
    </w:lvl>
  </w:abstractNum>
  <w:abstractNum w:abstractNumId="57">
    <w:nsid w:val="7C58FD05"/>
    <w:multiLevelType w:val="hybridMultilevel"/>
    <w:lvl w:ilvl="0">
      <w:lvlJc w:val="left"/>
      <w:lvlText w:val="%1"/>
      <w:numFmt w:val="lowerLetter"/>
      <w:start w:val="1"/>
    </w:lvl>
    <w:lvl w:ilvl="1">
      <w:lvlJc w:val="left"/>
      <w:lvlText w:val="(%2)"/>
      <w:numFmt w:val="lowerLetter"/>
      <w:start w:val="3"/>
    </w:lvl>
  </w:abstractNum>
  <w:abstractNum w:abstractNumId="58">
    <w:nsid w:val="23D86AAC"/>
    <w:multiLevelType w:val="hybridMultilevel"/>
    <w:lvl w:ilvl="0">
      <w:lvlJc w:val="left"/>
      <w:lvlText w:val="(%1)"/>
      <w:numFmt w:val="lowerLetter"/>
      <w:start w:val="9"/>
    </w:lvl>
    <w:lvl w:ilvl="1">
      <w:lvlJc w:val="left"/>
      <w:lvlText w:val="(%2)"/>
      <w:numFmt w:val="lowerLetter"/>
      <w:start w:val="4"/>
    </w:lvl>
  </w:abstractNum>
  <w:abstractNum w:abstractNumId="59">
    <w:nsid w:val="45E6D486"/>
    <w:multiLevelType w:val="hybridMultilevel"/>
    <w:lvl w:ilvl="0">
      <w:lvlJc w:val="left"/>
      <w:lvlText w:val="(%1)"/>
      <w:numFmt w:val="decimal"/>
      <w:start w:val="5"/>
    </w:lvl>
  </w:abstractNum>
  <w:abstractNum w:abstractNumId="60">
    <w:nsid w:val="5C10FE21"/>
    <w:multiLevelType w:val="hybridMultilevel"/>
    <w:lvl w:ilvl="0">
      <w:lvlJc w:val="left"/>
      <w:lvlText w:val="(%1)"/>
      <w:numFmt w:val="lowerLetter"/>
      <w:start w:val="5"/>
    </w:lvl>
  </w:abstractNum>
  <w:abstractNum w:abstractNumId="61">
    <w:nsid w:val="E7FFA2B"/>
    <w:multiLevelType w:val="hybridMultilevel"/>
    <w:lvl w:ilvl="0">
      <w:lvlJc w:val="left"/>
      <w:lvlText w:val="(%1)"/>
      <w:numFmt w:val="lowerLetter"/>
      <w:start w:val="7"/>
    </w:lvl>
  </w:abstractNum>
  <w:abstractNum w:abstractNumId="62">
    <w:nsid w:val="3C5991AA"/>
    <w:multiLevelType w:val="hybridMultilevel"/>
    <w:lvl w:ilvl="0">
      <w:lvlJc w:val="left"/>
      <w:lvlText w:val="(%1)"/>
      <w:numFmt w:val="lowerLetter"/>
      <w:start w:val="1"/>
    </w:lvl>
  </w:abstractNum>
  <w:abstractNum w:abstractNumId="63">
    <w:nsid w:val="4BD8591A"/>
    <w:multiLevelType w:val="hybridMultilevel"/>
    <w:lvl w:ilvl="0">
      <w:lvlJc w:val="left"/>
      <w:lvlText w:val="%1"/>
      <w:numFmt w:val="decimal"/>
      <w:start w:val="1"/>
    </w:lvl>
    <w:lvl w:ilvl="1">
      <w:lvlJc w:val="left"/>
      <w:lvlText w:val="(%2)"/>
      <w:numFmt w:val="lowerLetter"/>
      <w:start w:val="2"/>
    </w:lvl>
  </w:abstractNum>
  <w:abstractNum w:abstractNumId="64">
    <w:nsid w:val="78DF6A55"/>
    <w:multiLevelType w:val="hybridMultilevel"/>
    <w:lvl w:ilvl="0">
      <w:lvlJc w:val="left"/>
      <w:lvlText w:val="(%1)"/>
      <w:numFmt w:val="decimal"/>
      <w:start w:val="5"/>
    </w:lvl>
    <w:lvl w:ilvl="1">
      <w:lvlJc w:val="left"/>
      <w:lvlText w:val="%2"/>
      <w:numFmt w:val="lowerLetter"/>
      <w:start w:val="1"/>
    </w:lvl>
  </w:abstractNum>
  <w:abstractNum w:abstractNumId="65">
    <w:nsid w:val="39B7AAA2"/>
    <w:multiLevelType w:val="hybridMultilevel"/>
    <w:lvl w:ilvl="0">
      <w:lvlJc w:val="left"/>
      <w:lvlText w:val="(%1)"/>
      <w:numFmt w:val="lowerLetter"/>
      <w:start w:val="4"/>
    </w:lvl>
  </w:abstractNum>
  <w:abstractNum w:abstractNumId="66">
    <w:nsid w:val="2B0D8DB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67">
    <w:nsid w:val="6C80EC7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68">
    <w:nsid w:val="379E21B5"/>
    <w:multiLevelType w:val="hybridMultilevel"/>
    <w:lvl w:ilvl="0">
      <w:lvlJc w:val="left"/>
      <w:lvlText w:val="(%1)"/>
      <w:numFmt w:val="decimal"/>
      <w:start w:val="48"/>
    </w:lvl>
    <w:lvl w:ilvl="1">
      <w:lvlJc w:val="left"/>
      <w:lvlText w:val="%2"/>
      <w:numFmt w:val="lowerRoman"/>
      <w:start w:val="1"/>
    </w:lvl>
    <w:lvl w:ilvl="2">
      <w:lvlJc w:val="left"/>
      <w:lvlText w:val="%3"/>
      <w:numFmt w:val="lowerLetter"/>
      <w:start w:val="1"/>
    </w:lvl>
  </w:abstractNum>
  <w:abstractNum w:abstractNumId="69">
    <w:nsid w:val="69E373"/>
    <w:multiLevelType w:val="hybridMultilevel"/>
    <w:lvl w:ilvl="0">
      <w:lvlJc w:val="left"/>
      <w:lvlText w:val="(%1)"/>
      <w:numFmt w:val="lowerRoman"/>
      <w:start w:val="4"/>
    </w:lvl>
    <w:lvl w:ilvl="1">
      <w:lvlJc w:val="left"/>
      <w:lvlText w:val="(%2)"/>
      <w:numFmt w:val="lowerLetter"/>
      <w:start w:val="6"/>
    </w:lvl>
  </w:abstractNum>
  <w:abstractNum w:abstractNumId="70">
    <w:nsid w:val="2C27173B"/>
    <w:multiLevelType w:val="hybridMultilevel"/>
    <w:lvl w:ilvl="0">
      <w:lvlJc w:val="left"/>
      <w:lvlText w:val="%1"/>
      <w:numFmt w:val="decimal"/>
      <w:start w:val="1"/>
    </w:lvl>
    <w:lvl w:ilvl="1">
      <w:lvlJc w:val="left"/>
      <w:lvlText w:val="(%2)"/>
      <w:numFmt w:val="lowerLetter"/>
      <w:start w:val="1"/>
    </w:lvl>
  </w:abstractNum>
  <w:abstractNum w:abstractNumId="71">
    <w:nsid w:val="4C9B0904"/>
    <w:multiLevelType w:val="hybridMultilevel"/>
    <w:lvl w:ilvl="0">
      <w:lvlJc w:val="left"/>
      <w:lvlText w:val="(%1)"/>
      <w:numFmt w:val="decimal"/>
      <w:start w:val="10"/>
    </w:lvl>
    <w:lvl w:ilvl="1">
      <w:lvlJc w:val="left"/>
      <w:lvlText w:val="%2"/>
      <w:numFmt w:val="lowerLetter"/>
      <w:start w:val="1"/>
    </w:lvl>
  </w:abstractNum>
  <w:abstractNum w:abstractNumId="72">
    <w:nsid w:val="6AA7B75C"/>
    <w:multiLevelType w:val="hybridMultilevel"/>
    <w:lvl w:ilvl="0">
      <w:lvlJc w:val="left"/>
      <w:lvlText w:val="(%1)"/>
      <w:numFmt w:val="lowerLetter"/>
      <w:start w:val="2"/>
    </w:lvl>
  </w:abstractNum>
  <w:abstractNum w:abstractNumId="73">
    <w:nsid w:val="1DF029D3"/>
    <w:multiLevelType w:val="hybridMultilevel"/>
    <w:lvl w:ilvl="0">
      <w:lvlJc w:val="left"/>
      <w:lvlText w:val="(%1)"/>
      <w:numFmt w:val="lowerLetter"/>
      <w:start w:val="3"/>
    </w:lvl>
  </w:abstractNum>
  <w:abstractNum w:abstractNumId="74">
    <w:nsid w:val="5675FF36"/>
    <w:multiLevelType w:val="hybridMultilevel"/>
    <w:lvl w:ilvl="0">
      <w:lvlJc w:val="left"/>
      <w:lvlText w:val="(%1)"/>
      <w:numFmt w:val="lowerLetter"/>
      <w:start w:val="1"/>
    </w:lvl>
  </w:abstractNum>
  <w:abstractNum w:abstractNumId="75">
    <w:nsid w:val="3DD15094"/>
    <w:multiLevelType w:val="hybridMultilevel"/>
    <w:lvl w:ilvl="0">
      <w:lvlJc w:val="left"/>
      <w:lvlText w:val="(%1)"/>
      <w:numFmt w:val="lowerLetter"/>
      <w:start w:val="2"/>
    </w:lvl>
  </w:abstractNum>
  <w:abstractNum w:abstractNumId="76">
    <w:nsid w:val="3DB012B3"/>
    <w:multiLevelType w:val="hybridMultilevel"/>
    <w:lvl w:ilvl="0">
      <w:lvlJc w:val="left"/>
      <w:lvlText w:val="%1"/>
      <w:numFmt w:val="lowerRoman"/>
      <w:start w:val="1"/>
    </w:lvl>
    <w:lvl w:ilvl="1">
      <w:lvlJc w:val="left"/>
      <w:lvlText w:val="(%2)"/>
      <w:numFmt w:val="lowerLetter"/>
      <w:start w:val="1"/>
    </w:lvl>
  </w:abstractNum>
  <w:abstractNum w:abstractNumId="77">
    <w:nsid w:val="2708C9AF"/>
    <w:multiLevelType w:val="hybridMultilevel"/>
    <w:lvl w:ilvl="0">
      <w:lvlJc w:val="left"/>
      <w:lvlText w:val="(%1)"/>
      <w:numFmt w:val="lowerRoman"/>
      <w:start w:val="1"/>
    </w:lvl>
    <w:lvl w:ilvl="1">
      <w:lvlJc w:val="left"/>
      <w:lvlText w:val="%2"/>
      <w:numFmt w:val="lowerLetter"/>
      <w:start w:val="1"/>
    </w:lvl>
  </w:abstractNum>
  <w:abstractNum w:abstractNumId="78">
    <w:nsid w:val="5B25ACE2"/>
    <w:multiLevelType w:val="hybridMultilevel"/>
    <w:lvl w:ilvl="0">
      <w:lvlJc w:val="left"/>
      <w:lvlText w:val="%1"/>
      <w:numFmt w:val="upperLetter"/>
      <w:start w:val="1"/>
    </w:lvl>
    <w:lvl w:ilvl="1">
      <w:lvlJc w:val="left"/>
      <w:lvlText w:val="(%2)"/>
      <w:numFmt w:val="lowerRoman"/>
      <w:start w:val="4"/>
    </w:lvl>
  </w:abstractNum>
  <w:abstractNum w:abstractNumId="79">
    <w:nsid w:val="175DFCF0"/>
    <w:multiLevelType w:val="hybridMultilevel"/>
    <w:lvl w:ilvl="0">
      <w:lvlJc w:val="left"/>
      <w:lvlText w:val="(%1)"/>
      <w:numFmt w:val="upperLetter"/>
      <w:start w:val="5"/>
    </w:lvl>
    <w:lvl w:ilvl="1">
      <w:lvlJc w:val="left"/>
      <w:lvlText w:val="(%2)"/>
      <w:numFmt w:val="lowerRoman"/>
      <w:start w:val="5"/>
    </w:lvl>
  </w:abstractNum>
  <w:abstractNum w:abstractNumId="80">
    <w:nsid w:val="4F97E3E4"/>
    <w:multiLevelType w:val="hybridMultilevel"/>
    <w:lvl w:ilvl="0">
      <w:lvlJc w:val="left"/>
      <w:lvlText w:val="(%1)"/>
      <w:numFmt w:val="lowerRoman"/>
      <w:start w:val="6"/>
    </w:lvl>
  </w:abstractNum>
  <w:abstractNum w:abstractNumId="81">
    <w:nsid w:val="53B0A9E"/>
    <w:multiLevelType w:val="hybridMultilevel"/>
    <w:lvl w:ilvl="0">
      <w:lvlJc w:val="left"/>
      <w:lvlText w:val="(%1)"/>
      <w:numFmt w:val="lowerRoman"/>
      <w:start w:val="12"/>
    </w:lvl>
  </w:abstractNum>
  <w:abstractNum w:abstractNumId="82">
    <w:nsid w:val="34FD6B4F"/>
    <w:multiLevelType w:val="hybridMultilevel"/>
    <w:lvl w:ilvl="0">
      <w:lvlJc w:val="left"/>
      <w:lvlText w:val="%1"/>
      <w:numFmt w:val="lowerLetter"/>
      <w:start w:val="1"/>
    </w:lvl>
    <w:lvl w:ilvl="1">
      <w:lvlJc w:val="left"/>
      <w:lvlText w:val="(%2)"/>
      <w:numFmt w:val="lowerRoman"/>
      <w:start w:val="20"/>
    </w:lvl>
  </w:abstractNum>
  <w:abstractNum w:abstractNumId="83">
    <w:nsid w:val="5915FF32"/>
    <w:multiLevelType w:val="hybridMultilevel"/>
    <w:lvl w:ilvl="0">
      <w:lvlJc w:val="left"/>
      <w:lvlText w:val="(%1)"/>
      <w:numFmt w:val="lowerLetter"/>
      <w:start w:val="20"/>
    </w:lvl>
    <w:lvl w:ilvl="1">
      <w:lvlJc w:val="left"/>
      <w:lvlText w:val="%2"/>
      <w:numFmt w:val="lowerRoman"/>
      <w:start w:val="1"/>
    </w:lvl>
  </w:abstractNum>
  <w:abstractNum w:abstractNumId="84">
    <w:nsid w:val="56438D15"/>
    <w:multiLevelType w:val="hybridMultilevel"/>
    <w:lvl w:ilvl="0">
      <w:lvlJc w:val="left"/>
      <w:lvlText w:val="(%1)"/>
      <w:numFmt w:val="lowerLetter"/>
      <w:start w:val="22"/>
    </w:lvl>
    <w:lvl w:ilvl="1">
      <w:lvlJc w:val="left"/>
      <w:lvlText w:val="(%2)"/>
      <w:numFmt w:val="lowerRoman"/>
      <w:start w:val="23"/>
    </w:lvl>
  </w:abstractNum>
  <w:abstractNum w:abstractNumId="85">
    <w:nsid w:val="519E3149"/>
    <w:multiLevelType w:val="hybridMultilevel"/>
    <w:lvl w:ilvl="0">
      <w:lvlJc w:val="left"/>
      <w:lvlText w:val="(%1)"/>
      <w:numFmt w:val="lowerRoman"/>
      <w:start w:val="24"/>
    </w:lvl>
    <w:lvl w:ilvl="1">
      <w:lvlJc w:val="left"/>
      <w:lvlText w:val="(%2)"/>
      <w:numFmt w:val="lowerLetter"/>
      <w:start w:val="2"/>
    </w:lvl>
  </w:abstractNum>
  <w:abstractNum w:abstractNumId="86">
    <w:nsid w:val="2C6E4AFD"/>
    <w:multiLevelType w:val="hybridMultilevel"/>
    <w:lvl w:ilvl="0">
      <w:lvlJc w:val="left"/>
      <w:lvlText w:val="(%1)"/>
      <w:numFmt w:val="lowerLetter"/>
      <w:start w:val="4"/>
    </w:lvl>
  </w:abstractNum>
  <w:abstractNum w:abstractNumId="87">
    <w:nsid w:val="17A1B582"/>
    <w:multiLevelType w:val="hybridMultilevel"/>
    <w:lvl w:ilvl="0">
      <w:lvlJc w:val="left"/>
      <w:lvlText w:val="(%1)"/>
      <w:numFmt w:val="lowerLetter"/>
      <w:start w:val="1"/>
    </w:lvl>
  </w:abstractNum>
  <w:abstractNum w:abstractNumId="88">
    <w:nsid w:val="4DF72E4E"/>
    <w:multiLevelType w:val="hybridMultilevel"/>
    <w:lvl w:ilvl="0">
      <w:lvlJc w:val="left"/>
      <w:lvlText w:val="(%1)"/>
      <w:numFmt w:val="lowerLetter"/>
      <w:start w:val="2"/>
    </w:lvl>
  </w:abstractNum>
  <w:abstractNum w:abstractNumId="89">
    <w:nsid w:val="5046B5A9"/>
    <w:multiLevelType w:val="hybridMultilevel"/>
    <w:lvl w:ilvl="0">
      <w:lvlJc w:val="left"/>
      <w:lvlText w:val="%1"/>
      <w:numFmt w:val="upperLetter"/>
      <w:start w:val="1"/>
    </w:lvl>
    <w:lvl w:ilvl="1">
      <w:lvlJc w:val="left"/>
      <w:lvlText w:val="(%2)"/>
      <w:numFmt w:val="lowerLetter"/>
      <w:start w:val="1"/>
    </w:lvl>
  </w:abstractNum>
  <w:abstractNum w:abstractNumId="90">
    <w:nsid w:val="5D888A08"/>
    <w:multiLevelType w:val="hybridMultilevel"/>
    <w:lvl w:ilvl="0">
      <w:lvlJc w:val="left"/>
      <w:lvlText w:val="(%1)"/>
      <w:numFmt w:val="upperLetter"/>
      <w:start w:val="2"/>
    </w:lvl>
    <w:lvl w:ilvl="1">
      <w:lvlJc w:val="left"/>
      <w:lvlText w:val="%2"/>
      <w:numFmt w:val="lowerLetter"/>
      <w:start w:val="1"/>
    </w:lvl>
  </w:abstractNum>
  <w:abstractNum w:abstractNumId="91">
    <w:nsid w:val="2A082C70"/>
    <w:multiLevelType w:val="hybridMultilevel"/>
    <w:lvl w:ilvl="0">
      <w:lvlJc w:val="left"/>
      <w:lvlText w:val="(%1)"/>
      <w:numFmt w:val="lowerLetter"/>
      <w:start w:val="2"/>
    </w:lvl>
  </w:abstractNum>
  <w:abstractNum w:abstractNumId="92">
    <w:nsid w:val="5EC6AFD4"/>
    <w:multiLevelType w:val="hybridMultilevel"/>
    <w:lvl w:ilvl="0">
      <w:lvlJc w:val="left"/>
      <w:lvlText w:val="%1"/>
      <w:numFmt w:val="upperLetter"/>
      <w:start w:val="1"/>
    </w:lvl>
    <w:lvl w:ilvl="1">
      <w:lvlJc w:val="left"/>
      <w:lvlText w:val="(%2)"/>
      <w:numFmt w:val="lowerLetter"/>
      <w:start w:val="3"/>
    </w:lvl>
  </w:abstractNum>
  <w:abstractNum w:abstractNumId="93">
    <w:nsid w:val="19E21BB2"/>
    <w:multiLevelType w:val="hybridMultilevel"/>
    <w:lvl w:ilvl="0">
      <w:lvlJc w:val="left"/>
      <w:lvlText w:val="(%1)"/>
      <w:numFmt w:val="upperLetter"/>
      <w:start w:val="5"/>
    </w:lvl>
    <w:lvl w:ilvl="1">
      <w:lvlJc w:val="left"/>
      <w:lvlText w:val="(%2)"/>
      <w:numFmt w:val="lowerLetter"/>
      <w:start w:val="4"/>
    </w:lvl>
  </w:abstractNum>
  <w:abstractNum w:abstractNumId="94">
    <w:nsid w:val="75E0858A"/>
    <w:multiLevelType w:val="hybridMultilevel"/>
    <w:lvl w:ilvl="0">
      <w:lvlJc w:val="left"/>
      <w:lvlText w:val="(%1)"/>
      <w:numFmt w:val="lowerLetter"/>
      <w:start w:val="5"/>
    </w:lvl>
  </w:abstractNum>
  <w:abstractNum w:abstractNumId="95">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96">
    <w:nsid w:val="5399C654"/>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97">
    <w:nsid w:val="20EE1348"/>
    <w:multiLevelType w:val="hybridMultilevel"/>
    <w:lvl w:ilvl="0">
      <w:lvlJc w:val="left"/>
      <w:lvlText w:val="(%1)"/>
      <w:numFmt w:val="decimal"/>
      <w:start w:val="90"/>
    </w:lvl>
  </w:abstractNum>
  <w:abstractNum w:abstractNumId="98">
    <w:nsid w:val="4427069A"/>
    <w:multiLevelType w:val="hybridMultilevel"/>
    <w:lvl w:ilvl="0">
      <w:lvlJc w:val="left"/>
      <w:lvlText w:val="(%1)"/>
      <w:numFmt w:val="lowerLetter"/>
      <w:start w:val="1"/>
    </w:lvl>
  </w:abstractNum>
  <w:abstractNum w:abstractNumId="99">
    <w:nsid w:val="B37E80A"/>
    <w:multiLevelType w:val="hybridMultilevel"/>
    <w:lvl w:ilvl="0">
      <w:lvlJc w:val="left"/>
      <w:lvlText w:val="%1."/>
      <w:numFmt w:val="decimal"/>
      <w:start w:val="1"/>
    </w:lvl>
  </w:abstractNum>
  <w:abstractNum w:abstractNumId="100">
    <w:nsid w:val="2157F6BC"/>
    <w:multiLevelType w:val="hybridMultilevel"/>
    <w:lvl w:ilvl="0">
      <w:lvlJc w:val="left"/>
      <w:lvlText w:val="1"/>
      <w:numFmt w:val="bullet"/>
      <w:start w:val="1"/>
    </w:lvl>
  </w:abstractNum>
  <w:abstractNum w:abstractNumId="101">
    <w:nsid w:val="704E1DD5"/>
    <w:multiLevelType w:val="hybridMultilevel"/>
    <w:lvl w:ilvl="0">
      <w:lvlJc w:val="left"/>
      <w:lvlText w:val="2"/>
      <w:numFmt w:val="bullet"/>
      <w:start w:val="1"/>
    </w:lvl>
  </w:abstractNum>
  <w:abstractNum w:abstractNumId="102">
    <w:nsid w:val="57D2F10E"/>
    <w:multiLevelType w:val="hybridMultilevel"/>
    <w:lvl w:ilvl="0">
      <w:lvlJc w:val="left"/>
      <w:lvlText w:val="3"/>
      <w:numFmt w:val="bullet"/>
      <w:start w:val="1"/>
    </w:lvl>
  </w:abstractNum>
  <w:abstractNum w:abstractNumId="103">
    <w:nsid w:val="BFFAE18"/>
    <w:multiLevelType w:val="hybridMultilevel"/>
    <w:lvl w:ilvl="0">
      <w:lvlJc w:val="left"/>
      <w:lvlText w:val="4"/>
      <w:numFmt w:val="bullet"/>
      <w:start w:val="1"/>
    </w:lvl>
  </w:abstractNum>
  <w:abstractNum w:abstractNumId="104">
    <w:nsid w:val="E3E47A8"/>
    <w:multiLevelType w:val="hybridMultilevel"/>
    <w:lvl w:ilvl="0">
      <w:lvlJc w:val="left"/>
      <w:lvlText w:val="5"/>
      <w:numFmt w:val="bullet"/>
      <w:start w:val="1"/>
    </w:lvl>
  </w:abstractNum>
  <w:abstractNum w:abstractNumId="105">
    <w:nsid w:val="2E48F044"/>
    <w:multiLevelType w:val="hybridMultilevel"/>
    <w:lvl w:ilvl="0">
      <w:lvlJc w:val="left"/>
      <w:lvlText w:val="%1."/>
      <w:numFmt w:val="decimal"/>
      <w:start w:val="2"/>
    </w:lvl>
    <w:lvl w:ilvl="1">
      <w:lvlJc w:val="left"/>
      <w:lvlText w:val="(%2)"/>
      <w:numFmt w:val="lowerRoman"/>
      <w:start w:val="1"/>
    </w:lvl>
  </w:abstractNum>
  <w:abstractNum w:abstractNumId="106">
    <w:nsid w:val="49D0FEAC"/>
    <w:multiLevelType w:val="hybridMultilevel"/>
    <w:lvl w:ilvl="0">
      <w:lvlJc w:val="left"/>
      <w:lvlText w:val="6"/>
      <w:numFmt w:val="bullet"/>
      <w:start w:val="1"/>
    </w:lvl>
  </w:abstractNum>
  <w:abstractNum w:abstractNumId="107">
    <w:nsid w:val="4BEE5A5B"/>
    <w:multiLevelType w:val="hybridMultilevel"/>
    <w:lvl w:ilvl="0">
      <w:lvlJc w:val="left"/>
      <w:lvlText w:val="7"/>
      <w:numFmt w:val="bullet"/>
      <w:start w:val="1"/>
    </w:lvl>
  </w:abstractNum>
  <w:abstractNum w:abstractNumId="108">
    <w:nsid w:val="5551B9F3"/>
    <w:multiLevelType w:val="hybridMultilevel"/>
    <w:lvl w:ilvl="0">
      <w:lvlJc w:val="left"/>
      <w:lvlText w:val="8"/>
      <w:numFmt w:val="bullet"/>
      <w:start w:val="1"/>
    </w:lvl>
  </w:abstractNum>
  <w:abstractNum w:abstractNumId="109">
    <w:nsid w:val="24F6AB8E"/>
    <w:multiLevelType w:val="hybridMultilevel"/>
    <w:lvl w:ilvl="0">
      <w:lvlJc w:val="left"/>
      <w:lvlText w:val="(%1)"/>
      <w:numFmt w:val="lowerLetter"/>
      <w:start w:val="1"/>
    </w:lvl>
  </w:abstractNum>
  <w:abstractNum w:abstractNumId="110">
    <w:nsid w:val="634C574C"/>
    <w:multiLevelType w:val="hybridMultilevel"/>
    <w:lvl w:ilvl="0">
      <w:lvlJc w:val="left"/>
      <w:lvlText w:val="(%1)"/>
      <w:numFmt w:val="lowerLetter"/>
      <w:start w:val="2"/>
    </w:lvl>
    <w:lvl w:ilvl="1">
      <w:lvlJc w:val="left"/>
      <w:lvlText w:val="(%2)"/>
      <w:numFmt w:val="lowerRoman"/>
      <w:start w:val="1"/>
    </w:lvl>
  </w:abstractNum>
  <w:abstractNum w:abstractNumId="111">
    <w:nsid w:val="24E99DD7"/>
    <w:multiLevelType w:val="hybridMultilevel"/>
    <w:lvl w:ilvl="0">
      <w:lvlJc w:val="left"/>
      <w:lvlText w:val="%1"/>
      <w:numFmt w:val="lowerLetter"/>
      <w:start w:val="1"/>
    </w:lvl>
    <w:lvl w:ilvl="1">
      <w:lvlJc w:val="left"/>
      <w:lvlText w:val="(%2)"/>
      <w:numFmt w:val="lowerRoman"/>
      <w:start w:val="4"/>
    </w:lvl>
  </w:abstractNum>
  <w:abstractNum w:abstractNumId="112">
    <w:nsid w:val="2A31B62D"/>
    <w:multiLevelType w:val="hybridMultilevel"/>
    <w:lvl w:ilvl="0">
      <w:lvlJc w:val="left"/>
      <w:lvlText w:val="(%1)"/>
      <w:numFmt w:val="lowerLetter"/>
      <w:start w:val="4"/>
    </w:lvl>
    <w:lvl w:ilvl="1">
      <w:lvlJc w:val="left"/>
      <w:lvlText w:val="%2"/>
      <w:numFmt w:val="lowerRoman"/>
      <w:start w:val="1"/>
    </w:lvl>
  </w:abstractNum>
  <w:abstractNum w:abstractNumId="113">
    <w:nsid w:val="1849C29B"/>
    <w:multiLevelType w:val="hybridMultilevel"/>
    <w:lvl w:ilvl="0">
      <w:lvlJc w:val="left"/>
      <w:lvlText w:val="(%1)"/>
      <w:numFmt w:val="lowerLetter"/>
      <w:start w:val="9"/>
    </w:lvl>
    <w:lvl w:ilvl="1">
      <w:lvlJc w:val="left"/>
      <w:lvlText w:val="(%2)"/>
      <w:numFmt w:val="lowerLetter"/>
      <w:start w:val="10"/>
    </w:lvl>
  </w:abstractNum>
  <w:abstractNum w:abstractNumId="114">
    <w:nsid w:val="7DFF9D09"/>
    <w:multiLevelType w:val="hybridMultilevel"/>
    <w:lvl w:ilvl="0">
      <w:lvlJc w:val="left"/>
      <w:lvlText w:val="(%1)"/>
      <w:numFmt w:val="lowerLetter"/>
      <w:start w:val="14"/>
    </w:lvl>
  </w:abstractNum>
  <w:abstractNum w:abstractNumId="115">
    <w:nsid w:val="754342"/>
    <w:multiLevelType w:val="hybridMultilevel"/>
    <w:lvl w:ilvl="0">
      <w:lvlJc w:val="left"/>
      <w:lvlText w:val="(%1)"/>
      <w:numFmt w:val="lowerLetter"/>
      <w:start w:val="1"/>
    </w:lvl>
    <w:lvl w:ilvl="1">
      <w:lvlJc w:val="left"/>
      <w:lvlText w:val="(%2)"/>
      <w:numFmt w:val="lowerRoman"/>
      <w:start w:val="1"/>
    </w:lvl>
  </w:abstractNum>
  <w:abstractNum w:abstractNumId="116">
    <w:nsid w:val="69E7F3E5"/>
    <w:multiLevelType w:val="hybridMultilevel"/>
    <w:lvl w:ilvl="0">
      <w:lvlJc w:val="left"/>
      <w:lvlText w:val="(%1)"/>
      <w:numFmt w:val="lowerLetter"/>
      <w:start w:val="1"/>
    </w:lvl>
  </w:abstractNum>
  <w:abstractNum w:abstractNumId="117">
    <w:nsid w:val="2A6DE806"/>
    <w:multiLevelType w:val="hybridMultilevel"/>
    <w:lvl w:ilvl="0">
      <w:lvlJc w:val="left"/>
      <w:lvlText w:val="(%1)"/>
      <w:numFmt w:val="lowerLetter"/>
      <w:start w:val="3"/>
    </w:lvl>
  </w:abstractNum>
  <w:abstractNum w:abstractNumId="118">
    <w:nsid w:val="1816F8C4"/>
    <w:multiLevelType w:val="hybridMultilevel"/>
    <w:lvl w:ilvl="0">
      <w:lvlJc w:val="left"/>
      <w:lvlText w:val="(%1)"/>
      <w:numFmt w:val="lowerLetter"/>
      <w:start w:val="1"/>
    </w:lvl>
  </w:abstractNum>
  <w:abstractNum w:abstractNumId="119">
    <w:nsid w:val="37DF2233"/>
    <w:multiLevelType w:val="hybridMultilevel"/>
    <w:lvl w:ilvl="0">
      <w:lvlJc w:val="left"/>
      <w:lvlText w:val="%1"/>
      <w:numFmt w:val="lowerLetter"/>
      <w:start w:val="1"/>
    </w:lvl>
    <w:lvl w:ilvl="1">
      <w:lvlJc w:val="left"/>
      <w:lvlText w:val="(%2)"/>
      <w:numFmt w:val="lowerLetter"/>
      <w:start w:val="3"/>
    </w:lvl>
  </w:abstractNum>
  <w:abstractNum w:abstractNumId="120">
    <w:nsid w:val="7AB49DAF"/>
    <w:multiLevelType w:val="hybridMultilevel"/>
    <w:lvl w:ilvl="0">
      <w:lvlJc w:val="left"/>
      <w:lvlText w:val="(%1)"/>
      <w:numFmt w:val="lowerLetter"/>
      <w:start w:val="35"/>
    </w:lvl>
    <w:lvl w:ilvl="1">
      <w:lvlJc w:val="left"/>
      <w:lvlText w:val="(%2)"/>
      <w:numFmt w:val="lowerLetter"/>
      <w:start w:val="4"/>
    </w:lvl>
  </w:abstractNum>
  <w:abstractNum w:abstractNumId="121">
    <w:nsid w:val="759F82CD"/>
    <w:multiLevelType w:val="hybridMultilevel"/>
    <w:lvl w:ilvl="0">
      <w:lvlJc w:val="left"/>
      <w:lvlText w:val="(%1)"/>
      <w:numFmt w:val="lowerLetter"/>
      <w:start w:val="1"/>
    </w:lvl>
  </w:abstractNum>
  <w:abstractNum w:abstractNumId="122">
    <w:nsid w:val="61E74EA3"/>
    <w:multiLevelType w:val="hybridMultilevel"/>
    <w:lvl w:ilvl="0">
      <w:lvlJc w:val="left"/>
      <w:lvlText w:val="(%1)"/>
      <w:numFmt w:val="lowerLetter"/>
      <w:start w:val="1"/>
    </w:lvl>
  </w:abstractNum>
  <w:abstractNum w:abstractNumId="123">
    <w:nsid w:val="597B4D84"/>
    <w:multiLevelType w:val="hybridMultilevel"/>
    <w:lvl w:ilvl="0">
      <w:lvlJc w:val="left"/>
      <w:lvlText w:val="(%1)"/>
      <w:numFmt w:val="lowerLetter"/>
      <w:start w:val="2"/>
    </w:lvl>
  </w:abstractNum>
  <w:abstractNum w:abstractNumId="124">
    <w:nsid w:val="F819E7F"/>
    <w:multiLevelType w:val="hybridMultilevel"/>
    <w:lvl w:ilvl="0">
      <w:lvlJc w:val="left"/>
      <w:lvlText w:val="(%1)"/>
      <w:numFmt w:val="lowerLetter"/>
      <w:start w:val="1"/>
    </w:lvl>
  </w:abstractNum>
  <w:abstractNum w:abstractNumId="125">
    <w:nsid w:val="57C7D42D"/>
    <w:multiLevelType w:val="hybridMultilevel"/>
    <w:lvl w:ilvl="0">
      <w:lvlJc w:val="left"/>
      <w:lvlText w:val="(%1)"/>
      <w:numFmt w:val="lowerLetter"/>
      <w:start w:val="4"/>
    </w:lvl>
  </w:abstractNum>
  <w:abstractNum w:abstractNumId="126">
    <w:nsid w:val="312167AD"/>
    <w:multiLevelType w:val="hybridMultilevel"/>
    <w:lvl w:ilvl="0">
      <w:lvlJc w:val="left"/>
      <w:lvlText w:val="(%1)"/>
      <w:numFmt w:val="lowerLetter"/>
      <w:start w:val="1"/>
    </w:lvl>
  </w:abstractNum>
  <w:abstractNum w:abstractNumId="127">
    <w:nsid w:val="631B64D4"/>
    <w:multiLevelType w:val="hybridMultilevel"/>
    <w:lvl w:ilvl="0">
      <w:lvlJc w:val="left"/>
      <w:lvlText w:val="(%1)"/>
      <w:numFmt w:val="lowerLetter"/>
      <w:start w:val="3"/>
    </w:lvl>
  </w:abstractNum>
  <w:abstractNum w:abstractNumId="128">
    <w:nsid w:val="78B5E776"/>
    <w:multiLevelType w:val="hybridMultilevel"/>
    <w:lvl w:ilvl="0">
      <w:lvlJc w:val="left"/>
      <w:lvlText w:val="%1"/>
      <w:numFmt w:val="lowerLetter"/>
      <w:start w:val="1"/>
    </w:lvl>
    <w:lvl w:ilvl="1">
      <w:lvlJc w:val="left"/>
      <w:lvlText w:val="(%2)"/>
      <w:numFmt w:val="lowerLetter"/>
      <w:start w:val="1"/>
    </w:lvl>
  </w:abstractNum>
  <w:abstractNum w:abstractNumId="129">
    <w:nsid w:val="75486E47"/>
    <w:multiLevelType w:val="hybridMultilevel"/>
    <w:lvl w:ilvl="0">
      <w:lvlJc w:val="left"/>
      <w:lvlText w:val="(%1)"/>
      <w:numFmt w:val="lowerLetter"/>
      <w:start w:val="35"/>
    </w:lvl>
    <w:lvl w:ilvl="1">
      <w:lvlJc w:val="left"/>
      <w:lvlText w:val="%2"/>
      <w:numFmt w:val="lowerLetter"/>
      <w:start w:val="1"/>
    </w:lvl>
  </w:abstractNum>
  <w:abstractNum w:abstractNumId="130">
    <w:nsid w:val="6E534CDE"/>
    <w:multiLevelType w:val="hybridMultilevel"/>
    <w:lvl w:ilvl="0">
      <w:lvlJc w:val="left"/>
      <w:lvlText w:val="(%1)"/>
      <w:numFmt w:val="lowerLetter"/>
      <w:start w:val="2"/>
    </w:lvl>
  </w:abstractNum>
  <w:abstractNum w:abstractNumId="131">
    <w:nsid w:val="1A0DDE32"/>
    <w:multiLevelType w:val="hybridMultilevel"/>
    <w:lvl w:ilvl="0">
      <w:lvlJc w:val="left"/>
      <w:lvlText w:val="(%1)"/>
      <w:numFmt w:val="lowerLetter"/>
      <w:start w:val="6"/>
    </w:lvl>
  </w:abstractNum>
  <w:abstractNum w:abstractNumId="132">
    <w:nsid w:val="65968C1C"/>
    <w:multiLevelType w:val="hybridMultilevel"/>
    <w:lvl w:ilvl="0">
      <w:lvlJc w:val="left"/>
      <w:lvlText w:val="(%1)"/>
      <w:numFmt w:val="lowerLetter"/>
      <w:start w:val="1"/>
    </w:lvl>
  </w:abstractNum>
  <w:abstractNum w:abstractNumId="133">
    <w:nsid w:val="46263DEC"/>
    <w:multiLevelType w:val="hybridMultilevel"/>
    <w:lvl w:ilvl="0">
      <w:lvlJc w:val="left"/>
      <w:lvlText w:val="(%1)"/>
      <w:numFmt w:val="lowerLetter"/>
      <w:start w:val="35"/>
    </w:lvl>
    <w:lvl w:ilvl="1">
      <w:lvlJc w:val="left"/>
      <w:lvlText w:val="(%2)"/>
      <w:numFmt w:val="lowerLetter"/>
      <w:start w:val="1"/>
    </w:lvl>
  </w:abstractNum>
  <w:abstractNum w:abstractNumId="134">
    <w:nsid w:val="260D8C4A"/>
    <w:multiLevelType w:val="hybridMultilevel"/>
    <w:lvl w:ilvl="0">
      <w:lvlJc w:val="left"/>
      <w:lvlText w:val="(%1)"/>
      <w:numFmt w:val="lowerRoman"/>
      <w:start w:val="1"/>
    </w:lvl>
  </w:abstractNum>
  <w:abstractNum w:abstractNumId="135">
    <w:nsid w:val="73D4D3C4"/>
    <w:multiLevelType w:val="hybridMultilevel"/>
    <w:lvl w:ilvl="0">
      <w:lvlJc w:val="left"/>
      <w:lvlText w:val="(%1)"/>
      <w:numFmt w:val="lowerRoman"/>
      <w:start w:val="1"/>
    </w:lvl>
  </w:abstractNum>
  <w:abstractNum w:abstractNumId="136">
    <w:nsid w:val="746F2E30"/>
    <w:multiLevelType w:val="hybridMultilevel"/>
    <w:lvl w:ilvl="0">
      <w:lvlJc w:val="left"/>
      <w:lvlText w:val="(%1)"/>
      <w:numFmt w:val="lowerLetter"/>
      <w:start w:val="1"/>
    </w:lvl>
  </w:abstractNum>
  <w:abstractNum w:abstractNumId="137">
    <w:nsid w:val="6FDE8AF6"/>
    <w:multiLevelType w:val="hybridMultilevel"/>
    <w:lvl w:ilvl="0">
      <w:lvlJc w:val="left"/>
      <w:lvlText w:val="(%1)"/>
      <w:numFmt w:val="lowerLetter"/>
      <w:start w:val="1"/>
    </w:lvl>
  </w:abstractNum>
  <w:abstractNum w:abstractNumId="138">
    <w:nsid w:val="3FC32E20"/>
    <w:multiLevelType w:val="hybridMultilevel"/>
    <w:lvl w:ilvl="0">
      <w:lvlJc w:val="left"/>
      <w:lvlText w:val="(%1)"/>
      <w:numFmt w:val="lowerRoman"/>
      <w:start w:val="2"/>
    </w:lvl>
  </w:abstractNum>
  <w:abstractNum w:abstractNumId="139">
    <w:nsid w:val="49C0E823"/>
    <w:multiLevelType w:val="hybridMultilevel"/>
    <w:lvl w:ilvl="0">
      <w:lvlJc w:val="left"/>
      <w:lvlText w:val="(%1)"/>
      <w:numFmt w:val="lowerLetter"/>
      <w:start w:val="3"/>
    </w:lvl>
    <w:lvl w:ilvl="1">
      <w:lvlJc w:val="left"/>
      <w:lvlText w:val="(%2)"/>
      <w:numFmt w:val="lowerLetter"/>
      <w:start w:val="9"/>
    </w:lvl>
  </w:abstractNum>
  <w:abstractNum w:abstractNumId="140">
    <w:nsid w:val="14D53685"/>
    <w:multiLevelType w:val="hybridMultilevel"/>
    <w:lvl w:ilvl="0">
      <w:lvlJc w:val="left"/>
      <w:lvlText w:val="(%1)"/>
      <w:numFmt w:val="lowerRoman"/>
      <w:start w:val="2"/>
    </w:lvl>
  </w:abstractNum>
  <w:abstractNum w:abstractNumId="141">
    <w:nsid w:val="230F856C"/>
    <w:multiLevelType w:val="hybridMultilevel"/>
    <w:lvl w:ilvl="0">
      <w:lvlJc w:val="left"/>
      <w:lvlText w:val="%1"/>
      <w:numFmt w:val="lowerLetter"/>
      <w:start w:val="1"/>
    </w:lvl>
    <w:lvl w:ilvl="1">
      <w:lvlJc w:val="left"/>
      <w:lvlText w:val="(%2)"/>
      <w:numFmt w:val="lowerRoman"/>
      <w:start w:val="3"/>
    </w:lvl>
  </w:abstractNum>
  <w:abstractNum w:abstractNumId="142">
    <w:nsid w:val="6EAA85FB"/>
    <w:multiLevelType w:val="hybridMultilevel"/>
    <w:lvl w:ilvl="0">
      <w:lvlJc w:val="left"/>
      <w:lvlText w:val="(%1)"/>
      <w:numFmt w:val="lowerLetter"/>
      <w:start w:val="4"/>
    </w:lvl>
    <w:lvl w:ilvl="1">
      <w:lvlJc w:val="left"/>
      <w:lvlText w:val="%2"/>
      <w:numFmt w:val="lowerRoman"/>
      <w:start w:val="1"/>
    </w:lvl>
  </w:abstractNum>
  <w:abstractNum w:abstractNumId="143">
    <w:nsid w:val="3F06ECB2"/>
    <w:multiLevelType w:val="hybridMultilevel"/>
    <w:lvl w:ilvl="0">
      <w:lvlJc w:val="left"/>
      <w:lvlText w:val="(%1)"/>
      <w:numFmt w:val="lowerLetter"/>
      <w:start w:val="6"/>
    </w:lvl>
    <w:lvl w:ilvl="1">
      <w:lvlJc w:val="left"/>
      <w:lvlText w:val="(%2)"/>
      <w:numFmt w:val="lowerRoman"/>
      <w:start w:val="1"/>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lowerLetter"/>
      <w:start w:val="2"/>
    </w:lvl>
    <w:lvl w:ilvl="1">
      <w:lvlJc w:val="left"/>
      <w:lvlText w:val="(%2)"/>
      <w:numFmt w:val="lowerRoman"/>
      <w:start w:val="1"/>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1"/>
    </w:lvl>
    <w:lvl w:ilvl="1">
      <w:lvlJc w:val="left"/>
      <w:lvlText w:val="(%2)"/>
      <w:numFmt w:val="lowerRoman"/>
      <w:start w:val="1"/>
    </w:lvl>
  </w:abstractNum>
  <w:abstractNum w:abstractNumId="148">
    <w:nsid w:val="17180B0B"/>
    <w:multiLevelType w:val="hybridMultilevel"/>
    <w:lvl w:ilvl="0">
      <w:lvlJc w:val="left"/>
      <w:lvlText w:val="(%1)"/>
      <w:numFmt w:val="lowerLetter"/>
      <w:start w:val="2"/>
    </w:lvl>
    <w:lvl w:ilvl="1">
      <w:lvlJc w:val="left"/>
      <w:lvlText w:val="%2"/>
      <w:numFmt w:val="lowerRoman"/>
      <w:start w:val="1"/>
    </w:lvl>
  </w:abstractNum>
  <w:abstractNum w:abstractNumId="149">
    <w:nsid w:val="579328B9"/>
    <w:multiLevelType w:val="hybridMultilevel"/>
    <w:lvl w:ilvl="0">
      <w:lvlJc w:val="left"/>
      <w:lvlText w:val="(%1)"/>
      <w:numFmt w:val="lowerLetter"/>
      <w:start w:val="1"/>
    </w:lvl>
  </w:abstractNum>
  <w:abstractNum w:abstractNumId="150">
    <w:nsid w:val="5D205E20"/>
    <w:multiLevelType w:val="hybridMultilevel"/>
    <w:lvl w:ilvl="0">
      <w:lvlJc w:val="left"/>
      <w:lvlText w:val="(%1)"/>
      <w:numFmt w:val="lowerLetter"/>
      <w:start w:val="1"/>
    </w:lvl>
  </w:abstractNum>
  <w:abstractNum w:abstractNumId="151">
    <w:nsid w:val="11CCA8BA"/>
    <w:multiLevelType w:val="hybridMultilevel"/>
    <w:lvl w:ilvl="0">
      <w:lvlJc w:val="left"/>
      <w:lvlText w:val="(%1)"/>
      <w:numFmt w:val="lowerLetter"/>
      <w:start w:val="2"/>
    </w:lvl>
  </w:abstractNum>
  <w:abstractNum w:abstractNumId="152">
    <w:nsid w:val="4D32AB86"/>
    <w:multiLevelType w:val="hybridMultilevel"/>
    <w:lvl w:ilvl="0">
      <w:lvlJc w:val="left"/>
      <w:lvlText w:val="(%1)"/>
      <w:numFmt w:val="lowerLetter"/>
      <w:start w:val="1"/>
    </w:lvl>
    <w:lvl w:ilvl="1">
      <w:lvlJc w:val="left"/>
      <w:lvlText w:val="(%2)"/>
      <w:numFmt w:val="lowerRoman"/>
      <w:start w:val="1"/>
    </w:lvl>
  </w:abstractNum>
  <w:abstractNum w:abstractNumId="153">
    <w:nsid w:val="3F07ACC3"/>
    <w:multiLevelType w:val="hybridMultilevel"/>
    <w:lvl w:ilvl="0">
      <w:lvlJc w:val="left"/>
      <w:lvlText w:val="(%1)"/>
      <w:numFmt w:val="lowerLetter"/>
      <w:start w:val="1"/>
    </w:lvl>
  </w:abstractNum>
  <w:abstractNum w:abstractNumId="154">
    <w:nsid w:val="6B47F63E"/>
    <w:multiLevelType w:val="hybridMultilevel"/>
    <w:lvl w:ilvl="0">
      <w:lvlJc w:val="left"/>
      <w:lvlText w:val="(%1)"/>
      <w:numFmt w:val="lowerLetter"/>
      <w:start w:val="6"/>
    </w:lvl>
  </w:abstractNum>
  <w:abstractNum w:abstractNumId="155">
    <w:nsid w:val="5CB44A05"/>
    <w:multiLevelType w:val="hybridMultilevel"/>
    <w:lvl w:ilvl="0">
      <w:lvlJc w:val="left"/>
      <w:lvlText w:val="(%1)"/>
      <w:numFmt w:val="lowerLetter"/>
      <w:start w:val="1"/>
    </w:lvl>
  </w:abstractNum>
  <w:abstractNum w:abstractNumId="156">
    <w:nsid w:val="16CF80F1"/>
    <w:multiLevelType w:val="hybridMultilevel"/>
    <w:lvl w:ilvl="0">
      <w:lvlJc w:val="left"/>
      <w:lvlText w:val="(%1)"/>
      <w:numFmt w:val="lowerLetter"/>
      <w:start w:val="2"/>
    </w:lvl>
  </w:abstractNum>
  <w:abstractNum w:abstractNumId="157">
    <w:nsid w:val="1C695DEC"/>
    <w:multiLevelType w:val="hybridMultilevel"/>
    <w:lvl w:ilvl="0">
      <w:lvlJc w:val="left"/>
      <w:lvlText w:val="(%1)"/>
      <w:numFmt w:val="lowerLetter"/>
      <w:start w:val="1"/>
    </w:lvl>
  </w:abstractNum>
  <w:abstractNum w:abstractNumId="158">
    <w:nsid w:val="3FCFAED9"/>
    <w:multiLevelType w:val="hybridMultilevel"/>
    <w:lvl w:ilvl="0">
      <w:lvlJc w:val="left"/>
      <w:lvlText w:val="(%1)"/>
      <w:numFmt w:val="lowerLetter"/>
      <w:start w:val="2"/>
    </w:lvl>
  </w:abstractNum>
  <w:abstractNum w:abstractNumId="159">
    <w:nsid w:val="F856867"/>
    <w:multiLevelType w:val="hybridMultilevel"/>
    <w:lvl w:ilvl="0">
      <w:lvlJc w:val="left"/>
      <w:lvlText w:val="%1"/>
      <w:numFmt w:val="lowerLetter"/>
      <w:start w:val="1"/>
    </w:lvl>
    <w:lvl w:ilvl="1">
      <w:lvlJc w:val="left"/>
      <w:lvlText w:val="(%2)"/>
      <w:numFmt w:val="lowerLetter"/>
      <w:start w:val="1"/>
    </w:lvl>
  </w:abstractNum>
  <w:abstractNum w:abstractNumId="160">
    <w:nsid w:val="11B1CC33"/>
    <w:multiLevelType w:val="hybridMultilevel"/>
    <w:lvl w:ilvl="0">
      <w:lvlJc w:val="left"/>
      <w:lvlText w:val="(%1)"/>
      <w:numFmt w:val="lowerLetter"/>
      <w:start w:val="9"/>
    </w:lvl>
    <w:lvl w:ilvl="1">
      <w:lvlJc w:val="left"/>
      <w:lvlText w:val="(%2)"/>
      <w:numFmt w:val="lowerLetter"/>
      <w:start w:val="3"/>
    </w:lvl>
  </w:abstractNum>
  <w:abstractNum w:abstractNumId="161">
    <w:nsid w:val="2E22FBB7"/>
    <w:multiLevelType w:val="hybridMultilevel"/>
    <w:lvl w:ilvl="0">
      <w:lvlJc w:val="left"/>
      <w:lvlText w:val="(%1)"/>
      <w:numFmt w:val="lowerLetter"/>
      <w:start w:val="35"/>
    </w:lvl>
    <w:lvl w:ilvl="1">
      <w:lvlJc w:val="left"/>
      <w:lvlText w:val="(%2)"/>
      <w:numFmt w:val="lowerLetter"/>
      <w:start w:val="4"/>
    </w:lvl>
  </w:abstractNum>
  <w:abstractNum w:abstractNumId="162">
    <w:nsid w:val="29934699"/>
    <w:multiLevelType w:val="hybridMultilevel"/>
    <w:lvl w:ilvl="0">
      <w:lvlJc w:val="left"/>
      <w:lvlText w:val="(%1)"/>
      <w:numFmt w:val="lowerLetter"/>
      <w:start w:val="1"/>
    </w:lvl>
  </w:abstractNum>
  <w:abstractNum w:abstractNumId="163">
    <w:nsid w:val="77485850"/>
    <w:multiLevelType w:val="hybridMultilevel"/>
    <w:lvl w:ilvl="0">
      <w:lvlJc w:val="left"/>
      <w:lvlText w:val="(%1)"/>
      <w:numFmt w:val="lowerLetter"/>
      <w:start w:val="1"/>
    </w:lvl>
  </w:abstractNum>
  <w:abstractNum w:abstractNumId="164">
    <w:nsid w:val="744939A3"/>
    <w:multiLevelType w:val="hybridMultilevel"/>
    <w:lvl w:ilvl="0">
      <w:lvlJc w:val="left"/>
      <w:lvlText w:val="(%1)"/>
      <w:numFmt w:val="lowerLetter"/>
      <w:start w:val="2"/>
    </w:lvl>
  </w:abstractNum>
  <w:abstractNum w:abstractNumId="165">
    <w:nsid w:val="4FA0D2E3"/>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1" Type="http://schemas.openxmlformats.org/officeDocument/2006/relationships/image" Target="media/image17.png"/><Relationship Id="rId50"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 Type="http://schemas.openxmlformats.org/officeDocument/2006/relationships/hyperlink" Target="http://www.sec.gov/Archives/edgar/data/1822479/000119312520275568/d93452dex43.htm" TargetMode="External"/><Relationship Id="rId25" Type="http://schemas.openxmlformats.org/officeDocument/2006/relationships/hyperlink" Target="http://www.sec.gov/Archives/edgar/data/1822479/000119312520275568/d93452dex44.htm" TargetMode="External"/><Relationship Id="rId26" Type="http://schemas.openxmlformats.org/officeDocument/2006/relationships/hyperlink" Target="http://www.sec.gov/Archives/edgar/data/1822479/000119312520275568/d93452dex47.htm" TargetMode="External"/><Relationship Id="rId27" Type="http://schemas.openxmlformats.org/officeDocument/2006/relationships/hyperlink" Target="http://www.sec.gov/Archives/edgar/data/1822479/000119312520275568/d93452dex48.htm" TargetMode="External"/><Relationship Id="rId28" Type="http://schemas.openxmlformats.org/officeDocument/2006/relationships/hyperlink" Target="http://www.sec.gov/Archives/edgar/data/1822479/000119312520275568/d93452dex1010.htm" TargetMode="External"/><Relationship Id="rId29" Type="http://schemas.openxmlformats.org/officeDocument/2006/relationships/hyperlink" Target="http://www.sec.gov/Archives/edgar/data/1822479/000119312520275568/d93452dex1011.htm" TargetMode="External"/><Relationship Id="rId30" Type="http://schemas.openxmlformats.org/officeDocument/2006/relationships/hyperlink" Target="http://www.sec.gov/Archives/edgar/data/1822479/000119312520275568/d93452dex1012.htm" TargetMode="External"/><Relationship Id="rId32" Type="http://schemas.openxmlformats.org/officeDocument/2006/relationships/hyperlink" Target="http://www.sec.gov/Archives/edgar/data/1822479/000119312520275568/d93452dex1013.htm" TargetMode="External"/><Relationship Id="rId33" Type="http://schemas.openxmlformats.org/officeDocument/2006/relationships/hyperlink" Target="http://www.sec.gov/Archives/edgar/data/1822479/000119312520275568/d93452dex1014.htm" TargetMode="External"/><Relationship Id="rId34" Type="http://schemas.openxmlformats.org/officeDocument/2006/relationships/hyperlink" Target="http://www.sec.gov/Archives/edgar/data/1822479/000119312520275568/d93452dex1015.htm" TargetMode="External"/><Relationship Id="rId35" Type="http://schemas.openxmlformats.org/officeDocument/2006/relationships/hyperlink" Target="http://www.sec.gov/Archives/edgar/data/1822479/000119312520275568/d93452dex1016.htm" TargetMode="External"/><Relationship Id="rId36" Type="http://schemas.openxmlformats.org/officeDocument/2006/relationships/hyperlink" Target="http://www.sec.gov/Archives/edgar/data/1822479/000119312520275568/d93452dex1017.htm" TargetMode="External"/><Relationship Id="rId37" Type="http://schemas.openxmlformats.org/officeDocument/2006/relationships/hyperlink" Target="http://www.sec.gov/Archives/edgar/data/1822479/000119312520275568/d93452dex1018.htm" TargetMode="External"/><Relationship Id="rId38" Type="http://schemas.openxmlformats.org/officeDocument/2006/relationships/hyperlink" Target="http://www.sec.gov/Archives/edgar/data/1822479/000119312520275568/d93452dex1019.htm" TargetMode="External"/><Relationship Id="rId39" Type="http://schemas.openxmlformats.org/officeDocument/2006/relationships/hyperlink" Target="http://www.sec.gov/Archives/edgar/data/1822479/000119312520275568/d93452dex1020.htm" TargetMode="External"/><Relationship Id="rId40" Type="http://schemas.openxmlformats.org/officeDocument/2006/relationships/hyperlink" Target="http://www.sec.gov/Archives/edgar/data/1822479/000119312520275568/d93452dex1021.htm" TargetMode="External"/><Relationship Id="rId41" Type="http://schemas.openxmlformats.org/officeDocument/2006/relationships/hyperlink" Target="http://www.sec.gov/Archives/edgar/data/1822479/000119312520275568/d93452dex1022.htm" TargetMode="External"/><Relationship Id="rId42" Type="http://schemas.openxmlformats.org/officeDocument/2006/relationships/hyperlink" Target="http://www.sec.gov/Archives/edgar/data/1822479/000119312520275568/d93452dex1023.htm" TargetMode="External"/><Relationship Id="rId43" Type="http://schemas.openxmlformats.org/officeDocument/2006/relationships/hyperlink" Target="http://www.sec.gov/Archives/edgar/data/1822479/000119312520275568/d93452dex1024.htm" TargetMode="External"/><Relationship Id="rId44" Type="http://schemas.openxmlformats.org/officeDocument/2006/relationships/hyperlink" Target="http://www.sec.gov/Archives/edgar/data/1822479/000119312520275568/d93452dex1025.htm" TargetMode="External"/><Relationship Id="rId45" Type="http://schemas.openxmlformats.org/officeDocument/2006/relationships/hyperlink" Target="http://www.sec.gov/Archives/edgar/data/1822479/000119312520275568/d93452dex1026.htm" TargetMode="External"/><Relationship Id="rId46" Type="http://schemas.openxmlformats.org/officeDocument/2006/relationships/hyperlink" Target="http://www.sec.gov/Archives/edgar/data/1822479/000119312520275568/d93452dex1027.htm" TargetMode="External"/><Relationship Id="rId47" Type="http://schemas.openxmlformats.org/officeDocument/2006/relationships/hyperlink" Target="http://www.sec.gov/Archives/edgar/data/1822479/000119312520275568/d93452dex1028.htm" TargetMode="External"/><Relationship Id="rId48" Type="http://schemas.openxmlformats.org/officeDocument/2006/relationships/hyperlink" Target="http://www.sec.gov/Archives/edgar/data/1822479/000119312520275568/d93452dex1029.htm" TargetMode="External"/><Relationship Id="rId49" Type="http://schemas.openxmlformats.org/officeDocument/2006/relationships/hyperlink" Target="http://www.sec.gov/Archives/edgar/data/1822479/000119312520275568/d93452dex1030.htm" TargetMode="External"/><Relationship Id="rId51" Type="http://schemas.openxmlformats.org/officeDocument/2006/relationships/hyperlink" Target="http://www.sec.gov/Archives/edgar/data/1822479/000119312520275568/d93452dex232.htm" TargetMode="External"/><Relationship Id="rId52" Type="http://schemas.openxmlformats.org/officeDocument/2006/relationships/hyperlink" Target="http://www.sec.gov/Archives/edgar/data/1822479/000119312520275568/d93452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2020-11-02T16:27:34Z</dcterms:created>
  <dcterms:modified xsi:type="dcterms:W3CDTF">2020-11-02T16:27:34Z</dcterms:modified>
</cp:coreProperties>
</file>