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577215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603250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0"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22"/>
          <w:szCs w:val="22"/>
          <w:color w:val="auto"/>
        </w:rPr>
        <w:t>_______________________</w:t>
      </w:r>
    </w:p>
    <w:p>
      <w:pPr>
        <w:spacing w:after="0" w:line="1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8-K/A</w:t>
      </w:r>
    </w:p>
    <w:p>
      <w:pPr>
        <w:spacing w:after="0" w:line="54"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22"/>
          <w:szCs w:val="22"/>
          <w:color w:val="auto"/>
        </w:rPr>
        <w:t>_______________________</w:t>
      </w:r>
    </w:p>
    <w:p>
      <w:pPr>
        <w:spacing w:after="0" w:line="16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6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May 2, 2024</w:t>
      </w:r>
    </w:p>
    <w:p>
      <w:pPr>
        <w:spacing w:after="0" w:line="32"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22"/>
          <w:szCs w:val="22"/>
          <w:color w:val="auto"/>
        </w:rPr>
        <w:t>_______________________</w:t>
      </w:r>
    </w:p>
    <w:p>
      <w:pPr>
        <w:spacing w:after="0" w:line="1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SOTERA HEALTH COMPANY</w:t>
      </w:r>
    </w:p>
    <w:p>
      <w:pPr>
        <w:spacing w:after="0" w:line="7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pacing w:after="0" w:line="7"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22"/>
          <w:szCs w:val="22"/>
          <w:color w:val="auto"/>
        </w:rPr>
        <w:t>_______________________</w:t>
      </w:r>
    </w:p>
    <w:p>
      <w:pPr>
        <w:sectPr>
          <w:pgSz w:w="11900" w:h="16838" w:orient="portrait"/>
          <w:cols w:equalWidth="0" w:num="1">
            <w:col w:w="11240"/>
          </w:cols>
          <w:pgMar w:left="320" w:top="1159" w:right="339" w:bottom="1440" w:gutter="0" w:footer="0" w:header="0"/>
        </w:sectPr>
      </w:pPr>
    </w:p>
    <w:p>
      <w:pPr>
        <w:spacing w:after="0" w:line="35" w:lineRule="exact"/>
        <w:rPr>
          <w:sz w:val="24"/>
          <w:szCs w:val="24"/>
          <w:color w:val="auto"/>
        </w:rPr>
      </w:pPr>
    </w:p>
    <w:p>
      <w:pPr>
        <w:ind w:left="146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0" w:lineRule="exact"/>
        <w:rPr>
          <w:sz w:val="24"/>
          <w:szCs w:val="24"/>
          <w:color w:val="auto"/>
        </w:rPr>
      </w:pPr>
      <w:r>
        <w:rPr>
          <w:sz w:val="24"/>
          <w:szCs w:val="24"/>
          <w:color w:val="auto"/>
        </w:rPr>
        <w:br w:type="column"/>
      </w:r>
    </w:p>
    <w:p>
      <w:pPr>
        <w:spacing w:after="0" w:line="15" w:lineRule="exact"/>
        <w:rPr>
          <w:sz w:val="24"/>
          <w:szCs w:val="24"/>
          <w:color w:val="auto"/>
        </w:rPr>
      </w:pPr>
    </w:p>
    <w:p>
      <w:pPr>
        <w:jc w:val="center"/>
        <w:ind w:right="2260"/>
        <w:spacing w:after="0"/>
        <w:rPr>
          <w:sz w:val="20"/>
          <w:szCs w:val="20"/>
          <w:color w:val="auto"/>
        </w:rPr>
      </w:pPr>
      <w:r>
        <w:rPr>
          <w:rFonts w:ascii="Times New Roman" w:cs="Times New Roman" w:eastAsia="Times New Roman" w:hAnsi="Times New Roman"/>
          <w:sz w:val="17"/>
          <w:szCs w:val="17"/>
          <w:b w:val="1"/>
          <w:bCs w:val="1"/>
          <w:color w:val="auto"/>
        </w:rPr>
        <w:t>001-39729</w:t>
      </w:r>
    </w:p>
    <w:p>
      <w:pPr>
        <w:spacing w:after="0" w:line="20" w:lineRule="exact"/>
        <w:rPr>
          <w:sz w:val="24"/>
          <w:szCs w:val="24"/>
          <w:color w:val="auto"/>
        </w:rPr>
      </w:pPr>
      <w:r>
        <w:rPr>
          <w:sz w:val="24"/>
          <w:szCs w:val="24"/>
          <w:color w:val="auto"/>
        </w:rPr>
        <w:br w:type="column"/>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47-3531161</w:t>
      </w:r>
    </w:p>
    <w:p>
      <w:pPr>
        <w:spacing w:after="0" w:line="74" w:lineRule="exact"/>
        <w:rPr>
          <w:sz w:val="24"/>
          <w:szCs w:val="24"/>
          <w:color w:val="auto"/>
        </w:rPr>
      </w:pPr>
    </w:p>
    <w:p>
      <w:pPr>
        <w:sectPr>
          <w:pgSz w:w="11900" w:h="16838" w:orient="portrait"/>
          <w:cols w:equalWidth="0" w:num="3">
            <w:col w:w="4500" w:space="720"/>
            <w:col w:w="3040" w:space="720"/>
            <w:col w:w="2260"/>
          </w:cols>
          <w:pgMar w:left="320" w:top="1159" w:right="339" w:bottom="1440" w:gutter="0" w:footer="0" w:header="0"/>
          <w:type w:val="continuous"/>
        </w:sectPr>
      </w:pPr>
    </w:p>
    <w:p>
      <w:pPr>
        <w:ind w:left="540"/>
        <w:spacing w:after="0"/>
        <w:rPr>
          <w:sz w:val="20"/>
          <w:szCs w:val="20"/>
          <w:color w:val="auto"/>
        </w:rPr>
      </w:pPr>
      <w:r>
        <w:rPr>
          <w:rFonts w:ascii="Times New Roman" w:cs="Times New Roman" w:eastAsia="Times New Roman" w:hAnsi="Times New Roman"/>
          <w:sz w:val="14"/>
          <w:szCs w:val="14"/>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(IRS Employer Identification No.)</w:t>
      </w:r>
    </w:p>
    <w:p>
      <w:pPr>
        <w:spacing w:after="0" w:line="200" w:lineRule="exact"/>
        <w:rPr>
          <w:sz w:val="24"/>
          <w:szCs w:val="24"/>
          <w:color w:val="auto"/>
        </w:rPr>
      </w:pPr>
    </w:p>
    <w:p>
      <w:pPr>
        <w:sectPr>
          <w:pgSz w:w="11900" w:h="16838" w:orient="portrait"/>
          <w:cols w:equalWidth="0" w:num="3">
            <w:col w:w="4100" w:space="720"/>
            <w:col w:w="2880" w:space="720"/>
            <w:col w:w="2820"/>
          </w:cols>
          <w:pgMar w:left="320" w:top="1159" w:right="339" w:bottom="1440" w:gutter="0" w:footer="0" w:header="0"/>
          <w:type w:val="continuous"/>
        </w:sectPr>
      </w:pPr>
    </w:p>
    <w:p>
      <w:pPr>
        <w:spacing w:after="0" w:line="17"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9100 South Hills Blvd, Suite 300</w:t>
      </w:r>
    </w:p>
    <w:p>
      <w:pPr>
        <w:spacing w:after="0" w:line="31" w:lineRule="exact"/>
        <w:rPr>
          <w:sz w:val="24"/>
          <w:szCs w:val="24"/>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Broadview Heights, Ohio 44147</w:t>
      </w:r>
    </w:p>
    <w:p>
      <w:pPr>
        <w:spacing w:after="0" w:line="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(Address of Principal Executive Offices) (Zip Code)</w:t>
      </w:r>
    </w:p>
    <w:p>
      <w:pPr>
        <w:spacing w:after="0" w:line="17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(440) 262-1410</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p>
      <w:pPr>
        <w:spacing w:after="0" w:line="17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(Former name or former address, if changed since last report)</w:t>
      </w:r>
    </w:p>
    <w:p>
      <w:pPr>
        <w:sectPr>
          <w:pgSz w:w="11900" w:h="16838" w:orient="portrait"/>
          <w:cols w:equalWidth="0" w:num="1">
            <w:col w:w="11240"/>
          </w:cols>
          <w:pgMar w:left="320" w:top="1159" w:right="339" w:bottom="1440" w:gutter="0" w:footer="0" w:header="0"/>
          <w:type w:val="continuous"/>
        </w:sectPr>
      </w:pPr>
    </w:p>
    <w:p>
      <w:pPr>
        <w:spacing w:after="0" w:line="11"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22"/>
          <w:szCs w:val="22"/>
          <w:color w:val="auto"/>
        </w:rPr>
        <w:t>_______________________</w:t>
      </w:r>
    </w:p>
    <w:p>
      <w:pPr>
        <w:spacing w:after="0" w:line="184" w:lineRule="exact"/>
        <w:rPr>
          <w:sz w:val="24"/>
          <w:szCs w:val="24"/>
          <w:color w:val="auto"/>
        </w:rPr>
      </w:pPr>
    </w:p>
    <w:p>
      <w:pPr>
        <w:ind w:right="240" w:firstLine="441"/>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21" w:lineRule="exact"/>
        <w:rPr>
          <w:sz w:val="24"/>
          <w:szCs w:val="24"/>
          <w:color w:val="auto"/>
        </w:rPr>
      </w:pPr>
    </w:p>
    <w:p>
      <w:pPr>
        <w:ind w:left="400" w:hanging="374"/>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84" w:lineRule="exact"/>
        <w:rPr>
          <w:rFonts w:ascii="MS PGothic" w:cs="MS PGothic" w:eastAsia="MS PGothic" w:hAnsi="MS PGothic"/>
          <w:sz w:val="18"/>
          <w:szCs w:val="18"/>
          <w:color w:val="auto"/>
        </w:rPr>
      </w:pPr>
    </w:p>
    <w:p>
      <w:pPr>
        <w:ind w:left="400" w:hanging="374"/>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84" w:lineRule="exact"/>
        <w:rPr>
          <w:rFonts w:ascii="MS PGothic" w:cs="MS PGothic" w:eastAsia="MS PGothic" w:hAnsi="MS PGothic"/>
          <w:sz w:val="18"/>
          <w:szCs w:val="18"/>
          <w:color w:val="auto"/>
        </w:rPr>
      </w:pPr>
    </w:p>
    <w:p>
      <w:pPr>
        <w:ind w:left="400" w:hanging="374"/>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71" w:lineRule="exact"/>
        <w:rPr>
          <w:rFonts w:ascii="MS PGothic" w:cs="MS PGothic" w:eastAsia="MS PGothic" w:hAnsi="MS PGothic"/>
          <w:sz w:val="18"/>
          <w:szCs w:val="18"/>
          <w:color w:val="auto"/>
        </w:rPr>
      </w:pPr>
    </w:p>
    <w:p>
      <w:pPr>
        <w:ind w:right="2800" w:firstLine="26"/>
        <w:spacing w:after="0" w:line="528" w:lineRule="auto"/>
        <w:tabs>
          <w:tab w:leader="none" w:pos="39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3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7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Exchange</w:t>
            </w:r>
          </w:p>
        </w:tc>
      </w:tr>
      <w:tr>
        <w:trPr>
          <w:trHeight w:val="217"/>
        </w:trPr>
        <w:tc>
          <w:tcPr>
            <w:tcW w:w="37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7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Symbol</w:t>
            </w:r>
          </w:p>
        </w:tc>
        <w:tc>
          <w:tcPr>
            <w:tcW w:w="3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r>
      <w:tr>
        <w:trPr>
          <w:trHeight w:val="37"/>
        </w:trPr>
        <w:tc>
          <w:tcPr>
            <w:tcW w:w="36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6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680" w:type="dxa"/>
            <w:vAlign w:val="bottom"/>
            <w:tcBorders>
              <w:bottom w:val="single" w:sz="8" w:color="auto"/>
            </w:tcBorders>
          </w:tcPr>
          <w:p>
            <w:pPr>
              <w:spacing w:after="0"/>
              <w:rPr>
                <w:sz w:val="3"/>
                <w:szCs w:val="3"/>
                <w:color w:val="auto"/>
              </w:rPr>
            </w:pPr>
          </w:p>
        </w:tc>
      </w:tr>
      <w:tr>
        <w:trPr>
          <w:trHeight w:val="236"/>
        </w:trPr>
        <w:tc>
          <w:tcPr>
            <w:tcW w:w="3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Common stock, $0.01 par value per share</w:t>
            </w:r>
          </w:p>
        </w:tc>
        <w:tc>
          <w:tcPr>
            <w:tcW w:w="3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SHC</w:t>
            </w:r>
          </w:p>
        </w:tc>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bl>
    <w:p>
      <w:pPr>
        <w:spacing w:after="0" w:line="184" w:lineRule="exact"/>
        <w:rPr>
          <w:sz w:val="24"/>
          <w:szCs w:val="24"/>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80" w:lineRule="exact"/>
        <w:rPr>
          <w:sz w:val="24"/>
          <w:szCs w:val="24"/>
          <w:color w:val="auto"/>
        </w:rPr>
      </w:pPr>
    </w:p>
    <w:p>
      <w:pPr>
        <w:ind w:left="898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39"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852805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334010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360045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59"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This Amendment to Current Report on Form 8-K (the “Amendment”) is being filed as an amendment to the Current Report on Form 8-K filed by Sotera Health Company (the “Company”) with the United States Securities and Exchange Commission on May 2, 2024 (the “Original Form 8-K”). The Company is filing this Amendment solely to correct a typographical error in the Exhibit 99.1, page 6, Consolidated Statements of Operations, which erroneously included the line "Impairment of long-lived assets." The error had no impact on "Total operating expenses," "Income before income taxes," or "Net income" for the three months ended March 31, 2024.</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6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On May 2, 2024, Sotera Health Company (the “Company”) issued a revised press release (the “Revised Press Release”) announcing its financial results for the quarter ended March 31, 2024. The Company held its previously announced conference call on May 2, 2024, at 9:00 a.m. Eastern Time to discuss its financial results for the quarter. A copy of the Revised Press Release is attached hereto as Exhibit 99.1 and is incorporated herein by reference.</w:t>
      </w:r>
    </w:p>
    <w:p>
      <w:pPr>
        <w:spacing w:after="0" w:line="115"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The information in this Item 2.02, including Exhibit 99.1, is being furnished and shall not be deemed “filed” for purposes of Section 18 of the Securities Exchange Act of 1934, as amended (the “Exchange Act”), or otherwise subject to liability under that section, and shall not be deemed to be incorporated by reference in any filing under the Securities Act of 1933, as amended, or the Exchange Act, unless expressly incorporated by specific reference in such filing.</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i w:val="1"/>
          <w:iCs w:val="1"/>
          <w:color w:val="auto"/>
        </w:rPr>
        <w:t>Exhibits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3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Exhibit Number</w:t>
            </w:r>
          </w:p>
        </w:tc>
        <w:tc>
          <w:tcPr>
            <w:tcW w:w="20" w:type="dxa"/>
            <w:vAlign w:val="bottom"/>
          </w:tcPr>
          <w:p>
            <w:pPr>
              <w:spacing w:after="0"/>
              <w:rPr>
                <w:sz w:val="16"/>
                <w:szCs w:val="16"/>
                <w:color w:val="auto"/>
              </w:rPr>
            </w:pPr>
          </w:p>
        </w:tc>
        <w:tc>
          <w:tcPr>
            <w:tcW w:w="98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Description</w:t>
            </w:r>
          </w:p>
        </w:tc>
      </w:tr>
      <w:tr>
        <w:trPr>
          <w:trHeight w:val="37"/>
        </w:trPr>
        <w:tc>
          <w:tcPr>
            <w:tcW w:w="13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3120" w:type="dxa"/>
            <w:vAlign w:val="bottom"/>
            <w:tcBorders>
              <w:bottom w:val="single" w:sz="8" w:color="auto"/>
            </w:tcBorders>
          </w:tcPr>
          <w:p>
            <w:pPr>
              <w:spacing w:after="0"/>
              <w:rPr>
                <w:sz w:val="3"/>
                <w:szCs w:val="3"/>
                <w:color w:val="auto"/>
              </w:rPr>
            </w:pPr>
          </w:p>
        </w:tc>
        <w:tc>
          <w:tcPr>
            <w:tcW w:w="6720" w:type="dxa"/>
            <w:vAlign w:val="bottom"/>
            <w:tcBorders>
              <w:bottom w:val="single" w:sz="8" w:color="auto"/>
            </w:tcBorders>
          </w:tcPr>
          <w:p>
            <w:pPr>
              <w:spacing w:after="0"/>
              <w:rPr>
                <w:sz w:val="3"/>
                <w:szCs w:val="3"/>
                <w:color w:val="auto"/>
              </w:rPr>
            </w:pPr>
          </w:p>
        </w:tc>
      </w:tr>
      <w:tr>
        <w:trPr>
          <w:trHeight w:val="196"/>
        </w:trPr>
        <w:tc>
          <w:tcPr>
            <w:tcW w:w="13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99.1</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FF"/>
              </w:rPr>
              <w:t>Press Release, dated May 2, 2024 (revised)</w:t>
            </w:r>
          </w:p>
        </w:tc>
      </w:tr>
      <w:tr>
        <w:trPr>
          <w:trHeight w:val="581"/>
        </w:trPr>
        <w:tc>
          <w:tcPr>
            <w:tcW w:w="13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120" w:type="dxa"/>
            <w:vAlign w:val="bottom"/>
            <w:tcBorders>
              <w:top w:val="single" w:sz="8" w:color="0000FF"/>
              <w:bottom w:val="single" w:sz="8" w:color="9A9A9A"/>
            </w:tcBorders>
          </w:tcPr>
          <w:p>
            <w:pPr>
              <w:spacing w:after="0"/>
              <w:rPr>
                <w:sz w:val="24"/>
                <w:szCs w:val="24"/>
                <w:color w:val="auto"/>
              </w:rPr>
            </w:pPr>
          </w:p>
        </w:tc>
        <w:tc>
          <w:tcPr>
            <w:tcW w:w="67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2" w:name="page3"/>
    <w:bookmarkEnd w:id="2"/>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441"/>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56" w:lineRule="exact"/>
        <w:rPr>
          <w:sz w:val="20"/>
          <w:szCs w:val="20"/>
          <w:color w:val="auto"/>
        </w:rPr>
      </w:pPr>
    </w:p>
    <w:p>
      <w:pPr>
        <w:jc w:val="center"/>
        <w:ind w:left="840"/>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27" w:lineRule="exact"/>
        <w:rPr>
          <w:sz w:val="20"/>
          <w:szCs w:val="20"/>
          <w:color w:val="auto"/>
        </w:rPr>
      </w:pPr>
    </w:p>
    <w:p>
      <w:pPr>
        <w:jc w:val="center"/>
        <w:ind w:left="820"/>
        <w:spacing w:after="0"/>
        <w:rPr>
          <w:sz w:val="20"/>
          <w:szCs w:val="20"/>
          <w:color w:val="auto"/>
        </w:rPr>
      </w:pPr>
      <w:r>
        <w:rPr>
          <w:rFonts w:ascii="Times New Roman" w:cs="Times New Roman" w:eastAsia="Times New Roman" w:hAnsi="Times New Roman"/>
          <w:sz w:val="18"/>
          <w:szCs w:val="18"/>
          <w:color w:val="auto"/>
        </w:rPr>
        <w:t>(Registrant)</w:t>
      </w:r>
    </w:p>
    <w:p>
      <w:pPr>
        <w:spacing w:after="0" w:line="328" w:lineRule="exact"/>
        <w:rPr>
          <w:sz w:val="20"/>
          <w:szCs w:val="20"/>
          <w:color w:val="auto"/>
        </w:rPr>
      </w:pPr>
    </w:p>
    <w:p>
      <w:pPr>
        <w:ind w:left="20"/>
        <w:spacing w:after="0"/>
        <w:tabs>
          <w:tab w:leader="none" w:pos="5160" w:val="left"/>
          <w:tab w:leader="none" w:pos="5980" w:val="left"/>
        </w:tabs>
        <w:rPr>
          <w:sz w:val="20"/>
          <w:szCs w:val="20"/>
          <w:color w:val="auto"/>
        </w:rPr>
      </w:pPr>
      <w:r>
        <w:rPr>
          <w:rFonts w:ascii="Times New Roman" w:cs="Times New Roman" w:eastAsia="Times New Roman" w:hAnsi="Times New Roman"/>
          <w:sz w:val="18"/>
          <w:szCs w:val="18"/>
          <w:color w:val="auto"/>
        </w:rPr>
        <w:t>Date: May 2,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Jonathan M. Lyons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34290</wp:posOffset>
            </wp:positionV>
            <wp:extent cx="33343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34385" cy="8255"/>
                    </a:xfrm>
                    <a:prstGeom prst="rect">
                      <a:avLst/>
                    </a:prstGeom>
                    <a:noFill/>
                  </pic:spPr>
                </pic:pic>
              </a:graphicData>
            </a:graphic>
          </wp:anchor>
        </w:drawing>
      </w:r>
    </w:p>
    <w:p>
      <w:pPr>
        <w:spacing w:after="0" w:line="57"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Jonathan M. Lyons</w:t>
      </w:r>
    </w:p>
    <w:p>
      <w:pPr>
        <w:spacing w:after="0" w:line="63"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ectPr>
          <w:pgSz w:w="11900" w:h="16838" w:orient="portrait"/>
          <w:cols w:equalWidth="0" w:num="1">
            <w:col w:w="10720"/>
          </w:cols>
          <w:pgMar w:left="320" w:top="1008" w:right="859" w:bottom="1440" w:gutter="0" w:footer="0" w:header="0"/>
        </w:sectPr>
      </w:pPr>
    </w:p>
    <w:bookmarkStart w:id="3" w:name="page4"/>
    <w:bookmarkEnd w:id="3"/>
    <w:p>
      <w:pPr>
        <w:ind w:left="9420"/>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328295</wp:posOffset>
            </wp:positionV>
            <wp:extent cx="1499870" cy="4889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99870" cy="488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Calibri" w:cs="Calibri" w:eastAsia="Calibri" w:hAnsi="Calibri"/>
          <w:sz w:val="29"/>
          <w:szCs w:val="29"/>
          <w:b w:val="1"/>
          <w:bCs w:val="1"/>
          <w:color w:val="auto"/>
        </w:rPr>
        <w:t>Sotera Health Reports First-Quarter 2024 Results</w:t>
      </w:r>
    </w:p>
    <w:p>
      <w:pPr>
        <w:spacing w:after="0" w:line="215" w:lineRule="exact"/>
        <w:rPr>
          <w:sz w:val="20"/>
          <w:szCs w:val="20"/>
          <w:color w:val="auto"/>
        </w:rPr>
      </w:pPr>
    </w:p>
    <w:p>
      <w:pPr>
        <w:ind w:left="660" w:hanging="328"/>
        <w:spacing w:after="0"/>
        <w:tabs>
          <w:tab w:leader="none" w:pos="660" w:val="left"/>
        </w:tabs>
        <w:numPr>
          <w:ilvl w:val="0"/>
          <w:numId w:val="2"/>
        </w:numPr>
        <w:rPr>
          <w:rFonts w:ascii="Calibri" w:cs="Calibri" w:eastAsia="Calibri" w:hAnsi="Calibri"/>
          <w:sz w:val="22"/>
          <w:szCs w:val="22"/>
          <w:b w:val="1"/>
          <w:bCs w:val="1"/>
          <w:i w:val="1"/>
          <w:iCs w:val="1"/>
          <w:color w:val="auto"/>
        </w:rPr>
      </w:pPr>
      <w:r>
        <w:rPr>
          <w:rFonts w:ascii="Calibri" w:cs="Calibri" w:eastAsia="Calibri" w:hAnsi="Calibri"/>
          <w:sz w:val="22"/>
          <w:szCs w:val="22"/>
          <w:b w:val="1"/>
          <w:bCs w:val="1"/>
          <w:i w:val="1"/>
          <w:iCs w:val="1"/>
          <w:color w:val="auto"/>
        </w:rPr>
        <w:t>Q1 2024 net revenues increased 12.5% to $248 million, compared to Q1 2023</w:t>
      </w:r>
    </w:p>
    <w:p>
      <w:pPr>
        <w:spacing w:after="0" w:line="66" w:lineRule="exact"/>
        <w:rPr>
          <w:rFonts w:ascii="Calibri" w:cs="Calibri" w:eastAsia="Calibri" w:hAnsi="Calibri"/>
          <w:sz w:val="22"/>
          <w:szCs w:val="22"/>
          <w:b w:val="1"/>
          <w:bCs w:val="1"/>
          <w:i w:val="1"/>
          <w:iCs w:val="1"/>
          <w:color w:val="auto"/>
        </w:rPr>
      </w:pPr>
    </w:p>
    <w:p>
      <w:pPr>
        <w:ind w:left="660" w:right="60" w:hanging="328"/>
        <w:spacing w:after="0" w:line="235" w:lineRule="auto"/>
        <w:tabs>
          <w:tab w:leader="none" w:pos="660" w:val="left"/>
        </w:tabs>
        <w:numPr>
          <w:ilvl w:val="0"/>
          <w:numId w:val="2"/>
        </w:numPr>
        <w:rPr>
          <w:rFonts w:ascii="Calibri" w:cs="Calibri" w:eastAsia="Calibri" w:hAnsi="Calibri"/>
          <w:sz w:val="22"/>
          <w:szCs w:val="22"/>
          <w:b w:val="1"/>
          <w:bCs w:val="1"/>
          <w:i w:val="1"/>
          <w:iCs w:val="1"/>
          <w:color w:val="auto"/>
        </w:rPr>
      </w:pPr>
      <w:r>
        <w:rPr>
          <w:rFonts w:ascii="Calibri" w:cs="Calibri" w:eastAsia="Calibri" w:hAnsi="Calibri"/>
          <w:sz w:val="22"/>
          <w:szCs w:val="22"/>
          <w:b w:val="1"/>
          <w:bCs w:val="1"/>
          <w:i w:val="1"/>
          <w:iCs w:val="1"/>
          <w:color w:val="auto"/>
        </w:rPr>
        <w:t>Q1 2024 net income of $6 million or $0.02 per diluted share, compared to net income of $3 million or $0.01 per diluted share in Q1 2023</w:t>
      </w:r>
    </w:p>
    <w:p>
      <w:pPr>
        <w:spacing w:after="0" w:line="54" w:lineRule="exact"/>
        <w:rPr>
          <w:rFonts w:ascii="Calibri" w:cs="Calibri" w:eastAsia="Calibri" w:hAnsi="Calibri"/>
          <w:sz w:val="22"/>
          <w:szCs w:val="22"/>
          <w:b w:val="1"/>
          <w:bCs w:val="1"/>
          <w:i w:val="1"/>
          <w:iCs w:val="1"/>
          <w:color w:val="auto"/>
        </w:rPr>
      </w:pPr>
    </w:p>
    <w:p>
      <w:pPr>
        <w:ind w:left="660" w:hanging="328"/>
        <w:spacing w:after="0"/>
        <w:tabs>
          <w:tab w:leader="none" w:pos="660" w:val="left"/>
        </w:tabs>
        <w:numPr>
          <w:ilvl w:val="0"/>
          <w:numId w:val="2"/>
        </w:numPr>
        <w:rPr>
          <w:rFonts w:ascii="Calibri" w:cs="Calibri" w:eastAsia="Calibri" w:hAnsi="Calibri"/>
          <w:sz w:val="22"/>
          <w:szCs w:val="22"/>
          <w:b w:val="1"/>
          <w:bCs w:val="1"/>
          <w:i w:val="1"/>
          <w:iCs w:val="1"/>
          <w:color w:val="auto"/>
        </w:rPr>
      </w:pPr>
      <w:r>
        <w:rPr>
          <w:rFonts w:ascii="Calibri" w:cs="Calibri" w:eastAsia="Calibri" w:hAnsi="Calibri"/>
          <w:sz w:val="22"/>
          <w:szCs w:val="22"/>
          <w:b w:val="1"/>
          <w:bCs w:val="1"/>
          <w:i w:val="1"/>
          <w:iCs w:val="1"/>
          <w:color w:val="auto"/>
        </w:rPr>
        <w:t>Q1 2024 Adjusted EBITDA</w:t>
      </w:r>
      <w:r>
        <w:rPr>
          <w:rFonts w:ascii="Calibri" w:cs="Calibri" w:eastAsia="Calibri" w:hAnsi="Calibri"/>
          <w:sz w:val="28"/>
          <w:szCs w:val="28"/>
          <w:b w:val="1"/>
          <w:bCs w:val="1"/>
          <w:i w:val="1"/>
          <w:iCs w:val="1"/>
          <w:color w:val="auto"/>
          <w:vertAlign w:val="superscript"/>
        </w:rPr>
        <w:t>(1)</w:t>
      </w:r>
      <w:r>
        <w:rPr>
          <w:rFonts w:ascii="Calibri" w:cs="Calibri" w:eastAsia="Calibri" w:hAnsi="Calibri"/>
          <w:sz w:val="22"/>
          <w:szCs w:val="22"/>
          <w:b w:val="1"/>
          <w:bCs w:val="1"/>
          <w:i w:val="1"/>
          <w:iCs w:val="1"/>
          <w:color w:val="auto"/>
        </w:rPr>
        <w:t xml:space="preserve"> increased 13.7% to $112 million, compared to Q1 2023</w:t>
      </w:r>
    </w:p>
    <w:p>
      <w:pPr>
        <w:ind w:left="660" w:hanging="328"/>
        <w:spacing w:after="0" w:line="227" w:lineRule="auto"/>
        <w:tabs>
          <w:tab w:leader="none" w:pos="660" w:val="left"/>
        </w:tabs>
        <w:numPr>
          <w:ilvl w:val="0"/>
          <w:numId w:val="2"/>
        </w:numPr>
        <w:rPr>
          <w:rFonts w:ascii="Calibri" w:cs="Calibri" w:eastAsia="Calibri" w:hAnsi="Calibri"/>
          <w:sz w:val="22"/>
          <w:szCs w:val="22"/>
          <w:b w:val="1"/>
          <w:bCs w:val="1"/>
          <w:i w:val="1"/>
          <w:iCs w:val="1"/>
          <w:color w:val="auto"/>
        </w:rPr>
      </w:pPr>
      <w:r>
        <w:rPr>
          <w:rFonts w:ascii="Calibri" w:cs="Calibri" w:eastAsia="Calibri" w:hAnsi="Calibri"/>
          <w:sz w:val="22"/>
          <w:szCs w:val="22"/>
          <w:b w:val="1"/>
          <w:bCs w:val="1"/>
          <w:i w:val="1"/>
          <w:iCs w:val="1"/>
          <w:color w:val="auto"/>
        </w:rPr>
        <w:t>Q1 2024 Adjusted EPS</w:t>
      </w:r>
      <w:r>
        <w:rPr>
          <w:rFonts w:ascii="Calibri" w:cs="Calibri" w:eastAsia="Calibri" w:hAnsi="Calibri"/>
          <w:sz w:val="28"/>
          <w:szCs w:val="28"/>
          <w:b w:val="1"/>
          <w:bCs w:val="1"/>
          <w:i w:val="1"/>
          <w:iCs w:val="1"/>
          <w:color w:val="auto"/>
          <w:vertAlign w:val="superscript"/>
        </w:rPr>
        <w:t>(1)</w:t>
      </w:r>
      <w:r>
        <w:rPr>
          <w:rFonts w:ascii="Calibri" w:cs="Calibri" w:eastAsia="Calibri" w:hAnsi="Calibri"/>
          <w:sz w:val="22"/>
          <w:szCs w:val="22"/>
          <w:b w:val="1"/>
          <w:bCs w:val="1"/>
          <w:i w:val="1"/>
          <w:iCs w:val="1"/>
          <w:color w:val="auto"/>
        </w:rPr>
        <w:t xml:space="preserve"> of $0.13 compared to Adjusted EPS of $0.13 in Q1 2023</w:t>
      </w:r>
    </w:p>
    <w:p>
      <w:pPr>
        <w:ind w:left="660" w:hanging="328"/>
        <w:spacing w:after="0" w:line="236" w:lineRule="auto"/>
        <w:tabs>
          <w:tab w:leader="none" w:pos="660" w:val="left"/>
        </w:tabs>
        <w:numPr>
          <w:ilvl w:val="0"/>
          <w:numId w:val="2"/>
        </w:numPr>
        <w:rPr>
          <w:rFonts w:ascii="Calibri" w:cs="Calibri" w:eastAsia="Calibri" w:hAnsi="Calibri"/>
          <w:sz w:val="22"/>
          <w:szCs w:val="22"/>
          <w:b w:val="1"/>
          <w:bCs w:val="1"/>
          <w:i w:val="1"/>
          <w:iCs w:val="1"/>
          <w:color w:val="auto"/>
        </w:rPr>
      </w:pPr>
      <w:r>
        <w:rPr>
          <w:rFonts w:ascii="Calibri" w:cs="Calibri" w:eastAsia="Calibri" w:hAnsi="Calibri"/>
          <w:sz w:val="22"/>
          <w:szCs w:val="22"/>
          <w:b w:val="1"/>
          <w:bCs w:val="1"/>
          <w:i w:val="1"/>
          <w:iCs w:val="1"/>
          <w:color w:val="auto"/>
        </w:rPr>
        <w:t>Company reafrms 2024 outlook</w:t>
      </w:r>
    </w:p>
    <w:p>
      <w:pPr>
        <w:spacing w:after="0" w:line="222" w:lineRule="exact"/>
        <w:rPr>
          <w:sz w:val="20"/>
          <w:szCs w:val="20"/>
          <w:color w:val="auto"/>
        </w:rPr>
      </w:pPr>
    </w:p>
    <w:p>
      <w:pPr>
        <w:jc w:val="both"/>
        <w:spacing w:after="0" w:line="236" w:lineRule="auto"/>
        <w:rPr>
          <w:sz w:val="20"/>
          <w:szCs w:val="20"/>
          <w:color w:val="auto"/>
        </w:rPr>
      </w:pPr>
      <w:r>
        <w:rPr>
          <w:rFonts w:ascii="Calibri" w:cs="Calibri" w:eastAsia="Calibri" w:hAnsi="Calibri"/>
          <w:sz w:val="20"/>
          <w:szCs w:val="20"/>
          <w:b w:val="1"/>
          <w:bCs w:val="1"/>
          <w:color w:val="auto"/>
        </w:rPr>
        <w:t xml:space="preserve">CLEVELAND, OH, May 2, 2024 </w:t>
      </w:r>
      <w:r>
        <w:rPr>
          <w:rFonts w:ascii="Calibri" w:cs="Calibri" w:eastAsia="Calibri" w:hAnsi="Calibri"/>
          <w:sz w:val="20"/>
          <w:szCs w:val="20"/>
          <w:color w:val="auto"/>
        </w:rPr>
        <w:t>– Sotera Health Company (“Sotera Health” or the “Company”) (Nasdaq: SHC), a leading global provider of</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mission-critcal end-to-end sterilizaton solutons, lab testng and advisory services for the healthcare industry, today announced fnancial results for the three months ended March 31, 2024.</w:t>
      </w:r>
    </w:p>
    <w:p>
      <w:pPr>
        <w:spacing w:after="0" w:line="144" w:lineRule="exact"/>
        <w:rPr>
          <w:sz w:val="20"/>
          <w:szCs w:val="20"/>
          <w:color w:val="auto"/>
        </w:rPr>
      </w:pPr>
    </w:p>
    <w:p>
      <w:pPr>
        <w:ind w:right="400"/>
        <w:spacing w:after="0" w:line="231" w:lineRule="auto"/>
        <w:rPr>
          <w:sz w:val="20"/>
          <w:szCs w:val="20"/>
          <w:color w:val="auto"/>
        </w:rPr>
      </w:pPr>
      <w:r>
        <w:rPr>
          <w:rFonts w:ascii="Calibri" w:cs="Calibri" w:eastAsia="Calibri" w:hAnsi="Calibri"/>
          <w:sz w:val="20"/>
          <w:szCs w:val="20"/>
          <w:color w:val="auto"/>
        </w:rPr>
        <w:t>First-quarter 2024 net revenues increased 12.5% to $248 million, compared to $221 million in the frst-quarter 2023. Net revenues increased 11.8% on a constant currency basis. Net income was $6 million, or $0.02 per diluted share, compared to net income of $3 million, or $0.01 per diluted share for the frst-quarter 2023. Adjusted EBITDA for the frst-quarter 2024 increased by 13.7% to $112 million compared to the frst-quarter 2023. First-quarter 2024 Adjusted Earnings Per Diluted Share (“Adjusted EPS”) of $0.13 was fat compared to the frst-quarter 2023.</w:t>
      </w:r>
    </w:p>
    <w:p>
      <w:pPr>
        <w:spacing w:after="0" w:line="148" w:lineRule="exact"/>
        <w:rPr>
          <w:sz w:val="20"/>
          <w:szCs w:val="20"/>
          <w:color w:val="auto"/>
        </w:rPr>
      </w:pPr>
    </w:p>
    <w:p>
      <w:pPr>
        <w:ind w:right="100"/>
        <w:spacing w:after="0" w:line="236" w:lineRule="auto"/>
        <w:rPr>
          <w:sz w:val="20"/>
          <w:szCs w:val="20"/>
          <w:color w:val="auto"/>
        </w:rPr>
      </w:pPr>
      <w:r>
        <w:rPr>
          <w:rFonts w:ascii="Calibri" w:cs="Calibri" w:eastAsia="Calibri" w:hAnsi="Calibri"/>
          <w:sz w:val="20"/>
          <w:szCs w:val="20"/>
          <w:color w:val="auto"/>
        </w:rPr>
        <w:t>“This morning we announced a solid start to the year delivering top- and botom-line growth for the quarter,” said Chairman and Chief Executve Ofcer, Michael B. Petras, Jr. “We are reafrming the Company’s 2024 outlook that we previously provided. The team remains focused on executng on our strategic priorites as we manage through contnued market headwinds.”</w:t>
      </w:r>
    </w:p>
    <w:p>
      <w:pPr>
        <w:spacing w:after="0" w:line="144" w:lineRule="exact"/>
        <w:rPr>
          <w:sz w:val="20"/>
          <w:szCs w:val="20"/>
          <w:color w:val="auto"/>
        </w:rPr>
      </w:pPr>
    </w:p>
    <w:p>
      <w:pPr>
        <w:ind w:right="100"/>
        <w:spacing w:after="0" w:line="233" w:lineRule="auto"/>
        <w:rPr>
          <w:sz w:val="20"/>
          <w:szCs w:val="20"/>
          <w:color w:val="auto"/>
        </w:rPr>
      </w:pPr>
      <w:r>
        <w:rPr>
          <w:rFonts w:ascii="Calibri" w:cs="Calibri" w:eastAsia="Calibri" w:hAnsi="Calibri"/>
          <w:sz w:val="20"/>
          <w:szCs w:val="20"/>
          <w:color w:val="auto"/>
        </w:rPr>
        <w:t>“We are also pleased that the Environmental Protecton Agency (EPA) fnalized its update of the Natonal Emission Standards for Hazardous Air Pollutants (NESHAP),” added Petras. “Although the updated requirements will be very challenging for the sterilizaton industry to meet, we believe that Sterigenics’ signifcant investments in state-of-the-art emission controls have positoned Sterigenics to be able to comply with the updated standards within the tmeframes specifed by the fnal rule.”</w:t>
      </w:r>
    </w:p>
    <w:p>
      <w:pPr>
        <w:spacing w:after="0" w:line="145" w:lineRule="exact"/>
        <w:rPr>
          <w:sz w:val="20"/>
          <w:szCs w:val="20"/>
          <w:color w:val="auto"/>
        </w:rPr>
      </w:pPr>
    </w:p>
    <w:p>
      <w:pPr>
        <w:ind w:right="220"/>
        <w:spacing w:after="0" w:line="228" w:lineRule="auto"/>
        <w:rPr>
          <w:sz w:val="20"/>
          <w:szCs w:val="20"/>
          <w:color w:val="auto"/>
        </w:rPr>
      </w:pPr>
      <w:r>
        <w:rPr>
          <w:rFonts w:ascii="Calibri" w:cs="Calibri" w:eastAsia="Calibri" w:hAnsi="Calibri"/>
          <w:sz w:val="20"/>
          <w:szCs w:val="20"/>
          <w:color w:val="auto"/>
        </w:rPr>
        <w:t>Petras concluded, “As always, our focus is to support our global team members while serving our customers with high quality, safe and reliable service.”</w:t>
      </w:r>
    </w:p>
    <w:p>
      <w:pPr>
        <w:spacing w:after="0" w:line="215" w:lineRule="exact"/>
        <w:rPr>
          <w:sz w:val="20"/>
          <w:szCs w:val="20"/>
          <w:color w:val="auto"/>
        </w:rPr>
      </w:pPr>
    </w:p>
    <w:p>
      <w:pPr>
        <w:spacing w:after="0"/>
        <w:rPr>
          <w:sz w:val="20"/>
          <w:szCs w:val="20"/>
          <w:color w:val="auto"/>
        </w:rPr>
      </w:pPr>
      <w:r>
        <w:rPr>
          <w:rFonts w:ascii="Calibri" w:cs="Calibri" w:eastAsia="Calibri" w:hAnsi="Calibri"/>
          <w:sz w:val="20"/>
          <w:szCs w:val="20"/>
          <w:b w:val="1"/>
          <w:bCs w:val="1"/>
          <w:u w:val="single" w:color="auto"/>
          <w:color w:val="auto"/>
        </w:rPr>
        <w:t>First-Quarter Review by Business Segment</w:t>
      </w:r>
    </w:p>
    <w:p>
      <w:pPr>
        <w:spacing w:after="0" w:line="215"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Sterigenics</w:t>
      </w:r>
    </w:p>
    <w:p>
      <w:pPr>
        <w:spacing w:after="0" w:line="90" w:lineRule="exact"/>
        <w:rPr>
          <w:sz w:val="20"/>
          <w:szCs w:val="20"/>
          <w:color w:val="auto"/>
        </w:rPr>
      </w:pPr>
    </w:p>
    <w:p>
      <w:pPr>
        <w:ind w:right="280"/>
        <w:spacing w:after="0" w:line="234" w:lineRule="auto"/>
        <w:rPr>
          <w:sz w:val="20"/>
          <w:szCs w:val="20"/>
          <w:color w:val="auto"/>
        </w:rPr>
      </w:pPr>
      <w:r>
        <w:rPr>
          <w:rFonts w:ascii="Calibri" w:cs="Calibri" w:eastAsia="Calibri" w:hAnsi="Calibri"/>
          <w:sz w:val="20"/>
          <w:szCs w:val="20"/>
          <w:color w:val="auto"/>
        </w:rPr>
        <w:t>For frst-quarter 2024, net revenues were $166 million, an increase of 4.1% compared to the frst quarter a year ago. Segment income was $86 million, an increase of 3.6%.</w:t>
      </w:r>
    </w:p>
    <w:p>
      <w:pPr>
        <w:spacing w:after="0" w:line="145" w:lineRule="exact"/>
        <w:rPr>
          <w:sz w:val="20"/>
          <w:szCs w:val="20"/>
          <w:color w:val="auto"/>
        </w:rPr>
      </w:pPr>
    </w:p>
    <w:p>
      <w:pPr>
        <w:ind w:right="20"/>
        <w:spacing w:after="0" w:line="228" w:lineRule="auto"/>
        <w:rPr>
          <w:sz w:val="20"/>
          <w:szCs w:val="20"/>
          <w:color w:val="auto"/>
        </w:rPr>
      </w:pPr>
      <w:r>
        <w:rPr>
          <w:rFonts w:ascii="Calibri" w:cs="Calibri" w:eastAsia="Calibri" w:hAnsi="Calibri"/>
          <w:sz w:val="20"/>
          <w:szCs w:val="20"/>
          <w:color w:val="auto"/>
        </w:rPr>
        <w:t>Net revenue growth for frst-quarter 2024 was driven by favorable pricing and changes in foreign currency exchange rates, partally ofset by unfavorable volume and mix.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140970</wp:posOffset>
            </wp:positionV>
            <wp:extent cx="171450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45" w:lineRule="exact"/>
        <w:rPr>
          <w:sz w:val="20"/>
          <w:szCs w:val="20"/>
          <w:color w:val="auto"/>
        </w:rPr>
      </w:pPr>
    </w:p>
    <w:p>
      <w:pPr>
        <w:ind w:right="240"/>
        <w:spacing w:after="0" w:line="207" w:lineRule="auto"/>
        <w:rPr>
          <w:sz w:val="20"/>
          <w:szCs w:val="20"/>
          <w:color w:val="auto"/>
        </w:rPr>
      </w:pPr>
      <w:r>
        <w:rPr>
          <w:rFonts w:ascii="Arial" w:cs="Arial" w:eastAsia="Arial" w:hAnsi="Arial"/>
          <w:sz w:val="21"/>
          <w:szCs w:val="21"/>
          <w:color w:val="auto"/>
          <w:vertAlign w:val="superscript"/>
        </w:rPr>
        <w:t>(1)</w:t>
      </w:r>
      <w:r>
        <w:rPr>
          <w:rFonts w:ascii="Calibri" w:cs="Calibri" w:eastAsia="Calibri" w:hAnsi="Calibri"/>
          <w:sz w:val="14"/>
          <w:szCs w:val="14"/>
          <w:color w:val="auto"/>
        </w:rPr>
        <w:t>This is a non-GAAP fnancial measure used throughout this press release; please refer to the secton “Non-GAAP Financial Measures” for explanatons of our Non-GAAP fnancial measures and the schedules provided later in this release for reconciliatons of reported GAAP to Non-GAAP fnancial measures.</w:t>
      </w:r>
    </w:p>
    <w:p>
      <w:pPr>
        <w:sectPr>
          <w:pgSz w:w="11900" w:h="16838" w:orient="portrait"/>
          <w:cols w:equalWidth="0" w:num="1">
            <w:col w:w="11240"/>
          </w:cols>
          <w:pgMar w:left="320" w:top="158" w:right="339" w:bottom="1440" w:gutter="0" w:footer="0" w:header="0"/>
        </w:sectPr>
      </w:pPr>
    </w:p>
    <w:bookmarkStart w:id="4" w:name="page5"/>
    <w:bookmarkEnd w:id="4"/>
    <w:p>
      <w:pPr>
        <w:ind w:right="600"/>
        <w:spacing w:after="0" w:line="234" w:lineRule="auto"/>
        <w:rPr>
          <w:sz w:val="20"/>
          <w:szCs w:val="20"/>
          <w:color w:val="auto"/>
        </w:rPr>
      </w:pPr>
      <w:r>
        <w:rPr>
          <w:rFonts w:ascii="Calibri" w:cs="Calibri" w:eastAsia="Calibri" w:hAnsi="Calibri"/>
          <w:sz w:val="20"/>
          <w:szCs w:val="20"/>
          <w:color w:val="auto"/>
        </w:rPr>
        <w:t>Segment income growth for the quarter was driven by favorable pricing, partally ofset by unfavorable volume and mix, as well as infaton.</w:t>
      </w:r>
    </w:p>
    <w:p>
      <w:pPr>
        <w:spacing w:after="0" w:line="216"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Nordion</w:t>
      </w:r>
    </w:p>
    <w:p>
      <w:pPr>
        <w:spacing w:after="0" w:line="80" w:lineRule="exact"/>
        <w:rPr>
          <w:sz w:val="20"/>
          <w:szCs w:val="20"/>
          <w:color w:val="auto"/>
        </w:rPr>
      </w:pPr>
    </w:p>
    <w:p>
      <w:pPr>
        <w:spacing w:after="0"/>
        <w:rPr>
          <w:sz w:val="20"/>
          <w:szCs w:val="20"/>
          <w:color w:val="auto"/>
        </w:rPr>
      </w:pPr>
      <w:r>
        <w:rPr>
          <w:rFonts w:ascii="Calibri" w:cs="Calibri" w:eastAsia="Calibri" w:hAnsi="Calibri"/>
          <w:sz w:val="20"/>
          <w:szCs w:val="20"/>
          <w:color w:val="auto"/>
        </w:rPr>
        <w:t>For frst-quarter 2024, net revenues were $24 million, an increase of 180.8%, compared to an unusually light frst quarter a year ago.</w:t>
      </w:r>
    </w:p>
    <w:p>
      <w:pPr>
        <w:spacing w:after="0" w:line="225" w:lineRule="auto"/>
        <w:rPr>
          <w:sz w:val="20"/>
          <w:szCs w:val="20"/>
          <w:color w:val="auto"/>
        </w:rPr>
      </w:pPr>
      <w:r>
        <w:rPr>
          <w:rFonts w:ascii="Calibri" w:cs="Calibri" w:eastAsia="Calibri" w:hAnsi="Calibri"/>
          <w:sz w:val="20"/>
          <w:szCs w:val="20"/>
          <w:color w:val="auto"/>
        </w:rPr>
        <w:t>Segment income increased 606.7% to $11 million.</w:t>
      </w:r>
    </w:p>
    <w:p>
      <w:pPr>
        <w:spacing w:after="0" w:line="158" w:lineRule="exact"/>
        <w:rPr>
          <w:sz w:val="20"/>
          <w:szCs w:val="20"/>
          <w:color w:val="auto"/>
        </w:rPr>
      </w:pPr>
    </w:p>
    <w:p>
      <w:pPr>
        <w:ind w:right="360"/>
        <w:spacing w:after="0" w:line="228" w:lineRule="auto"/>
        <w:rPr>
          <w:sz w:val="20"/>
          <w:szCs w:val="20"/>
          <w:color w:val="auto"/>
        </w:rPr>
      </w:pPr>
      <w:r>
        <w:rPr>
          <w:rFonts w:ascii="Calibri" w:cs="Calibri" w:eastAsia="Calibri" w:hAnsi="Calibri"/>
          <w:sz w:val="20"/>
          <w:szCs w:val="20"/>
          <w:color w:val="auto"/>
        </w:rPr>
        <w:t>Increases in net revenues, segment income and segment income margin for the frst-quarter 2024 were primarily driven by favorable volume and mix related to the tming of reactor harvest schedules.</w:t>
      </w:r>
    </w:p>
    <w:p>
      <w:pPr>
        <w:spacing w:after="0" w:line="215"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Nelson Labs</w:t>
      </w:r>
    </w:p>
    <w:p>
      <w:pPr>
        <w:spacing w:after="0" w:line="90" w:lineRule="exact"/>
        <w:rPr>
          <w:sz w:val="20"/>
          <w:szCs w:val="20"/>
          <w:color w:val="auto"/>
        </w:rPr>
      </w:pPr>
    </w:p>
    <w:p>
      <w:pPr>
        <w:ind w:right="280"/>
        <w:spacing w:after="0" w:line="234" w:lineRule="auto"/>
        <w:rPr>
          <w:sz w:val="20"/>
          <w:szCs w:val="20"/>
          <w:color w:val="auto"/>
        </w:rPr>
      </w:pPr>
      <w:r>
        <w:rPr>
          <w:rFonts w:ascii="Calibri" w:cs="Calibri" w:eastAsia="Calibri" w:hAnsi="Calibri"/>
          <w:sz w:val="20"/>
          <w:szCs w:val="20"/>
          <w:color w:val="auto"/>
        </w:rPr>
        <w:t>For frst-quarter 2024, net revenues were $58 million, an increase of 10.8% compared to the frst quarter a year ago. Segment income increased 8.8% to $15 million.</w:t>
      </w:r>
    </w:p>
    <w:p>
      <w:pPr>
        <w:spacing w:after="0" w:line="145" w:lineRule="exact"/>
        <w:rPr>
          <w:sz w:val="20"/>
          <w:szCs w:val="20"/>
          <w:color w:val="auto"/>
        </w:rPr>
      </w:pPr>
    </w:p>
    <w:p>
      <w:pPr>
        <w:ind w:right="260"/>
        <w:spacing w:after="0" w:line="228" w:lineRule="auto"/>
        <w:rPr>
          <w:sz w:val="20"/>
          <w:szCs w:val="20"/>
          <w:color w:val="auto"/>
        </w:rPr>
      </w:pPr>
      <w:r>
        <w:rPr>
          <w:rFonts w:ascii="Calibri" w:cs="Calibri" w:eastAsia="Calibri" w:hAnsi="Calibri"/>
          <w:sz w:val="20"/>
          <w:szCs w:val="20"/>
          <w:color w:val="auto"/>
        </w:rPr>
        <w:t>Net revenue and segment income growth for the frst-quarter 2024 were primarily driven by volume and mix improvements as well as favorable pricing.</w:t>
      </w:r>
    </w:p>
    <w:p>
      <w:pPr>
        <w:spacing w:after="0" w:line="215"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Balance Sheet and Liquidity</w:t>
      </w:r>
    </w:p>
    <w:p>
      <w:pPr>
        <w:spacing w:after="0" w:line="90" w:lineRule="exact"/>
        <w:rPr>
          <w:sz w:val="20"/>
          <w:szCs w:val="20"/>
          <w:color w:val="auto"/>
        </w:rPr>
      </w:pPr>
    </w:p>
    <w:p>
      <w:pPr>
        <w:ind w:right="160"/>
        <w:spacing w:after="0" w:line="235" w:lineRule="auto"/>
        <w:rPr>
          <w:sz w:val="20"/>
          <w:szCs w:val="20"/>
          <w:color w:val="auto"/>
        </w:rPr>
      </w:pPr>
      <w:r>
        <w:rPr>
          <w:rFonts w:ascii="Calibri" w:cs="Calibri" w:eastAsia="Calibri" w:hAnsi="Calibri"/>
          <w:sz w:val="20"/>
          <w:szCs w:val="20"/>
          <w:color w:val="auto"/>
        </w:rPr>
        <w:t>As of March 31, 2024, Sotera Health had $2.3 billion in total debt, and $261 million in cash and cash equivalents, compared to $2.3 billion in total debt and $296 million in cash and cash equivalents as of December 31, 2023. As of March 31, 2024, the Company had no balance outstanding on its revolving credit facility. Material debt balances currently outstanding do not mature untl 2026. Sotera Health’s Net Leverage Rato</w:t>
      </w:r>
      <w:r>
        <w:rPr>
          <w:rFonts w:ascii="Calibri" w:cs="Calibri" w:eastAsia="Calibri" w:hAnsi="Calibri"/>
          <w:sz w:val="23"/>
          <w:szCs w:val="23"/>
          <w:color w:val="auto"/>
          <w:vertAlign w:val="superscript"/>
        </w:rPr>
        <w:t>(2)</w:t>
      </w:r>
      <w:r>
        <w:rPr>
          <w:rFonts w:ascii="Calibri" w:cs="Calibri" w:eastAsia="Calibri" w:hAnsi="Calibri"/>
          <w:sz w:val="20"/>
          <w:szCs w:val="20"/>
          <w:color w:val="auto"/>
        </w:rPr>
        <w:t xml:space="preserve"> as of March 31, 2024 was 3.8x, consistent with December 31, 2023.</w:t>
      </w:r>
    </w:p>
    <w:p>
      <w:pPr>
        <w:spacing w:after="0" w:line="101" w:lineRule="exact"/>
        <w:rPr>
          <w:sz w:val="20"/>
          <w:szCs w:val="20"/>
          <w:color w:val="auto"/>
        </w:rPr>
      </w:pPr>
    </w:p>
    <w:p>
      <w:pPr>
        <w:ind w:right="160"/>
        <w:spacing w:after="0" w:line="234" w:lineRule="auto"/>
        <w:rPr>
          <w:sz w:val="20"/>
          <w:szCs w:val="20"/>
          <w:color w:val="auto"/>
        </w:rPr>
      </w:pPr>
      <w:r>
        <w:rPr>
          <w:rFonts w:ascii="Calibri" w:cs="Calibri" w:eastAsia="Calibri" w:hAnsi="Calibri"/>
          <w:sz w:val="20"/>
          <w:szCs w:val="20"/>
          <w:color w:val="auto"/>
        </w:rPr>
        <w:t>On March 1, 2024 the Company extended the maturity of its revolving credit facility to the earlier of March 1, 2029 and the date that is 91 days prior to the maturity date of its existng term loans.</w:t>
      </w:r>
    </w:p>
    <w:p>
      <w:pPr>
        <w:spacing w:after="0" w:line="243" w:lineRule="exact"/>
        <w:rPr>
          <w:sz w:val="20"/>
          <w:szCs w:val="20"/>
          <w:color w:val="auto"/>
        </w:rPr>
      </w:pPr>
    </w:p>
    <w:p>
      <w:pPr>
        <w:spacing w:after="0"/>
        <w:rPr>
          <w:sz w:val="20"/>
          <w:szCs w:val="20"/>
          <w:color w:val="auto"/>
        </w:rPr>
      </w:pPr>
      <w:r>
        <w:rPr>
          <w:rFonts w:ascii="Calibri" w:cs="Calibri" w:eastAsia="Calibri" w:hAnsi="Calibri"/>
          <w:sz w:val="20"/>
          <w:szCs w:val="20"/>
          <w:b w:val="1"/>
          <w:bCs w:val="1"/>
          <w:u w:val="single" w:color="auto"/>
          <w:color w:val="auto"/>
        </w:rPr>
        <w:t>Reafrming 2024 Outlook</w:t>
      </w:r>
    </w:p>
    <w:p>
      <w:pPr>
        <w:spacing w:after="0" w:line="80" w:lineRule="exact"/>
        <w:rPr>
          <w:sz w:val="20"/>
          <w:szCs w:val="20"/>
          <w:color w:val="auto"/>
        </w:rPr>
      </w:pPr>
    </w:p>
    <w:p>
      <w:pPr>
        <w:spacing w:after="0"/>
        <w:rPr>
          <w:sz w:val="20"/>
          <w:szCs w:val="20"/>
          <w:color w:val="auto"/>
        </w:rPr>
      </w:pPr>
      <w:r>
        <w:rPr>
          <w:rFonts w:ascii="Calibri" w:cs="Calibri" w:eastAsia="Calibri" w:hAnsi="Calibri"/>
          <w:sz w:val="20"/>
          <w:szCs w:val="20"/>
          <w:color w:val="auto"/>
        </w:rPr>
        <w:t>Today, Sotera Health is reafrming the 2024 outlook frst provided on February 27, 2024. As a reminder, the outlook is:</w:t>
      </w:r>
    </w:p>
    <w:p>
      <w:pPr>
        <w:spacing w:after="0" w:line="104" w:lineRule="exact"/>
        <w:rPr>
          <w:sz w:val="20"/>
          <w:szCs w:val="20"/>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Calibri" w:cs="Calibri" w:eastAsia="Calibri" w:hAnsi="Calibri"/>
          <w:sz w:val="20"/>
          <w:szCs w:val="20"/>
          <w:color w:val="auto"/>
        </w:rPr>
        <w:t>Net revenues and Adjusted EBITDA growth in the range of 4.0% to 6.0%,</w:t>
      </w:r>
    </w:p>
    <w:p>
      <w:pPr>
        <w:spacing w:after="0" w:line="104"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Calibri" w:cs="Calibri" w:eastAsia="Calibri" w:hAnsi="Calibri"/>
          <w:sz w:val="20"/>
          <w:szCs w:val="20"/>
          <w:color w:val="auto"/>
        </w:rPr>
        <w:t>Interest Expense in the range of $170 million to $180 million,</w:t>
      </w:r>
    </w:p>
    <w:p>
      <w:pPr>
        <w:spacing w:after="0" w:line="141"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Calibri" w:cs="Calibri" w:eastAsia="Calibri" w:hAnsi="Calibri"/>
          <w:sz w:val="20"/>
          <w:szCs w:val="20"/>
          <w:color w:val="auto"/>
        </w:rPr>
        <w:t>Tax rate applicable to Adjusted Net Income</w:t>
      </w:r>
      <w:r>
        <w:rPr>
          <w:rFonts w:ascii="Calibri" w:cs="Calibri" w:eastAsia="Calibri" w:hAnsi="Calibri"/>
          <w:sz w:val="23"/>
          <w:szCs w:val="23"/>
          <w:color w:val="auto"/>
          <w:vertAlign w:val="superscript"/>
        </w:rPr>
        <w:t>(2)</w:t>
      </w:r>
      <w:r>
        <w:rPr>
          <w:rFonts w:ascii="Calibri" w:cs="Calibri" w:eastAsia="Calibri" w:hAnsi="Calibri"/>
          <w:sz w:val="20"/>
          <w:szCs w:val="20"/>
          <w:color w:val="auto"/>
        </w:rPr>
        <w:t xml:space="preserve"> in the range of 31.5% to 34.5%,</w:t>
      </w:r>
    </w:p>
    <w:p>
      <w:pPr>
        <w:spacing w:after="0" w:line="60"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Calibri" w:cs="Calibri" w:eastAsia="Calibri" w:hAnsi="Calibri"/>
          <w:sz w:val="20"/>
          <w:szCs w:val="20"/>
          <w:color w:val="auto"/>
        </w:rPr>
        <w:t>Adjusted EPS in the range of $0.67 to $0.75,</w:t>
      </w:r>
    </w:p>
    <w:p>
      <w:pPr>
        <w:spacing w:after="0" w:line="104"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Calibri" w:cs="Calibri" w:eastAsia="Calibri" w:hAnsi="Calibri"/>
          <w:sz w:val="20"/>
          <w:szCs w:val="20"/>
          <w:color w:val="auto"/>
        </w:rPr>
        <w:t>A weighted-average fully diluted share count in the range of 283 million to 285 million shares,</w:t>
      </w:r>
    </w:p>
    <w:p>
      <w:pPr>
        <w:spacing w:after="0" w:line="104"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Calibri" w:cs="Calibri" w:eastAsia="Calibri" w:hAnsi="Calibri"/>
          <w:sz w:val="20"/>
          <w:szCs w:val="20"/>
          <w:color w:val="auto"/>
        </w:rPr>
        <w:t>Capital expenditures in the range of $205 million to $225 million.</w:t>
      </w:r>
    </w:p>
    <w:p>
      <w:pPr>
        <w:spacing w:after="0" w:line="225" w:lineRule="exact"/>
        <w:rPr>
          <w:sz w:val="20"/>
          <w:szCs w:val="20"/>
          <w:color w:val="auto"/>
        </w:rPr>
      </w:pPr>
    </w:p>
    <w:p>
      <w:pPr>
        <w:spacing w:after="0" w:line="231" w:lineRule="auto"/>
        <w:rPr>
          <w:sz w:val="20"/>
          <w:szCs w:val="20"/>
          <w:color w:val="auto"/>
        </w:rPr>
      </w:pPr>
      <w:r>
        <w:rPr>
          <w:rFonts w:ascii="Calibri" w:cs="Calibri" w:eastAsia="Calibri" w:hAnsi="Calibri"/>
          <w:sz w:val="20"/>
          <w:szCs w:val="20"/>
          <w:color w:val="auto"/>
        </w:rPr>
        <w:t>The Company does not provide a reconciliaton for non-GAAP fnancial measures on a forward-looking basis where it is unable to provide a meaningful or accurate calculaton or estmaton of reconciling items without unreasonable efort. The Company cannot reconcile its expected Adjusted EBITDA, Adjusted Net Income, Adjusted EPS and Net Leverage Rato without unreasonable efort because certain items that impact net income, earnings per share and other reconciling metrics are out of the Company’s control and/or cannot be reasonably predicted at this tme, including uncertaintes caused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17145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73" w:lineRule="exact"/>
        <w:rPr>
          <w:sz w:val="20"/>
          <w:szCs w:val="20"/>
          <w:color w:val="auto"/>
        </w:rPr>
      </w:pPr>
    </w:p>
    <w:p>
      <w:pPr>
        <w:ind w:right="220" w:firstLine="8"/>
        <w:spacing w:after="0" w:line="245" w:lineRule="auto"/>
        <w:tabs>
          <w:tab w:leader="none" w:pos="150" w:val="left"/>
        </w:tabs>
        <w:numPr>
          <w:ilvl w:val="0"/>
          <w:numId w:val="4"/>
        </w:numPr>
        <w:rPr>
          <w:rFonts w:ascii="Arial" w:cs="Arial" w:eastAsia="Arial" w:hAnsi="Arial"/>
          <w:sz w:val="17"/>
          <w:szCs w:val="17"/>
          <w:color w:val="auto"/>
          <w:vertAlign w:val="superscript"/>
        </w:rPr>
      </w:pPr>
      <w:r>
        <w:rPr>
          <w:rFonts w:ascii="Calibri" w:cs="Calibri" w:eastAsia="Calibri" w:hAnsi="Calibri"/>
          <w:sz w:val="12"/>
          <w:szCs w:val="12"/>
          <w:color w:val="auto"/>
        </w:rPr>
        <w:t>This is a non-GAAP fnancial measure used throughout this press release; please refer to the secton “Non-GAAP Financial Measures” for explanatons of our Non-GAAP fnancial measures and the schedules provided later in this release for reconciliatons of reported GAAP to Non-GAAP fnancial measures.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2</w:t>
      </w:r>
    </w:p>
    <w:p>
      <w:pPr>
        <w:sectPr>
          <w:pgSz w:w="11900" w:h="16838" w:orient="portrait"/>
          <w:cols w:equalWidth="0" w:num="1">
            <w:col w:w="11240"/>
          </w:cols>
          <w:pgMar w:left="320" w:top="993" w:right="339" w:bottom="1440" w:gutter="0" w:footer="0" w:header="0"/>
        </w:sectPr>
      </w:pPr>
    </w:p>
    <w:bookmarkStart w:id="5" w:name="page6"/>
    <w:bookmarkEnd w:id="5"/>
    <w:p>
      <w:pPr>
        <w:ind w:right="40"/>
        <w:spacing w:after="0" w:line="228" w:lineRule="auto"/>
        <w:rPr>
          <w:sz w:val="20"/>
          <w:szCs w:val="20"/>
          <w:color w:val="auto"/>
        </w:rPr>
      </w:pPr>
      <w:r>
        <w:rPr>
          <w:rFonts w:ascii="Calibri" w:cs="Calibri" w:eastAsia="Calibri" w:hAnsi="Calibri"/>
          <w:sz w:val="20"/>
          <w:szCs w:val="20"/>
          <w:color w:val="auto"/>
        </w:rPr>
        <w:t>changes to the regulatory landscape, restructuring items and certain fair value measurements, all of which are potental adjustments for future earnings.</w:t>
      </w:r>
    </w:p>
    <w:p>
      <w:pPr>
        <w:spacing w:after="0" w:line="157" w:lineRule="exact"/>
        <w:rPr>
          <w:sz w:val="20"/>
          <w:szCs w:val="20"/>
          <w:color w:val="auto"/>
        </w:rPr>
      </w:pPr>
    </w:p>
    <w:p>
      <w:pPr>
        <w:ind w:right="80"/>
        <w:spacing w:after="0" w:line="231" w:lineRule="auto"/>
        <w:rPr>
          <w:sz w:val="20"/>
          <w:szCs w:val="20"/>
          <w:color w:val="auto"/>
        </w:rPr>
      </w:pPr>
      <w:r>
        <w:rPr>
          <w:rFonts w:ascii="Calibri" w:cs="Calibri" w:eastAsia="Calibri" w:hAnsi="Calibri"/>
          <w:sz w:val="20"/>
          <w:szCs w:val="20"/>
          <w:color w:val="auto"/>
        </w:rPr>
        <w:t>The outlook provided above contains a number of assumptons, including, among others, the Company’s current expectatons regarding supply chain contnuity, partcularly for the supply of EO and Cobalt-60, the impact of infatonary trends including their impact on energy prices and the supply of labor, and the expectaton that exchange rates as of March 31, 2024 remain constant for the remainder of 2024. Our outlook is based on current plans and expectatons and is subject to a several known and unknown risks and uncertaintes, including those set forth below under “Cautonary Note Regarding Forward-Looking Statements.”</w:t>
      </w:r>
    </w:p>
    <w:p>
      <w:pPr>
        <w:spacing w:after="0" w:line="206" w:lineRule="exact"/>
        <w:rPr>
          <w:sz w:val="20"/>
          <w:szCs w:val="20"/>
          <w:color w:val="auto"/>
        </w:rPr>
      </w:pPr>
    </w:p>
    <w:p>
      <w:pPr>
        <w:spacing w:after="0"/>
        <w:rPr>
          <w:sz w:val="20"/>
          <w:szCs w:val="20"/>
          <w:color w:val="auto"/>
        </w:rPr>
      </w:pPr>
      <w:r>
        <w:rPr>
          <w:rFonts w:ascii="Calibri" w:cs="Calibri" w:eastAsia="Calibri" w:hAnsi="Calibri"/>
          <w:sz w:val="20"/>
          <w:szCs w:val="20"/>
          <w:b w:val="1"/>
          <w:bCs w:val="1"/>
          <w:u w:val="single" w:color="auto"/>
          <w:color w:val="auto"/>
        </w:rPr>
        <w:t>Earnings Webcast</w:t>
      </w:r>
    </w:p>
    <w:p>
      <w:pPr>
        <w:spacing w:after="0" w:line="103" w:lineRule="exact"/>
        <w:rPr>
          <w:sz w:val="20"/>
          <w:szCs w:val="20"/>
          <w:color w:val="auto"/>
        </w:rPr>
      </w:pPr>
    </w:p>
    <w:p>
      <w:pPr>
        <w:ind w:right="40"/>
        <w:spacing w:after="0" w:line="231" w:lineRule="auto"/>
        <w:rPr>
          <w:sz w:val="20"/>
          <w:szCs w:val="20"/>
          <w:color w:val="auto"/>
        </w:rPr>
      </w:pPr>
      <w:r>
        <w:rPr>
          <w:rFonts w:ascii="Calibri" w:cs="Calibri" w:eastAsia="Calibri" w:hAnsi="Calibri"/>
          <w:sz w:val="20"/>
          <w:szCs w:val="20"/>
          <w:color w:val="auto"/>
        </w:rPr>
        <w:t xml:space="preserve">Sotera Health management will host a conference call and webcast to discuss the Company’s operatng highlights and fnancial results at 9:00 a.m. Eastern Time today. To partcipate in the live call, please dial 1-844-481-2916 if dialing in from the United States, or 1-412-317-0709 if dialing in from other locatons. A live webcast of the conference call and accompanying materials may also be accessed via the Investor Relatons secton of the Company’s website at </w:t>
      </w:r>
      <w:r>
        <w:rPr>
          <w:rFonts w:ascii="Calibri" w:cs="Calibri" w:eastAsia="Calibri" w:hAnsi="Calibri"/>
          <w:sz w:val="20"/>
          <w:szCs w:val="20"/>
          <w:u w:val="single" w:color="auto"/>
          <w:color w:val="3051F2"/>
        </w:rPr>
        <w:t>Presentaton &amp; Events | Sotera Health</w:t>
      </w:r>
      <w:r>
        <w:rPr>
          <w:rFonts w:ascii="Calibri" w:cs="Calibri" w:eastAsia="Calibri" w:hAnsi="Calibri"/>
          <w:sz w:val="20"/>
          <w:szCs w:val="20"/>
          <w:color w:val="auto"/>
        </w:rPr>
        <w:t>. A replay of the webcast will be archived on the Company’s website.</w:t>
      </w:r>
    </w:p>
    <w:p>
      <w:pPr>
        <w:spacing w:after="0" w:line="148" w:lineRule="exact"/>
        <w:rPr>
          <w:sz w:val="20"/>
          <w:szCs w:val="20"/>
          <w:color w:val="auto"/>
        </w:rPr>
      </w:pPr>
    </w:p>
    <w:p>
      <w:pPr>
        <w:ind w:right="140"/>
        <w:spacing w:after="0" w:line="234" w:lineRule="auto"/>
        <w:rPr>
          <w:sz w:val="20"/>
          <w:szCs w:val="20"/>
          <w:color w:val="auto"/>
        </w:rPr>
      </w:pPr>
      <w:r>
        <w:rPr>
          <w:rFonts w:ascii="Calibri" w:cs="Calibri" w:eastAsia="Calibri" w:hAnsi="Calibri"/>
          <w:sz w:val="20"/>
          <w:szCs w:val="20"/>
          <w:color w:val="auto"/>
        </w:rPr>
        <w:t xml:space="preserve">Updates on recent developments in maters relevant to investors can be found on the Investor Relatons secton of the Sotera Health website at </w:t>
      </w:r>
      <w:r>
        <w:rPr>
          <w:rFonts w:ascii="Calibri" w:cs="Calibri" w:eastAsia="Calibri" w:hAnsi="Calibri"/>
          <w:sz w:val="20"/>
          <w:szCs w:val="20"/>
          <w:u w:val="single" w:color="auto"/>
          <w:color w:val="3051F2"/>
        </w:rPr>
        <w:t>Investor Relatons | Sotera Health</w:t>
      </w:r>
      <w:r>
        <w:rPr>
          <w:rFonts w:ascii="Calibri" w:cs="Calibri" w:eastAsia="Calibri" w:hAnsi="Calibri"/>
          <w:sz w:val="20"/>
          <w:szCs w:val="20"/>
          <w:color w:val="auto"/>
        </w:rPr>
        <w:t xml:space="preserve">. For developments related to EO, updates can be found at </w:t>
      </w:r>
      <w:r>
        <w:rPr>
          <w:rFonts w:ascii="Calibri" w:cs="Calibri" w:eastAsia="Calibri" w:hAnsi="Calibri"/>
          <w:sz w:val="20"/>
          <w:szCs w:val="20"/>
          <w:u w:val="single" w:color="auto"/>
          <w:color w:val="3051F2"/>
        </w:rPr>
        <w:t>Ethylene Oxide | Sotera Health</w:t>
      </w:r>
      <w:r>
        <w:rPr>
          <w:rFonts w:ascii="Calibri" w:cs="Calibri" w:eastAsia="Calibri" w:hAnsi="Calibri"/>
          <w:sz w:val="20"/>
          <w:szCs w:val="20"/>
          <w:color w:val="auto"/>
        </w:rPr>
        <w:t>.</w:t>
      </w:r>
    </w:p>
    <w:p>
      <w:pPr>
        <w:spacing w:after="0" w:line="216" w:lineRule="exact"/>
        <w:rPr>
          <w:sz w:val="20"/>
          <w:szCs w:val="20"/>
          <w:color w:val="auto"/>
        </w:rPr>
      </w:pPr>
    </w:p>
    <w:p>
      <w:pPr>
        <w:spacing w:after="0"/>
        <w:rPr>
          <w:sz w:val="20"/>
          <w:szCs w:val="20"/>
          <w:color w:val="auto"/>
        </w:rPr>
      </w:pPr>
      <w:r>
        <w:rPr>
          <w:rFonts w:ascii="Calibri" w:cs="Calibri" w:eastAsia="Calibri" w:hAnsi="Calibri"/>
          <w:sz w:val="20"/>
          <w:szCs w:val="20"/>
          <w:b w:val="1"/>
          <w:bCs w:val="1"/>
          <w:u w:val="single" w:color="auto"/>
          <w:color w:val="auto"/>
        </w:rPr>
        <w:t>Upcoming Investor Events</w:t>
      </w:r>
    </w:p>
    <w:p>
      <w:pPr>
        <w:spacing w:after="0" w:line="80" w:lineRule="exact"/>
        <w:rPr>
          <w:sz w:val="20"/>
          <w:szCs w:val="20"/>
          <w:color w:val="auto"/>
        </w:rPr>
      </w:pPr>
    </w:p>
    <w:p>
      <w:pPr>
        <w:ind w:left="640" w:hanging="308"/>
        <w:spacing w:after="0"/>
        <w:tabs>
          <w:tab w:leader="none" w:pos="640" w:val="left"/>
        </w:tabs>
        <w:numPr>
          <w:ilvl w:val="0"/>
          <w:numId w:val="5"/>
        </w:numPr>
        <w:rPr>
          <w:rFonts w:ascii="Calibri" w:cs="Calibri" w:eastAsia="Calibri" w:hAnsi="Calibri"/>
          <w:sz w:val="20"/>
          <w:szCs w:val="20"/>
          <w:color w:val="auto"/>
        </w:rPr>
      </w:pPr>
      <w:r>
        <w:rPr>
          <w:rFonts w:ascii="Calibri" w:cs="Calibri" w:eastAsia="Calibri" w:hAnsi="Calibri"/>
          <w:sz w:val="20"/>
          <w:szCs w:val="20"/>
          <w:color w:val="auto"/>
        </w:rPr>
        <w:t>RBC 2024 Global Healthcare Conference at 9:30 a.m. Eastern Time, May 15, 2024</w:t>
      </w:r>
    </w:p>
    <w:p>
      <w:pPr>
        <w:spacing w:after="0" w:line="79" w:lineRule="exact"/>
        <w:rPr>
          <w:rFonts w:ascii="Calibri" w:cs="Calibri" w:eastAsia="Calibri" w:hAnsi="Calibri"/>
          <w:sz w:val="20"/>
          <w:szCs w:val="20"/>
          <w:color w:val="auto"/>
        </w:rPr>
      </w:pPr>
    </w:p>
    <w:p>
      <w:pPr>
        <w:ind w:left="640" w:hanging="308"/>
        <w:spacing w:after="0"/>
        <w:tabs>
          <w:tab w:leader="none" w:pos="640" w:val="left"/>
        </w:tabs>
        <w:numPr>
          <w:ilvl w:val="0"/>
          <w:numId w:val="5"/>
        </w:numPr>
        <w:rPr>
          <w:rFonts w:ascii="Calibri" w:cs="Calibri" w:eastAsia="Calibri" w:hAnsi="Calibri"/>
          <w:sz w:val="20"/>
          <w:szCs w:val="20"/>
          <w:color w:val="auto"/>
        </w:rPr>
      </w:pPr>
      <w:r>
        <w:rPr>
          <w:rFonts w:ascii="Calibri" w:cs="Calibri" w:eastAsia="Calibri" w:hAnsi="Calibri"/>
          <w:sz w:val="20"/>
          <w:szCs w:val="20"/>
          <w:color w:val="auto"/>
        </w:rPr>
        <w:t>Sotera Health 2024 Annual Meetng of Shareholders at 9:00 a.m. Eastern Time, May 23, 2024</w:t>
      </w:r>
    </w:p>
    <w:p>
      <w:pPr>
        <w:spacing w:after="0" w:line="79" w:lineRule="exact"/>
        <w:rPr>
          <w:rFonts w:ascii="Calibri" w:cs="Calibri" w:eastAsia="Calibri" w:hAnsi="Calibri"/>
          <w:sz w:val="20"/>
          <w:szCs w:val="20"/>
          <w:color w:val="auto"/>
        </w:rPr>
      </w:pPr>
    </w:p>
    <w:p>
      <w:pPr>
        <w:ind w:left="640" w:hanging="308"/>
        <w:spacing w:after="0"/>
        <w:tabs>
          <w:tab w:leader="none" w:pos="640" w:val="left"/>
        </w:tabs>
        <w:numPr>
          <w:ilvl w:val="0"/>
          <w:numId w:val="5"/>
        </w:numPr>
        <w:rPr>
          <w:rFonts w:ascii="Calibri" w:cs="Calibri" w:eastAsia="Calibri" w:hAnsi="Calibri"/>
          <w:sz w:val="20"/>
          <w:szCs w:val="20"/>
          <w:color w:val="auto"/>
        </w:rPr>
      </w:pPr>
      <w:r>
        <w:rPr>
          <w:rFonts w:ascii="Calibri" w:cs="Calibri" w:eastAsia="Calibri" w:hAnsi="Calibri"/>
          <w:sz w:val="20"/>
          <w:szCs w:val="20"/>
          <w:color w:val="auto"/>
        </w:rPr>
        <w:t>Jeferies Global Healthcare Conference, June 5, 2024</w:t>
      </w:r>
    </w:p>
    <w:p>
      <w:pPr>
        <w:spacing w:after="0" w:line="93" w:lineRule="exact"/>
        <w:rPr>
          <w:rFonts w:ascii="Calibri" w:cs="Calibri" w:eastAsia="Calibri" w:hAnsi="Calibri"/>
          <w:sz w:val="20"/>
          <w:szCs w:val="20"/>
          <w:color w:val="auto"/>
        </w:rPr>
      </w:pPr>
    </w:p>
    <w:p>
      <w:pPr>
        <w:ind w:left="640" w:hanging="308"/>
        <w:spacing w:after="0"/>
        <w:tabs>
          <w:tab w:leader="none" w:pos="640" w:val="left"/>
        </w:tabs>
        <w:numPr>
          <w:ilvl w:val="0"/>
          <w:numId w:val="5"/>
        </w:numPr>
        <w:rPr>
          <w:rFonts w:ascii="Calibri" w:cs="Calibri" w:eastAsia="Calibri" w:hAnsi="Calibri"/>
          <w:sz w:val="20"/>
          <w:szCs w:val="20"/>
          <w:color w:val="auto"/>
        </w:rPr>
      </w:pPr>
      <w:r>
        <w:rPr>
          <w:rFonts w:ascii="Calibri" w:cs="Calibri" w:eastAsia="Calibri" w:hAnsi="Calibri"/>
          <w:sz w:val="20"/>
          <w:szCs w:val="20"/>
          <w:color w:val="auto"/>
        </w:rPr>
        <w:t>Goldman Sachs 45th annual Global Healthcare Conference, June 12, 2024</w:t>
      </w:r>
    </w:p>
    <w:p>
      <w:pPr>
        <w:spacing w:after="0" w:line="201" w:lineRule="exact"/>
        <w:rPr>
          <w:sz w:val="20"/>
          <w:szCs w:val="20"/>
          <w:color w:val="auto"/>
        </w:rPr>
      </w:pPr>
    </w:p>
    <w:p>
      <w:pPr>
        <w:spacing w:after="0"/>
        <w:rPr>
          <w:sz w:val="20"/>
          <w:szCs w:val="20"/>
          <w:color w:val="auto"/>
        </w:rPr>
      </w:pPr>
      <w:r>
        <w:rPr>
          <w:rFonts w:ascii="Calibri" w:cs="Calibri" w:eastAsia="Calibri" w:hAnsi="Calibri"/>
          <w:sz w:val="20"/>
          <w:szCs w:val="20"/>
          <w:b w:val="1"/>
          <w:bCs w:val="1"/>
          <w:u w:val="single" w:color="auto"/>
          <w:color w:val="auto"/>
        </w:rPr>
        <w:t>Cautonary Note Regarding Forward-Looking Statements</w:t>
      </w:r>
    </w:p>
    <w:p>
      <w:pPr>
        <w:spacing w:after="0" w:line="144" w:lineRule="exact"/>
        <w:rPr>
          <w:sz w:val="20"/>
          <w:szCs w:val="20"/>
          <w:color w:val="auto"/>
        </w:rPr>
      </w:pPr>
    </w:p>
    <w:p>
      <w:pPr>
        <w:spacing w:after="0" w:line="233" w:lineRule="auto"/>
        <w:rPr>
          <w:sz w:val="20"/>
          <w:szCs w:val="20"/>
          <w:color w:val="auto"/>
        </w:rPr>
      </w:pPr>
      <w:r>
        <w:rPr>
          <w:rFonts w:ascii="Calibri" w:cs="Calibri" w:eastAsia="Calibri" w:hAnsi="Calibri"/>
          <w:sz w:val="20"/>
          <w:szCs w:val="20"/>
          <w:color w:val="auto"/>
        </w:rPr>
        <w:t>Unless expressly indicated or the context requires otherwise, the terms “Sotera Health,” “Company,” “we,” “us,” and “our” in this document refer to Sotera Health Company, a Delaware corporaton, and, where appropriate, its subsidiaries on a consolidated basis. This release contains forward-looking statements that refect management’s expectatons about future events and the Company’s operatng plans and performance and speak only as of the date hereof. You can identfy these forward-looking statements by the use of forward-looking words such as “will,” “may,” “plan,” “estmate,” “project,” “believe,” “antcipate,” “expect,” “intend,” “should,” “would,” “could,” “target,” “goal,” “contnue to,” “positoned to,” “are confdent” or the negatve versions of those words or other comparable words. In additon, any statements that refer to expectatons, projectons or other characterizatons of future events or circumstances, are forward-looking statements. Any forward-looking statements contained in this release are based upon our historical performance and on our current plans, estmates and expectatons of the Company’s future performance and the future performance of the markets in which the Company operates in light of informaton currently available to us. The inclusion of this forward-looking informaton should not be regarded as a representaton by us that the future plans, estmates or expectatons contemplated by us will be achieved. These forward-looking statements are subject to various risks, uncertaintes and assumptons relatng to our operatons, fnancial results, fnancial conditon, business, prospects, growth strategy and liquidity. These risks and uncertaintes include, without limitaton, any disrupton in the availability or supply of, or increases in the price of ethylene oxide (“EO”) or Cobalt-60, or our other direct materials, services and supplies, including as a result of geopolitcal instability and/or sanctons against Russia; fuctuatons in foreign currency exchange rates; changes in industry trends, environmental, health and safety regulatons or preferences, and general</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3</w:t>
      </w:r>
    </w:p>
    <w:p>
      <w:pPr>
        <w:sectPr>
          <w:pgSz w:w="11900" w:h="16838" w:orient="portrait"/>
          <w:cols w:equalWidth="0" w:num="1">
            <w:col w:w="11220"/>
          </w:cols>
          <w:pgMar w:left="320" w:top="1074" w:right="359" w:bottom="1440" w:gutter="0" w:footer="0" w:header="0"/>
        </w:sectPr>
      </w:pPr>
    </w:p>
    <w:bookmarkStart w:id="6" w:name="page7"/>
    <w:bookmarkEnd w:id="6"/>
    <w:p>
      <w:pPr>
        <w:spacing w:after="0" w:line="233" w:lineRule="auto"/>
        <w:rPr>
          <w:sz w:val="20"/>
          <w:szCs w:val="20"/>
          <w:color w:val="auto"/>
        </w:rPr>
      </w:pPr>
      <w:r>
        <w:rPr>
          <w:rFonts w:ascii="Calibri" w:cs="Calibri" w:eastAsia="Calibri" w:hAnsi="Calibri"/>
          <w:sz w:val="20"/>
          <w:szCs w:val="20"/>
          <w:color w:val="auto"/>
        </w:rPr>
        <w:t>economic, social and business conditons; the impact and outcome of current and future legal proceedings and liability claims, including litgaton related to use of EO and/or emission and releases of EO from our facilites in California, Georgia, Illinois and New Mexico and the possibility that other claims will be made in the future relatng to these or other facilites; our ability to increase capacity at existng facilites, build new facilites in a tmely and cost-efectve manner and renew leases for our leased facilites; our ability to atract and retain qualifed employees; the risks of doing business internatonally, including global and regional economic and politcal instability and compliance with numerous and sometmes inconsistent laws and regulatons in multple jurisdictons; and an inability to pursue strategic transactons, fnd suitable acquisiton targets, or integrate strategic acquisitons into our business successfully. For additonal discussion of these risks and uncertaintes, please refer to the Company’s flings with the SEC, such as its annual and quarterly reports. We do not undertake any obligaton to publicly update or revise these forward-looking statements, except as otherwise required by law.</w:t>
      </w:r>
    </w:p>
    <w:p>
      <w:pPr>
        <w:spacing w:after="0" w:line="220" w:lineRule="exact"/>
        <w:rPr>
          <w:sz w:val="20"/>
          <w:szCs w:val="20"/>
          <w:color w:val="auto"/>
        </w:rPr>
      </w:pPr>
    </w:p>
    <w:p>
      <w:pPr>
        <w:spacing w:after="0"/>
        <w:rPr>
          <w:sz w:val="20"/>
          <w:szCs w:val="20"/>
          <w:color w:val="auto"/>
        </w:rPr>
      </w:pPr>
      <w:r>
        <w:rPr>
          <w:rFonts w:ascii="Calibri" w:cs="Calibri" w:eastAsia="Calibri" w:hAnsi="Calibri"/>
          <w:sz w:val="20"/>
          <w:szCs w:val="20"/>
          <w:b w:val="1"/>
          <w:bCs w:val="1"/>
          <w:u w:val="single" w:color="auto"/>
          <w:color w:val="auto"/>
        </w:rPr>
        <w:t>Non-GAAP Financial Measures</w:t>
      </w:r>
    </w:p>
    <w:p>
      <w:pPr>
        <w:spacing w:after="0" w:line="90" w:lineRule="exact"/>
        <w:rPr>
          <w:sz w:val="20"/>
          <w:szCs w:val="20"/>
          <w:color w:val="auto"/>
        </w:rPr>
      </w:pPr>
    </w:p>
    <w:p>
      <w:pPr>
        <w:ind w:right="220"/>
        <w:spacing w:after="0" w:line="231" w:lineRule="auto"/>
        <w:rPr>
          <w:sz w:val="20"/>
          <w:szCs w:val="20"/>
          <w:color w:val="auto"/>
        </w:rPr>
      </w:pPr>
      <w:r>
        <w:rPr>
          <w:rFonts w:ascii="Calibri" w:cs="Calibri" w:eastAsia="Calibri" w:hAnsi="Calibri"/>
          <w:sz w:val="20"/>
          <w:szCs w:val="20"/>
          <w:color w:val="auto"/>
        </w:rPr>
        <w:t>To supplement our consolidated fnancial statements presented in accordance with GAAP, we consider Adjusted EBITDA, Adjusted EBITDA margin, Adjusted Net Income, Adjusted EPS, Segment income margin, Net Debt and Net Leverage Rato and constant currency, fnancial measures that are not based on any standardized methodology prescribed by GAAP.</w:t>
      </w:r>
    </w:p>
    <w:p>
      <w:pPr>
        <w:spacing w:after="0" w:line="146" w:lineRule="exact"/>
        <w:rPr>
          <w:sz w:val="20"/>
          <w:szCs w:val="20"/>
          <w:color w:val="auto"/>
        </w:rPr>
      </w:pPr>
    </w:p>
    <w:p>
      <w:pPr>
        <w:ind w:right="180"/>
        <w:spacing w:after="0" w:line="234" w:lineRule="auto"/>
        <w:rPr>
          <w:sz w:val="20"/>
          <w:szCs w:val="20"/>
          <w:color w:val="auto"/>
        </w:rPr>
      </w:pPr>
      <w:r>
        <w:rPr>
          <w:rFonts w:ascii="Calibri" w:cs="Calibri" w:eastAsia="Calibri" w:hAnsi="Calibri"/>
          <w:sz w:val="20"/>
          <w:szCs w:val="20"/>
          <w:color w:val="auto"/>
        </w:rPr>
        <w:t>We defne Adjusted Net Income as net income (loss) before amortzaton and certain other adjustments that we do not consider in our evaluaton of our ongoing operatng performance from period to period.</w:t>
      </w:r>
    </w:p>
    <w:p>
      <w:pPr>
        <w:spacing w:after="0" w:line="145" w:lineRule="exact"/>
        <w:rPr>
          <w:sz w:val="20"/>
          <w:szCs w:val="20"/>
          <w:color w:val="auto"/>
        </w:rPr>
      </w:pPr>
    </w:p>
    <w:p>
      <w:pPr>
        <w:ind w:right="200"/>
        <w:spacing w:after="0" w:line="234" w:lineRule="auto"/>
        <w:rPr>
          <w:sz w:val="20"/>
          <w:szCs w:val="20"/>
          <w:color w:val="auto"/>
        </w:rPr>
      </w:pPr>
      <w:r>
        <w:rPr>
          <w:rFonts w:ascii="Calibri" w:cs="Calibri" w:eastAsia="Calibri" w:hAnsi="Calibri"/>
          <w:sz w:val="20"/>
          <w:szCs w:val="20"/>
          <w:color w:val="auto"/>
        </w:rPr>
        <w:t>We defne Adjusted EBITDA as Adjusted Net Income before interest expense, depreciaton (including depreciaton of Co-60 used in our operatons) and income tax provision applicable to Adjusted Net Income.</w:t>
      </w:r>
    </w:p>
    <w:p>
      <w:pPr>
        <w:spacing w:after="0" w:line="135" w:lineRule="exact"/>
        <w:rPr>
          <w:sz w:val="20"/>
          <w:szCs w:val="20"/>
          <w:color w:val="auto"/>
        </w:rPr>
      </w:pPr>
    </w:p>
    <w:p>
      <w:pPr>
        <w:spacing w:after="0"/>
        <w:rPr>
          <w:sz w:val="20"/>
          <w:szCs w:val="20"/>
          <w:color w:val="auto"/>
        </w:rPr>
      </w:pPr>
      <w:r>
        <w:rPr>
          <w:rFonts w:ascii="Calibri" w:cs="Calibri" w:eastAsia="Calibri" w:hAnsi="Calibri"/>
          <w:sz w:val="20"/>
          <w:szCs w:val="20"/>
          <w:color w:val="auto"/>
        </w:rPr>
        <w:t>Adjusted EBITDA margin is equal to Adjusted EBITDA divided by net revenues.</w:t>
      </w:r>
    </w:p>
    <w:p>
      <w:pPr>
        <w:spacing w:after="0" w:line="134" w:lineRule="exact"/>
        <w:rPr>
          <w:sz w:val="20"/>
          <w:szCs w:val="20"/>
          <w:color w:val="auto"/>
        </w:rPr>
      </w:pPr>
    </w:p>
    <w:p>
      <w:pPr>
        <w:spacing w:after="0"/>
        <w:rPr>
          <w:sz w:val="20"/>
          <w:szCs w:val="20"/>
          <w:color w:val="auto"/>
        </w:rPr>
      </w:pPr>
      <w:r>
        <w:rPr>
          <w:rFonts w:ascii="Calibri" w:cs="Calibri" w:eastAsia="Calibri" w:hAnsi="Calibri"/>
          <w:sz w:val="20"/>
          <w:szCs w:val="20"/>
          <w:color w:val="auto"/>
        </w:rPr>
        <w:t>Segment income margin is equal to segment income divided by net segment revenues.</w:t>
      </w:r>
    </w:p>
    <w:p>
      <w:pPr>
        <w:spacing w:after="0" w:line="147" w:lineRule="exact"/>
        <w:rPr>
          <w:sz w:val="20"/>
          <w:szCs w:val="20"/>
          <w:color w:val="auto"/>
        </w:rPr>
      </w:pPr>
    </w:p>
    <w:p>
      <w:pPr>
        <w:spacing w:after="0"/>
        <w:rPr>
          <w:sz w:val="20"/>
          <w:szCs w:val="20"/>
          <w:color w:val="auto"/>
        </w:rPr>
      </w:pPr>
      <w:r>
        <w:rPr>
          <w:rFonts w:ascii="Calibri" w:cs="Calibri" w:eastAsia="Calibri" w:hAnsi="Calibri"/>
          <w:sz w:val="20"/>
          <w:szCs w:val="20"/>
          <w:color w:val="auto"/>
        </w:rPr>
        <w:t>We defne Adjusted EPS as Adjusted Net Income divided by the weighted average number of diluted shares outstanding.</w:t>
      </w:r>
    </w:p>
    <w:p>
      <w:pPr>
        <w:spacing w:after="0" w:line="134" w:lineRule="exact"/>
        <w:rPr>
          <w:sz w:val="20"/>
          <w:szCs w:val="20"/>
          <w:color w:val="auto"/>
        </w:rPr>
      </w:pPr>
    </w:p>
    <w:p>
      <w:pPr>
        <w:spacing w:after="0"/>
        <w:rPr>
          <w:sz w:val="20"/>
          <w:szCs w:val="20"/>
          <w:color w:val="auto"/>
        </w:rPr>
      </w:pPr>
      <w:r>
        <w:rPr>
          <w:rFonts w:ascii="Calibri" w:cs="Calibri" w:eastAsia="Calibri" w:hAnsi="Calibri"/>
          <w:sz w:val="20"/>
          <w:szCs w:val="20"/>
          <w:color w:val="auto"/>
        </w:rPr>
        <w:t>Our Net Debt is equal to our total debt net of unamortzed debt issuance costs and debt discounts, less cash and cash equivalents.</w:t>
      </w:r>
    </w:p>
    <w:p>
      <w:pPr>
        <w:spacing w:after="0" w:line="134" w:lineRule="exact"/>
        <w:rPr>
          <w:sz w:val="20"/>
          <w:szCs w:val="20"/>
          <w:color w:val="auto"/>
        </w:rPr>
      </w:pPr>
    </w:p>
    <w:p>
      <w:pPr>
        <w:spacing w:after="0"/>
        <w:rPr>
          <w:sz w:val="20"/>
          <w:szCs w:val="20"/>
          <w:color w:val="auto"/>
        </w:rPr>
      </w:pPr>
      <w:r>
        <w:rPr>
          <w:rFonts w:ascii="Calibri" w:cs="Calibri" w:eastAsia="Calibri" w:hAnsi="Calibri"/>
          <w:sz w:val="20"/>
          <w:szCs w:val="20"/>
          <w:color w:val="auto"/>
        </w:rPr>
        <w:t>Our Net Leverage Rato is equal to Net Debt divided by Adjusted EBITDA.</w:t>
      </w:r>
    </w:p>
    <w:p>
      <w:pPr>
        <w:spacing w:after="0" w:line="130" w:lineRule="exact"/>
        <w:rPr>
          <w:sz w:val="20"/>
          <w:szCs w:val="20"/>
          <w:color w:val="auto"/>
        </w:rPr>
      </w:pPr>
    </w:p>
    <w:p>
      <w:pPr>
        <w:ind w:right="80"/>
        <w:spacing w:after="0" w:line="220" w:lineRule="auto"/>
        <w:rPr>
          <w:sz w:val="20"/>
          <w:szCs w:val="20"/>
          <w:color w:val="auto"/>
        </w:rPr>
      </w:pPr>
      <w:r>
        <w:rPr>
          <w:rFonts w:ascii="Calibri" w:cs="Calibri" w:eastAsia="Calibri" w:hAnsi="Calibri"/>
          <w:sz w:val="20"/>
          <w:szCs w:val="20"/>
          <w:color w:val="auto"/>
        </w:rPr>
        <w:t>Constant currency is a non-GAAP fnancial measure we use to assess performance excluding the impact of foreign currency exchange rate changes. We calculate constant currency net revenues by translatng prior year net revenues in local currency at the average exchange rates applicable for the current period. The translated results are then used to determine year-over-year percentage increases or decreases. We generally refer to such amounts calculated on a constant currency basis as excluding the impact of foreign currency exchange rates. These results should be considered in additon to, not as a substtute for, results reported in accordance with GAAP. Results on a constant currency basis, as we present them, may not be comparable to similarly ttled measures used by other companies and are not measures of performance presented in accordance with GAAP.</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4</w:t>
      </w:r>
    </w:p>
    <w:p>
      <w:pPr>
        <w:sectPr>
          <w:pgSz w:w="11900" w:h="16838" w:orient="portrait"/>
          <w:cols w:equalWidth="0" w:num="1">
            <w:col w:w="11220"/>
          </w:cols>
          <w:pgMar w:left="320" w:top="993" w:right="359" w:bottom="1440" w:gutter="0" w:footer="0" w:header="0"/>
        </w:sectPr>
      </w:pPr>
    </w:p>
    <w:bookmarkStart w:id="7" w:name="page8"/>
    <w:bookmarkEnd w:id="7"/>
    <w:p>
      <w:pPr>
        <w:ind w:right="120"/>
        <w:spacing w:after="0" w:line="234" w:lineRule="auto"/>
        <w:rPr>
          <w:sz w:val="20"/>
          <w:szCs w:val="20"/>
          <w:color w:val="auto"/>
        </w:rPr>
      </w:pPr>
      <w:r>
        <w:rPr>
          <w:rFonts w:ascii="Calibri" w:cs="Calibri" w:eastAsia="Calibri" w:hAnsi="Calibri"/>
          <w:sz w:val="20"/>
          <w:szCs w:val="20"/>
          <w:color w:val="auto"/>
        </w:rPr>
        <w:t>We use these non-GAAP fnancial measures as the principal measures of our operatng performance. Management believes these measures allow management to more efectvely evaluate our operatng performance and compare the results of our operatons from period to period without the impact of certain non-cash items and non-routne items that we do not expect to contnue at the same level in the future and other items that are not core to our operatons. We believe that these measures are useful to our investors because they provide a more complete understanding of the factors and trends afectng our business than could be obtained without these measures and their disclosure. In additon, we believe these measures will assist investors in making comparisons to our historical operatng results and analyzing the underlying performance of our operatons for the periods presented. Our management also uses these measurements in their fnancial analysis and operatonal decision-making and Adjusted EBITDA serves as the key metric for the atainment of our primary annual incentve program. These measures may be calculated diferently from, and therefore may not be comparable to, a similarly ttled measure used by other companies.</w:t>
      </w:r>
    </w:p>
    <w:p>
      <w:pPr>
        <w:spacing w:after="0" w:line="202" w:lineRule="exact"/>
        <w:rPr>
          <w:sz w:val="20"/>
          <w:szCs w:val="20"/>
          <w:color w:val="auto"/>
        </w:rPr>
      </w:pPr>
    </w:p>
    <w:p>
      <w:pPr>
        <w:spacing w:after="0"/>
        <w:rPr>
          <w:sz w:val="20"/>
          <w:szCs w:val="20"/>
          <w:color w:val="auto"/>
        </w:rPr>
      </w:pPr>
      <w:r>
        <w:rPr>
          <w:rFonts w:ascii="Calibri" w:cs="Calibri" w:eastAsia="Calibri" w:hAnsi="Calibri"/>
          <w:sz w:val="20"/>
          <w:szCs w:val="20"/>
          <w:b w:val="1"/>
          <w:bCs w:val="1"/>
          <w:u w:val="single" w:color="auto"/>
          <w:color w:val="auto"/>
        </w:rPr>
        <w:t>About Sotera Health</w:t>
      </w:r>
    </w:p>
    <w:p>
      <w:pPr>
        <w:spacing w:after="0" w:line="103" w:lineRule="exact"/>
        <w:rPr>
          <w:sz w:val="20"/>
          <w:szCs w:val="20"/>
          <w:color w:val="auto"/>
        </w:rPr>
      </w:pPr>
    </w:p>
    <w:p>
      <w:pPr>
        <w:spacing w:after="0" w:line="231" w:lineRule="auto"/>
        <w:rPr>
          <w:sz w:val="20"/>
          <w:szCs w:val="20"/>
          <w:color w:val="auto"/>
        </w:rPr>
      </w:pPr>
      <w:r>
        <w:rPr>
          <w:rFonts w:ascii="Calibri" w:cs="Calibri" w:eastAsia="Calibri" w:hAnsi="Calibri"/>
          <w:sz w:val="20"/>
          <w:szCs w:val="20"/>
          <w:color w:val="auto"/>
        </w:rPr>
        <w:t>Sotera Health Company is a leading global provider of mission-critcal end-to-end sterilizaton solutons and lab testng and advisory services for the healthcare industry. Sotera Health goes to market through three businesses – Sterigenics®, Nordion® and Nelson Labs®. Sotera Health is commited to its mission, Safeguarding Global Health®.</w:t>
      </w:r>
    </w:p>
    <w:p>
      <w:pPr>
        <w:spacing w:after="0" w:line="203"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INVESTOR RELATIONS CONTACT</w:t>
      </w:r>
    </w:p>
    <w:p>
      <w:pPr>
        <w:spacing w:after="0" w:line="238" w:lineRule="auto"/>
        <w:rPr>
          <w:sz w:val="20"/>
          <w:szCs w:val="20"/>
          <w:color w:val="auto"/>
        </w:rPr>
      </w:pPr>
      <w:r>
        <w:rPr>
          <w:rFonts w:ascii="Calibri" w:cs="Calibri" w:eastAsia="Calibri" w:hAnsi="Calibri"/>
          <w:sz w:val="20"/>
          <w:szCs w:val="20"/>
          <w:color w:val="auto"/>
        </w:rPr>
        <w:t>Jason Peterson</w:t>
      </w:r>
    </w:p>
    <w:p>
      <w:pPr>
        <w:spacing w:after="0" w:line="226" w:lineRule="auto"/>
        <w:rPr>
          <w:sz w:val="20"/>
          <w:szCs w:val="20"/>
          <w:color w:val="auto"/>
        </w:rPr>
      </w:pPr>
      <w:r>
        <w:rPr>
          <w:rFonts w:ascii="Calibri" w:cs="Calibri" w:eastAsia="Calibri" w:hAnsi="Calibri"/>
          <w:sz w:val="20"/>
          <w:szCs w:val="20"/>
          <w:color w:val="auto"/>
        </w:rPr>
        <w:t>Vice President &amp; Treasurer, Sotera Health</w:t>
      </w:r>
    </w:p>
    <w:p>
      <w:pPr>
        <w:spacing w:after="0"/>
        <w:rPr>
          <w:sz w:val="20"/>
          <w:szCs w:val="20"/>
          <w:color w:val="auto"/>
        </w:rPr>
      </w:pPr>
      <w:r>
        <w:rPr>
          <w:rFonts w:ascii="Calibri" w:cs="Calibri" w:eastAsia="Calibri" w:hAnsi="Calibri"/>
          <w:sz w:val="20"/>
          <w:szCs w:val="20"/>
          <w:u w:val="single" w:color="auto"/>
          <w:color w:val="0E32E1"/>
        </w:rPr>
        <w:t>IR@soterahealth.com</w:t>
      </w:r>
    </w:p>
    <w:p>
      <w:pPr>
        <w:spacing w:after="0" w:line="214"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MEDIA CONTACT</w:t>
      </w:r>
    </w:p>
    <w:p>
      <w:pPr>
        <w:spacing w:after="0" w:line="225" w:lineRule="auto"/>
        <w:rPr>
          <w:sz w:val="20"/>
          <w:szCs w:val="20"/>
          <w:color w:val="auto"/>
        </w:rPr>
      </w:pPr>
      <w:r>
        <w:rPr>
          <w:rFonts w:ascii="Calibri" w:cs="Calibri" w:eastAsia="Calibri" w:hAnsi="Calibri"/>
          <w:sz w:val="20"/>
          <w:szCs w:val="20"/>
          <w:color w:val="auto"/>
        </w:rPr>
        <w:t>Kristn Gibbs</w:t>
      </w:r>
    </w:p>
    <w:p>
      <w:pPr>
        <w:spacing w:after="0"/>
        <w:rPr>
          <w:sz w:val="20"/>
          <w:szCs w:val="20"/>
          <w:color w:val="auto"/>
        </w:rPr>
      </w:pPr>
      <w:r>
        <w:rPr>
          <w:rFonts w:ascii="Calibri" w:cs="Calibri" w:eastAsia="Calibri" w:hAnsi="Calibri"/>
          <w:sz w:val="20"/>
          <w:szCs w:val="20"/>
          <w:color w:val="auto"/>
        </w:rPr>
        <w:t>Chief Marketng Ofcer, Sotera Health</w:t>
      </w:r>
    </w:p>
    <w:p>
      <w:pPr>
        <w:spacing w:after="0" w:line="225" w:lineRule="auto"/>
        <w:rPr>
          <w:sz w:val="20"/>
          <w:szCs w:val="20"/>
          <w:color w:val="auto"/>
        </w:rPr>
      </w:pPr>
      <w:r>
        <w:rPr>
          <w:rFonts w:ascii="Calibri" w:cs="Calibri" w:eastAsia="Calibri" w:hAnsi="Calibri"/>
          <w:sz w:val="20"/>
          <w:szCs w:val="20"/>
          <w:u w:val="single" w:color="auto"/>
          <w:color w:val="0E32E1"/>
        </w:rPr>
        <w:t>kgibbs@soterahealth.com</w:t>
      </w:r>
    </w:p>
    <w:p>
      <w:pPr>
        <w:spacing w:after="0" w:line="175" w:lineRule="exact"/>
        <w:rPr>
          <w:sz w:val="20"/>
          <w:szCs w:val="20"/>
          <w:color w:val="auto"/>
        </w:rPr>
      </w:pPr>
    </w:p>
    <w:p>
      <w:pPr>
        <w:spacing w:after="0"/>
        <w:rPr>
          <w:sz w:val="20"/>
          <w:szCs w:val="20"/>
          <w:color w:val="auto"/>
        </w:rPr>
      </w:pPr>
      <w:r>
        <w:rPr>
          <w:rFonts w:ascii="Calibri" w:cs="Calibri" w:eastAsia="Calibri" w:hAnsi="Calibri"/>
          <w:sz w:val="20"/>
          <w:szCs w:val="20"/>
          <w:color w:val="auto"/>
        </w:rPr>
        <w:t>Source: Sotera Health Company</w:t>
      </w:r>
    </w:p>
    <w:p>
      <w:pPr>
        <w:spacing w:after="0" w:line="242" w:lineRule="exact"/>
        <w:rPr>
          <w:sz w:val="20"/>
          <w:szCs w:val="20"/>
          <w:color w:val="auto"/>
        </w:rPr>
      </w:pPr>
    </w:p>
    <w:p>
      <w:pPr>
        <w:jc w:val="center"/>
        <w:ind w:right="-159"/>
        <w:spacing w:after="0"/>
        <w:rPr>
          <w:sz w:val="20"/>
          <w:szCs w:val="20"/>
          <w:color w:val="auto"/>
        </w:rPr>
      </w:pPr>
      <w:r>
        <w:rPr>
          <w:rFonts w:ascii="Calibri" w:cs="Calibri" w:eastAsia="Calibri" w:hAnsi="Calibri"/>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59"/>
        <w:spacing w:after="0"/>
        <w:rPr>
          <w:sz w:val="20"/>
          <w:szCs w:val="20"/>
          <w:color w:val="auto"/>
        </w:rPr>
      </w:pPr>
      <w:r>
        <w:rPr>
          <w:rFonts w:ascii="Calibri" w:cs="Calibri" w:eastAsia="Calibri" w:hAnsi="Calibri"/>
          <w:sz w:val="18"/>
          <w:szCs w:val="18"/>
          <w:color w:val="auto"/>
        </w:rPr>
        <w:t>5</w:t>
      </w:r>
    </w:p>
    <w:p>
      <w:pPr>
        <w:sectPr>
          <w:pgSz w:w="11900" w:h="16838" w:orient="portrait"/>
          <w:cols w:equalWidth="0" w:num="1">
            <w:col w:w="11100"/>
          </w:cols>
          <w:pgMar w:left="320" w:top="993" w:right="47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22"/>
          <w:szCs w:val="22"/>
          <w:b w:val="1"/>
          <w:bCs w:val="1"/>
          <w:color w:val="auto"/>
        </w:rPr>
        <w:t>Sotera Health Company</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Consolidated Statements of Operations</w:t>
      </w: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per share amounts)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8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gridSpan w:val="4"/>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9"/>
              </w:rPr>
              <w:t>Three Months Ended March 31,</w:t>
            </w:r>
          </w:p>
        </w:tc>
      </w:tr>
      <w:tr>
        <w:trPr>
          <w:trHeight w:val="223"/>
        </w:trPr>
        <w:tc>
          <w:tcPr>
            <w:tcW w:w="4680" w:type="dxa"/>
            <w:vAlign w:val="bottom"/>
            <w:tcBorders>
              <w:bottom w:val="single" w:sz="8" w:color="CCEEFF"/>
            </w:tcBorders>
          </w:tcPr>
          <w:p>
            <w:pPr>
              <w:spacing w:after="0"/>
              <w:rPr>
                <w:sz w:val="19"/>
                <w:szCs w:val="19"/>
                <w:color w:val="auto"/>
              </w:rPr>
            </w:pPr>
          </w:p>
        </w:tc>
        <w:tc>
          <w:tcPr>
            <w:tcW w:w="38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0"/>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29"/>
        </w:trPr>
        <w:tc>
          <w:tcPr>
            <w:tcW w:w="46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Service</w:t>
            </w:r>
          </w:p>
        </w:tc>
        <w:tc>
          <w:tcPr>
            <w:tcW w:w="3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226,481</w:t>
            </w:r>
          </w:p>
        </w:tc>
        <w:tc>
          <w:tcPr>
            <w:tcW w:w="14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214,510</w:t>
            </w:r>
          </w:p>
        </w:tc>
      </w:tr>
      <w:tr>
        <w:trPr>
          <w:trHeight w:val="229"/>
        </w:trPr>
        <w:tc>
          <w:tcPr>
            <w:tcW w:w="46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Product</w:t>
            </w:r>
          </w:p>
        </w:tc>
        <w:tc>
          <w:tcPr>
            <w:tcW w:w="38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21,695</w:t>
            </w: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6,080</w:t>
            </w:r>
          </w:p>
        </w:tc>
      </w:tr>
      <w:tr>
        <w:trPr>
          <w:trHeight w:val="223"/>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net revenues</w:t>
            </w:r>
          </w:p>
        </w:tc>
        <w:tc>
          <w:tcPr>
            <w:tcW w:w="3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248,176</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220,590</w:t>
            </w:r>
          </w:p>
        </w:tc>
      </w:tr>
      <w:tr>
        <w:trPr>
          <w:trHeight w:val="229"/>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Cost of revenues:</w:t>
            </w:r>
          </w:p>
        </w:tc>
        <w:tc>
          <w:tcPr>
            <w:tcW w:w="3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30"/>
        </w:trPr>
        <w:tc>
          <w:tcPr>
            <w:tcW w:w="46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Service</w:t>
            </w:r>
          </w:p>
        </w:tc>
        <w:tc>
          <w:tcPr>
            <w:tcW w:w="3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110,852</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104,210</w:t>
            </w:r>
          </w:p>
        </w:tc>
      </w:tr>
      <w:tr>
        <w:trPr>
          <w:trHeight w:val="229"/>
        </w:trPr>
        <w:tc>
          <w:tcPr>
            <w:tcW w:w="46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Product</w:t>
            </w:r>
          </w:p>
        </w:tc>
        <w:tc>
          <w:tcPr>
            <w:tcW w:w="38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10,209</w:t>
            </w: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4,877</w:t>
            </w:r>
          </w:p>
        </w:tc>
      </w:tr>
      <w:tr>
        <w:trPr>
          <w:trHeight w:val="223"/>
        </w:trPr>
        <w:tc>
          <w:tcPr>
            <w:tcW w:w="4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cost of revenues</w:t>
            </w:r>
          </w:p>
        </w:tc>
        <w:tc>
          <w:tcPr>
            <w:tcW w:w="38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121,061</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109,087</w:t>
            </w:r>
          </w:p>
        </w:tc>
      </w:tr>
      <w:tr>
        <w:trPr>
          <w:trHeight w:val="223"/>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3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127,115</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111,503</w:t>
            </w:r>
          </w:p>
        </w:tc>
      </w:tr>
      <w:tr>
        <w:trPr>
          <w:trHeight w:val="230"/>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3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9"/>
        </w:trPr>
        <w:tc>
          <w:tcPr>
            <w:tcW w:w="46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58,209</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61,910</w:t>
            </w:r>
          </w:p>
        </w:tc>
      </w:tr>
      <w:tr>
        <w:trPr>
          <w:trHeight w:val="229"/>
        </w:trPr>
        <w:tc>
          <w:tcPr>
            <w:tcW w:w="4680" w:type="dxa"/>
            <w:vAlign w:val="bottom"/>
            <w:tcBorders>
              <w:bottom w:val="single" w:sz="8" w:color="CCEEFF"/>
            </w:tcBorders>
          </w:tcPr>
          <w:p>
            <w:pPr>
              <w:ind w:left="40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38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15,732</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16,227</w:t>
            </w:r>
          </w:p>
        </w:tc>
      </w:tr>
      <w:tr>
        <w:trPr>
          <w:trHeight w:val="223"/>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38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73,941</w:t>
            </w: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78,137</w:t>
            </w:r>
          </w:p>
        </w:tc>
      </w:tr>
      <w:tr>
        <w:trPr>
          <w:trHeight w:val="223"/>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3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53,174</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33,366</w:t>
            </w:r>
          </w:p>
        </w:tc>
      </w:tr>
      <w:tr>
        <w:trPr>
          <w:trHeight w:val="230"/>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3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41,771</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28,870</w:t>
            </w:r>
          </w:p>
        </w:tc>
      </w:tr>
      <w:tr>
        <w:trPr>
          <w:trHeight w:val="229"/>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exchange (gain) loss</w:t>
            </w:r>
          </w:p>
        </w:tc>
        <w:tc>
          <w:tcPr>
            <w:tcW w:w="3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(572)</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w:t>
            </w:r>
          </w:p>
        </w:tc>
      </w:tr>
      <w:tr>
        <w:trPr>
          <w:trHeight w:val="230"/>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38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961</w:t>
            </w: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(1,253)</w:t>
            </w:r>
          </w:p>
        </w:tc>
      </w:tr>
      <w:tr>
        <w:trPr>
          <w:trHeight w:val="223"/>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3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11,014</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5,402</w:t>
            </w:r>
          </w:p>
        </w:tc>
      </w:tr>
      <w:tr>
        <w:trPr>
          <w:trHeight w:val="230"/>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8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4,691</w:t>
            </w: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2,560</w:t>
            </w:r>
          </w:p>
        </w:tc>
      </w:tr>
      <w:tr>
        <w:trPr>
          <w:trHeight w:val="196"/>
        </w:trPr>
        <w:tc>
          <w:tcPr>
            <w:tcW w:w="46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Net income</w:t>
            </w:r>
          </w:p>
        </w:tc>
        <w:tc>
          <w:tcPr>
            <w:tcW w:w="38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6,323</w:t>
            </w:r>
          </w:p>
        </w:tc>
        <w:tc>
          <w:tcPr>
            <w:tcW w:w="1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2,842</w:t>
            </w:r>
          </w:p>
        </w:tc>
      </w:tr>
      <w:tr>
        <w:trPr>
          <w:trHeight w:val="20"/>
        </w:trPr>
        <w:tc>
          <w:tcPr>
            <w:tcW w:w="4680" w:type="dxa"/>
            <w:vAlign w:val="bottom"/>
            <w:tcBorders>
              <w:bottom w:val="single" w:sz="8" w:color="CCEEFF"/>
            </w:tcBorders>
          </w:tcPr>
          <w:p>
            <w:pPr>
              <w:spacing w:after="0" w:line="20" w:lineRule="exact"/>
              <w:rPr>
                <w:sz w:val="1"/>
                <w:szCs w:val="1"/>
                <w:color w:val="auto"/>
              </w:rPr>
            </w:pPr>
          </w:p>
        </w:tc>
        <w:tc>
          <w:tcPr>
            <w:tcW w:w="38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83"/>
        </w:trPr>
        <w:tc>
          <w:tcPr>
            <w:tcW w:w="4680" w:type="dxa"/>
            <w:vAlign w:val="bottom"/>
            <w:shd w:val="clear" w:color="auto" w:fill="CCEEFF"/>
          </w:tcPr>
          <w:p>
            <w:pPr>
              <w:spacing w:after="0"/>
              <w:rPr>
                <w:sz w:val="15"/>
                <w:szCs w:val="15"/>
                <w:color w:val="auto"/>
              </w:rPr>
            </w:pPr>
          </w:p>
        </w:tc>
        <w:tc>
          <w:tcPr>
            <w:tcW w:w="3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r>
      <w:tr>
        <w:trPr>
          <w:trHeight w:val="229"/>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per share:</w:t>
            </w:r>
          </w:p>
        </w:tc>
        <w:tc>
          <w:tcPr>
            <w:tcW w:w="3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46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Basic</w:t>
            </w:r>
          </w:p>
        </w:tc>
        <w:tc>
          <w:tcPr>
            <w:tcW w:w="3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0.02</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r>
      <w:tr>
        <w:trPr>
          <w:trHeight w:val="230"/>
        </w:trPr>
        <w:tc>
          <w:tcPr>
            <w:tcW w:w="46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Diluted</w:t>
            </w:r>
          </w:p>
        </w:tc>
        <w:tc>
          <w:tcPr>
            <w:tcW w:w="3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0.02</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r>
      <w:tr>
        <w:trPr>
          <w:trHeight w:val="230"/>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number of shares outstanding:</w:t>
            </w:r>
          </w:p>
        </w:tc>
        <w:tc>
          <w:tcPr>
            <w:tcW w:w="3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29"/>
        </w:trPr>
        <w:tc>
          <w:tcPr>
            <w:tcW w:w="46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Basic</w:t>
            </w:r>
          </w:p>
        </w:tc>
        <w:tc>
          <w:tcPr>
            <w:tcW w:w="3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281,913</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280,691</w:t>
            </w:r>
          </w:p>
        </w:tc>
      </w:tr>
      <w:tr>
        <w:trPr>
          <w:trHeight w:val="230"/>
        </w:trPr>
        <w:tc>
          <w:tcPr>
            <w:tcW w:w="46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Diluted</w:t>
            </w:r>
          </w:p>
        </w:tc>
        <w:tc>
          <w:tcPr>
            <w:tcW w:w="3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284,062</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282,977</w:t>
            </w:r>
          </w:p>
        </w:tc>
      </w:tr>
      <w:tr>
        <w:trPr>
          <w:trHeight w:val="706"/>
        </w:trPr>
        <w:tc>
          <w:tcPr>
            <w:tcW w:w="4680" w:type="dxa"/>
            <w:vAlign w:val="bottom"/>
          </w:tcPr>
          <w:p>
            <w:pPr>
              <w:spacing w:after="0"/>
              <w:rPr>
                <w:sz w:val="24"/>
                <w:szCs w:val="24"/>
                <w:color w:val="auto"/>
              </w:rPr>
            </w:pPr>
          </w:p>
        </w:tc>
        <w:tc>
          <w:tcPr>
            <w:tcW w:w="3800" w:type="dxa"/>
            <w:vAlign w:val="bottom"/>
          </w:tcPr>
          <w:p>
            <w:pPr>
              <w:jc w:val="right"/>
              <w:ind w:right="2730"/>
              <w:spacing w:after="0"/>
              <w:rPr>
                <w:sz w:val="20"/>
                <w:szCs w:val="20"/>
                <w:color w:val="auto"/>
              </w:rPr>
            </w:pPr>
            <w:r>
              <w:rPr>
                <w:rFonts w:ascii="Calibri" w:cs="Calibri" w:eastAsia="Calibri" w:hAnsi="Calibri"/>
                <w:sz w:val="18"/>
                <w:szCs w:val="18"/>
                <w:color w:val="auto"/>
              </w:rPr>
              <w:t>6</w:t>
            </w: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r>
    </w:tbl>
    <w:p>
      <w:pPr>
        <w:sectPr>
          <w:pgSz w:w="11900" w:h="16838" w:orient="portrait"/>
          <w:cols w:equalWidth="0" w:num="1">
            <w:col w:w="11200"/>
          </w:cols>
          <w:pgMar w:left="340" w:top="122" w:right="35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22"/>
          <w:szCs w:val="22"/>
          <w:b w:val="1"/>
          <w:bCs w:val="1"/>
          <w:color w:val="auto"/>
        </w:rPr>
        <w:t>Sotera Health Company</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Segment Data</w:t>
      </w: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00" w:type="dxa"/>
            <w:vAlign w:val="bottom"/>
          </w:tcPr>
          <w:p>
            <w:pPr>
              <w:spacing w:after="0"/>
              <w:rPr>
                <w:sz w:val="20"/>
                <w:szCs w:val="20"/>
                <w:color w:val="auto"/>
              </w:rPr>
            </w:pPr>
          </w:p>
        </w:tc>
        <w:tc>
          <w:tcPr>
            <w:tcW w:w="264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0" w:type="dxa"/>
            <w:vAlign w:val="bottom"/>
          </w:tcPr>
          <w:p>
            <w:pPr>
              <w:spacing w:after="0"/>
              <w:rPr>
                <w:sz w:val="1"/>
                <w:szCs w:val="1"/>
                <w:color w:val="auto"/>
              </w:rPr>
            </w:pPr>
          </w:p>
        </w:tc>
      </w:tr>
      <w:tr>
        <w:trPr>
          <w:trHeight w:val="223"/>
        </w:trPr>
        <w:tc>
          <w:tcPr>
            <w:tcW w:w="86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10"/>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Segment revenues:</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Sterigenics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166,497</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159,997</w:t>
            </w:r>
          </w:p>
        </w:tc>
        <w:tc>
          <w:tcPr>
            <w:tcW w:w="0" w:type="dxa"/>
            <w:vAlign w:val="bottom"/>
          </w:tcPr>
          <w:p>
            <w:pPr>
              <w:spacing w:after="0"/>
              <w:rPr>
                <w:sz w:val="1"/>
                <w:szCs w:val="1"/>
                <w:color w:val="auto"/>
              </w:rPr>
            </w:pPr>
          </w:p>
        </w:tc>
      </w:tr>
      <w:tr>
        <w:trPr>
          <w:trHeight w:val="230"/>
        </w:trPr>
        <w:tc>
          <w:tcPr>
            <w:tcW w:w="86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Nordion</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24,007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8,551</w:t>
            </w:r>
          </w:p>
        </w:tc>
        <w:tc>
          <w:tcPr>
            <w:tcW w:w="0" w:type="dxa"/>
            <w:vAlign w:val="bottom"/>
          </w:tcPr>
          <w:p>
            <w:pPr>
              <w:spacing w:after="0"/>
              <w:rPr>
                <w:sz w:val="1"/>
                <w:szCs w:val="1"/>
                <w:color w:val="auto"/>
              </w:rPr>
            </w:pPr>
          </w:p>
        </w:tc>
      </w:tr>
      <w:tr>
        <w:trPr>
          <w:trHeight w:val="229"/>
        </w:trPr>
        <w:tc>
          <w:tcPr>
            <w:tcW w:w="860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Nelson Labs</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57,672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52,042</w:t>
            </w:r>
          </w:p>
        </w:tc>
        <w:tc>
          <w:tcPr>
            <w:tcW w:w="0" w:type="dxa"/>
            <w:vAlign w:val="bottom"/>
          </w:tcPr>
          <w:p>
            <w:pPr>
              <w:spacing w:after="0"/>
              <w:rPr>
                <w:sz w:val="1"/>
                <w:szCs w:val="1"/>
                <w:color w:val="auto"/>
              </w:rPr>
            </w:pPr>
          </w:p>
        </w:tc>
      </w:tr>
      <w:tr>
        <w:trPr>
          <w:trHeight w:val="248"/>
        </w:trPr>
        <w:tc>
          <w:tcPr>
            <w:tcW w:w="8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net revenues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248,176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220,590</w:t>
            </w:r>
          </w:p>
        </w:tc>
        <w:tc>
          <w:tcPr>
            <w:tcW w:w="0" w:type="dxa"/>
            <w:vAlign w:val="bottom"/>
          </w:tcPr>
          <w:p>
            <w:pPr>
              <w:spacing w:after="0"/>
              <w:rPr>
                <w:sz w:val="1"/>
                <w:szCs w:val="1"/>
                <w:color w:val="auto"/>
              </w:rPr>
            </w:pPr>
          </w:p>
        </w:tc>
      </w:tr>
      <w:tr>
        <w:trPr>
          <w:trHeight w:val="20"/>
        </w:trPr>
        <w:tc>
          <w:tcPr>
            <w:tcW w:w="86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Segment income:</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60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6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Sterigenics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85,818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82,840</w:t>
            </w:r>
          </w:p>
        </w:tc>
        <w:tc>
          <w:tcPr>
            <w:tcW w:w="0" w:type="dxa"/>
            <w:vAlign w:val="bottom"/>
          </w:tcPr>
          <w:p>
            <w:pPr>
              <w:spacing w:after="0"/>
              <w:rPr>
                <w:sz w:val="1"/>
                <w:szCs w:val="1"/>
                <w:color w:val="auto"/>
              </w:rPr>
            </w:pPr>
          </w:p>
        </w:tc>
      </w:tr>
      <w:tr>
        <w:trPr>
          <w:trHeight w:val="229"/>
        </w:trPr>
        <w:tc>
          <w:tcPr>
            <w:tcW w:w="8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Nordion</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10,785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1,526</w:t>
            </w:r>
          </w:p>
        </w:tc>
        <w:tc>
          <w:tcPr>
            <w:tcW w:w="0" w:type="dxa"/>
            <w:vAlign w:val="bottom"/>
          </w:tcPr>
          <w:p>
            <w:pPr>
              <w:spacing w:after="0"/>
              <w:rPr>
                <w:sz w:val="1"/>
                <w:szCs w:val="1"/>
                <w:color w:val="auto"/>
              </w:rPr>
            </w:pPr>
          </w:p>
        </w:tc>
      </w:tr>
      <w:tr>
        <w:trPr>
          <w:trHeight w:val="229"/>
        </w:trPr>
        <w:tc>
          <w:tcPr>
            <w:tcW w:w="86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Nelson Labs</w:t>
            </w: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15,341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14,102</w:t>
            </w:r>
          </w:p>
        </w:tc>
        <w:tc>
          <w:tcPr>
            <w:tcW w:w="0" w:type="dxa"/>
            <w:vAlign w:val="bottom"/>
          </w:tcPr>
          <w:p>
            <w:pPr>
              <w:spacing w:after="0"/>
              <w:rPr>
                <w:sz w:val="1"/>
                <w:szCs w:val="1"/>
                <w:color w:val="auto"/>
              </w:rPr>
            </w:pPr>
          </w:p>
        </w:tc>
      </w:tr>
      <w:tr>
        <w:trPr>
          <w:trHeight w:val="223"/>
        </w:trPr>
        <w:tc>
          <w:tcPr>
            <w:tcW w:w="8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segment income</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111,944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98,468</w:t>
            </w:r>
          </w:p>
        </w:tc>
        <w:tc>
          <w:tcPr>
            <w:tcW w:w="0" w:type="dxa"/>
            <w:vAlign w:val="bottom"/>
          </w:tcPr>
          <w:p>
            <w:pPr>
              <w:spacing w:after="0"/>
              <w:rPr>
                <w:sz w:val="1"/>
                <w:szCs w:val="1"/>
                <w:color w:val="auto"/>
              </w:rPr>
            </w:pPr>
          </w:p>
        </w:tc>
      </w:tr>
      <w:tr>
        <w:trPr>
          <w:trHeight w:val="209"/>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Less adjustments:</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00" w:type="dxa"/>
            <w:vAlign w:val="bottom"/>
          </w:tcPr>
          <w:p>
            <w:pPr>
              <w:ind w:left="260"/>
              <w:spacing w:after="0" w:line="230" w:lineRule="exact"/>
              <w:rPr>
                <w:sz w:val="20"/>
                <w:szCs w:val="20"/>
                <w:color w:val="auto"/>
              </w:rPr>
            </w:pPr>
            <w:r>
              <w:rPr>
                <w:rFonts w:ascii="Times New Roman" w:cs="Times New Roman" w:eastAsia="Times New Roman" w:hAnsi="Times New Roman"/>
                <w:sz w:val="18"/>
                <w:szCs w:val="18"/>
                <w:color w:val="auto"/>
              </w:rPr>
              <w:t>Interest expense, net</w:t>
            </w:r>
            <w:r>
              <w:rPr>
                <w:rFonts w:ascii="Times New Roman" w:cs="Times New Roman" w:eastAsia="Times New Roman" w:hAnsi="Times New Roman"/>
                <w:sz w:val="23"/>
                <w:szCs w:val="23"/>
                <w:color w:val="auto"/>
                <w:vertAlign w:val="superscript"/>
              </w:rPr>
              <w:t>(a)</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41,771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28,870</w:t>
            </w:r>
          </w:p>
        </w:tc>
        <w:tc>
          <w:tcPr>
            <w:tcW w:w="0" w:type="dxa"/>
            <w:vAlign w:val="bottom"/>
          </w:tcPr>
          <w:p>
            <w:pPr>
              <w:spacing w:after="0"/>
              <w:rPr>
                <w:sz w:val="1"/>
                <w:szCs w:val="1"/>
                <w:color w:val="auto"/>
              </w:rPr>
            </w:pPr>
          </w:p>
        </w:tc>
      </w:tr>
      <w:tr>
        <w:trPr>
          <w:trHeight w:val="270"/>
        </w:trPr>
        <w:tc>
          <w:tcPr>
            <w:tcW w:w="86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Depreciation and amortization</w:t>
            </w:r>
            <w:r>
              <w:rPr>
                <w:rFonts w:ascii="Times New Roman" w:cs="Times New Roman" w:eastAsia="Times New Roman" w:hAnsi="Times New Roman"/>
                <w:sz w:val="23"/>
                <w:szCs w:val="23"/>
                <w:color w:val="auto"/>
                <w:vertAlign w:val="superscript"/>
              </w:rPr>
              <w:t>(b)</w:t>
            </w:r>
          </w:p>
        </w:tc>
        <w:tc>
          <w:tcPr>
            <w:tcW w:w="28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40,430</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39,538</w:t>
            </w:r>
          </w:p>
        </w:tc>
        <w:tc>
          <w:tcPr>
            <w:tcW w:w="0" w:type="dxa"/>
            <w:vAlign w:val="bottom"/>
          </w:tcPr>
          <w:p>
            <w:pPr>
              <w:spacing w:after="0"/>
              <w:rPr>
                <w:sz w:val="1"/>
                <w:szCs w:val="1"/>
                <w:color w:val="auto"/>
              </w:rPr>
            </w:pPr>
          </w:p>
        </w:tc>
      </w:tr>
      <w:tr>
        <w:trPr>
          <w:trHeight w:val="270"/>
        </w:trPr>
        <w:tc>
          <w:tcPr>
            <w:tcW w:w="8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Share-based compensation</w:t>
            </w:r>
            <w:r>
              <w:rPr>
                <w:rFonts w:ascii="Times New Roman" w:cs="Times New Roman" w:eastAsia="Times New Roman" w:hAnsi="Times New Roman"/>
                <w:sz w:val="23"/>
                <w:szCs w:val="23"/>
                <w:color w:val="auto"/>
                <w:vertAlign w:val="superscript"/>
              </w:rPr>
              <w:t>(c)</w:t>
            </w: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8,657</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7,348</w:t>
            </w:r>
          </w:p>
        </w:tc>
        <w:tc>
          <w:tcPr>
            <w:tcW w:w="0" w:type="dxa"/>
            <w:vAlign w:val="bottom"/>
          </w:tcPr>
          <w:p>
            <w:pPr>
              <w:spacing w:after="0"/>
              <w:rPr>
                <w:sz w:val="1"/>
                <w:szCs w:val="1"/>
                <w:color w:val="auto"/>
              </w:rPr>
            </w:pPr>
          </w:p>
        </w:tc>
      </w:tr>
      <w:tr>
        <w:trPr>
          <w:trHeight w:val="270"/>
        </w:trPr>
        <w:tc>
          <w:tcPr>
            <w:tcW w:w="86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Loss on foreign currency and derivatives not designated as hedging instruments, net</w:t>
            </w:r>
            <w:r>
              <w:rPr>
                <w:rFonts w:ascii="Times New Roman" w:cs="Times New Roman" w:eastAsia="Times New Roman" w:hAnsi="Times New Roman"/>
                <w:sz w:val="23"/>
                <w:szCs w:val="23"/>
                <w:color w:val="auto"/>
                <w:vertAlign w:val="superscript"/>
              </w:rPr>
              <w:t>(d)</w:t>
            </w:r>
          </w:p>
        </w:tc>
        <w:tc>
          <w:tcPr>
            <w:tcW w:w="28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1,230</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0" w:type="dxa"/>
            <w:vAlign w:val="bottom"/>
          </w:tcPr>
          <w:p>
            <w:pPr>
              <w:spacing w:after="0"/>
              <w:rPr>
                <w:sz w:val="1"/>
                <w:szCs w:val="1"/>
                <w:color w:val="auto"/>
              </w:rPr>
            </w:pPr>
          </w:p>
        </w:tc>
      </w:tr>
      <w:tr>
        <w:trPr>
          <w:trHeight w:val="270"/>
        </w:trPr>
        <w:tc>
          <w:tcPr>
            <w:tcW w:w="8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Business optimization expenses</w:t>
            </w:r>
            <w:r>
              <w:rPr>
                <w:rFonts w:ascii="Times New Roman" w:cs="Times New Roman" w:eastAsia="Times New Roman" w:hAnsi="Times New Roman"/>
                <w:sz w:val="23"/>
                <w:szCs w:val="23"/>
                <w:color w:val="auto"/>
                <w:vertAlign w:val="superscript"/>
              </w:rPr>
              <w:t>(e)</w:t>
            </w: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54</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2,231</w:t>
            </w:r>
          </w:p>
        </w:tc>
        <w:tc>
          <w:tcPr>
            <w:tcW w:w="0" w:type="dxa"/>
            <w:vAlign w:val="bottom"/>
          </w:tcPr>
          <w:p>
            <w:pPr>
              <w:spacing w:after="0"/>
              <w:rPr>
                <w:sz w:val="1"/>
                <w:szCs w:val="1"/>
                <w:color w:val="auto"/>
              </w:rPr>
            </w:pPr>
          </w:p>
        </w:tc>
      </w:tr>
      <w:tr>
        <w:trPr>
          <w:trHeight w:val="270"/>
        </w:trPr>
        <w:tc>
          <w:tcPr>
            <w:tcW w:w="86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Refinancing and secondary offering costs</w:t>
            </w:r>
            <w:r>
              <w:rPr>
                <w:rFonts w:ascii="Times New Roman" w:cs="Times New Roman" w:eastAsia="Times New Roman" w:hAnsi="Times New Roman"/>
                <w:sz w:val="23"/>
                <w:szCs w:val="23"/>
                <w:color w:val="auto"/>
                <w:vertAlign w:val="superscript"/>
              </w:rPr>
              <w:t>(f)</w:t>
            </w:r>
          </w:p>
        </w:tc>
        <w:tc>
          <w:tcPr>
            <w:tcW w:w="28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1,807</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8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Professional services relating to EO sterilization facilities</w:t>
            </w:r>
            <w:r>
              <w:rPr>
                <w:rFonts w:ascii="Times New Roman" w:cs="Times New Roman" w:eastAsia="Times New Roman" w:hAnsi="Times New Roman"/>
                <w:sz w:val="23"/>
                <w:szCs w:val="23"/>
                <w:color w:val="auto"/>
                <w:vertAlign w:val="superscript"/>
              </w:rPr>
              <w:t>(g)</w:t>
            </w: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6,339</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13,972</w:t>
            </w:r>
          </w:p>
        </w:tc>
        <w:tc>
          <w:tcPr>
            <w:tcW w:w="0" w:type="dxa"/>
            <w:vAlign w:val="bottom"/>
          </w:tcPr>
          <w:p>
            <w:pPr>
              <w:spacing w:after="0"/>
              <w:rPr>
                <w:sz w:val="1"/>
                <w:szCs w:val="1"/>
                <w:color w:val="auto"/>
              </w:rPr>
            </w:pPr>
          </w:p>
        </w:tc>
      </w:tr>
      <w:tr>
        <w:trPr>
          <w:trHeight w:val="270"/>
        </w:trPr>
        <w:tc>
          <w:tcPr>
            <w:tcW w:w="86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Accretion of asset retirement obligations</w:t>
            </w:r>
            <w:r>
              <w:rPr>
                <w:rFonts w:ascii="Times New Roman" w:cs="Times New Roman" w:eastAsia="Times New Roman" w:hAnsi="Times New Roman"/>
                <w:sz w:val="23"/>
                <w:szCs w:val="23"/>
                <w:color w:val="auto"/>
                <w:vertAlign w:val="superscript"/>
              </w:rPr>
              <w:t>(h)</w:t>
            </w:r>
          </w:p>
        </w:tc>
        <w:tc>
          <w:tcPr>
            <w:tcW w:w="28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642</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0" w:type="dxa"/>
            <w:vAlign w:val="bottom"/>
          </w:tcPr>
          <w:p>
            <w:pPr>
              <w:spacing w:after="0"/>
              <w:rPr>
                <w:sz w:val="1"/>
                <w:szCs w:val="1"/>
                <w:color w:val="auto"/>
              </w:rPr>
            </w:pPr>
          </w:p>
        </w:tc>
      </w:tr>
      <w:tr>
        <w:trPr>
          <w:trHeight w:val="223"/>
        </w:trPr>
        <w:tc>
          <w:tcPr>
            <w:tcW w:w="8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income before income taxes</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11,014</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5,402</w:t>
            </w:r>
          </w:p>
        </w:tc>
        <w:tc>
          <w:tcPr>
            <w:tcW w:w="0" w:type="dxa"/>
            <w:vAlign w:val="bottom"/>
          </w:tcPr>
          <w:p>
            <w:pPr>
              <w:spacing w:after="0"/>
              <w:rPr>
                <w:sz w:val="1"/>
                <w:szCs w:val="1"/>
                <w:color w:val="auto"/>
              </w:rPr>
            </w:pPr>
          </w:p>
        </w:tc>
      </w:tr>
      <w:tr>
        <w:trPr>
          <w:trHeight w:val="20"/>
        </w:trPr>
        <w:tc>
          <w:tcPr>
            <w:tcW w:w="86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ind w:left="500" w:right="380" w:hanging="492"/>
        <w:spacing w:after="0" w:line="272" w:lineRule="auto"/>
        <w:tabs>
          <w:tab w:leader="none" w:pos="491"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Interest expense, net presented in this reconciliation for the three months ended March 31, 2023 has been adjusted to conform to the current year presentation to include interest expense, net on Term Loan B attributable to the loan proceeds that were used to fund the $408.0 million Illinois EO litigation settlement.</w:t>
      </w:r>
    </w:p>
    <w:p>
      <w:pPr>
        <w:spacing w:after="0" w:line="1" w:lineRule="exact"/>
        <w:rPr>
          <w:rFonts w:ascii="Times New Roman" w:cs="Times New Roman" w:eastAsia="Times New Roman" w:hAnsi="Times New Roman"/>
          <w:sz w:val="16"/>
          <w:szCs w:val="16"/>
          <w:color w:val="auto"/>
        </w:rPr>
      </w:pPr>
    </w:p>
    <w:p>
      <w:pPr>
        <w:ind w:left="500" w:hanging="492"/>
        <w:spacing w:after="0"/>
        <w:tabs>
          <w:tab w:leader="none" w:pos="50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depreciation of Co-60 held at gamma irradiation sites.</w:t>
      </w:r>
    </w:p>
    <w:p>
      <w:pPr>
        <w:spacing w:after="0" w:line="45" w:lineRule="exact"/>
        <w:rPr>
          <w:rFonts w:ascii="Times New Roman" w:cs="Times New Roman" w:eastAsia="Times New Roman" w:hAnsi="Times New Roman"/>
          <w:sz w:val="16"/>
          <w:szCs w:val="16"/>
          <w:color w:val="auto"/>
        </w:rPr>
      </w:pPr>
    </w:p>
    <w:p>
      <w:pPr>
        <w:ind w:left="480" w:hanging="472"/>
        <w:spacing w:after="0"/>
        <w:tabs>
          <w:tab w:leader="none" w:pos="48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share-based compensation expense to employees and Non-Employee Directors.</w:t>
      </w:r>
    </w:p>
    <w:p>
      <w:pPr>
        <w:spacing w:after="0" w:line="45" w:lineRule="exact"/>
        <w:rPr>
          <w:rFonts w:ascii="Times New Roman" w:cs="Times New Roman" w:eastAsia="Times New Roman" w:hAnsi="Times New Roman"/>
          <w:sz w:val="16"/>
          <w:szCs w:val="16"/>
          <w:color w:val="auto"/>
        </w:rPr>
      </w:pPr>
    </w:p>
    <w:p>
      <w:pPr>
        <w:ind w:left="500" w:right="60" w:hanging="492"/>
        <w:spacing w:after="0" w:line="281" w:lineRule="auto"/>
        <w:tabs>
          <w:tab w:leader="none" w:pos="50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effects of (i) fluctuations in foreign currency exchange rates and (ii) non-cash mark-to-fair value of embedded derivatives relating to certain customer and supply contracts at Nordion.</w:t>
      </w:r>
    </w:p>
    <w:p>
      <w:pPr>
        <w:spacing w:after="0" w:line="1" w:lineRule="exact"/>
        <w:rPr>
          <w:rFonts w:ascii="Times New Roman" w:cs="Times New Roman" w:eastAsia="Times New Roman" w:hAnsi="Times New Roman"/>
          <w:sz w:val="16"/>
          <w:szCs w:val="16"/>
          <w:color w:val="auto"/>
        </w:rPr>
      </w:pPr>
    </w:p>
    <w:p>
      <w:pPr>
        <w:ind w:left="500" w:right="60" w:hanging="492"/>
        <w:spacing w:after="0" w:line="260" w:lineRule="auto"/>
        <w:tabs>
          <w:tab w:leader="none" w:pos="491"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(i) certain costs related to acquisitions and the integration of recent acquisitions, (ii) the earnings impact of fair value adjustments (excluding those recognized within amortization expense) resulting from the businesses acquired, (iii) transition services income and non-cash deferred lease income associated with the terms of the divestiture of the Medical Isotopes business in 2018, (iv) professional fees and other costs associated with business optimization, cost saving and other process enhancement projects, and (v) professional fees, payroll costs, and other costs, including ongoing lease and utility expenses associated with the closure of the Willowbrook, Illinois facility. The three months ended March 31, 2023 includes a $1.0 million cancellation fee received from a tenant in connection with the termination of an office space lease at the Nordion facility.</w:t>
      </w:r>
    </w:p>
    <w:p>
      <w:pPr>
        <w:spacing w:after="0" w:line="5" w:lineRule="exact"/>
        <w:rPr>
          <w:rFonts w:ascii="Times New Roman" w:cs="Times New Roman" w:eastAsia="Times New Roman" w:hAnsi="Times New Roman"/>
          <w:sz w:val="16"/>
          <w:szCs w:val="16"/>
          <w:color w:val="auto"/>
        </w:rPr>
      </w:pPr>
    </w:p>
    <w:p>
      <w:pPr>
        <w:ind w:left="500" w:right="220" w:hanging="492"/>
        <w:spacing w:after="0" w:line="272" w:lineRule="auto"/>
        <w:tabs>
          <w:tab w:leader="none" w:pos="50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three months ended March 31, 2024 includes $1.1 million of expenses incurred in connection with the secondary offering of our common stock that closed on March 4, 2024 and write-off of unamortized debt issuance costs in connection with Amendment No. 3 to the Revolving Credit Facility.</w:t>
      </w:r>
    </w:p>
    <w:p>
      <w:pPr>
        <w:spacing w:after="0" w:line="1" w:lineRule="exact"/>
        <w:rPr>
          <w:rFonts w:ascii="Times New Roman" w:cs="Times New Roman" w:eastAsia="Times New Roman" w:hAnsi="Times New Roman"/>
          <w:sz w:val="16"/>
          <w:szCs w:val="16"/>
          <w:color w:val="auto"/>
        </w:rPr>
      </w:pPr>
    </w:p>
    <w:p>
      <w:pPr>
        <w:ind w:left="500" w:right="140" w:hanging="492"/>
        <w:spacing w:after="0" w:line="270" w:lineRule="auto"/>
        <w:tabs>
          <w:tab w:leader="none" w:pos="500" w:val="left"/>
        </w:tabs>
        <w:numPr>
          <w:ilvl w:val="0"/>
          <w:numId w:val="6"/>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auto"/>
        </w:rPr>
        <w:t>Represents litigation and other professional fees associated with our EO sterilization facilities. Amounts presented for the three months ended March 31, 2023 have been adjusted to exclude interest expense, net associated with Term Loan B attributable to the loan proceeds that were used to fund the $408.0 million Illinois EO litigation settlement.</w:t>
      </w:r>
    </w:p>
    <w:p>
      <w:pPr>
        <w:ind w:left="500" w:right="120" w:hanging="492"/>
        <w:spacing w:after="0" w:line="280" w:lineRule="auto"/>
        <w:tabs>
          <w:tab w:leader="none" w:pos="50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non-cash accretion of asset retirement obligations related to Co-60 and gamma processing facilities, which are based on estimated site remediation costs for any future decommissioning of these facilities and are accreted over the life of the asset.</w:t>
      </w:r>
    </w:p>
    <w:p>
      <w:pPr>
        <w:spacing w:after="0" w:line="381"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7</w:t>
      </w:r>
    </w:p>
    <w:p>
      <w:pPr>
        <w:sectPr>
          <w:pgSz w:w="11900" w:h="16838" w:orient="portrait"/>
          <w:cols w:equalWidth="0" w:num="1">
            <w:col w:w="11240"/>
          </w:cols>
          <w:pgMar w:left="320" w:top="338" w:right="339" w:bottom="1440" w:gutter="0" w:footer="0" w:header="0"/>
        </w:sectPr>
      </w:pPr>
    </w:p>
    <w:bookmarkStart w:id="10" w:name="page11"/>
    <w:bookmarkEnd w:id="10"/>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Sotera Health Company</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Condensed Consolidated Balance Sheets</w:t>
      </w: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8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As of March 31,</w:t>
            </w:r>
          </w:p>
        </w:tc>
        <w:tc>
          <w:tcPr>
            <w:tcW w:w="20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0" w:type="dxa"/>
            <w:vAlign w:val="bottom"/>
          </w:tcPr>
          <w:p>
            <w:pPr>
              <w:spacing w:after="0"/>
              <w:rPr>
                <w:sz w:val="1"/>
                <w:szCs w:val="1"/>
                <w:color w:val="auto"/>
              </w:rPr>
            </w:pPr>
          </w:p>
        </w:tc>
      </w:tr>
      <w:tr>
        <w:trPr>
          <w:trHeight w:val="223"/>
        </w:trPr>
        <w:tc>
          <w:tcPr>
            <w:tcW w:w="4080" w:type="dxa"/>
            <w:vAlign w:val="bottom"/>
            <w:tcBorders>
              <w:bottom w:val="single" w:sz="8" w:color="CCEEFF"/>
            </w:tcBorders>
          </w:tcPr>
          <w:p>
            <w:pPr>
              <w:spacing w:after="0"/>
              <w:rPr>
                <w:sz w:val="19"/>
                <w:szCs w:val="19"/>
                <w:color w:val="auto"/>
              </w:rPr>
            </w:pPr>
          </w:p>
        </w:tc>
        <w:tc>
          <w:tcPr>
            <w:tcW w:w="29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09"/>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1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262,820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301,654</w:t>
            </w:r>
          </w:p>
        </w:tc>
        <w:tc>
          <w:tcPr>
            <w:tcW w:w="0" w:type="dxa"/>
            <w:vAlign w:val="bottom"/>
          </w:tcPr>
          <w:p>
            <w:pPr>
              <w:spacing w:after="0"/>
              <w:rPr>
                <w:sz w:val="1"/>
                <w:szCs w:val="1"/>
                <w:color w:val="auto"/>
              </w:rPr>
            </w:pPr>
          </w:p>
        </w:tc>
      </w:tr>
      <w:tr>
        <w:trPr>
          <w:trHeight w:val="229"/>
        </w:trPr>
        <w:tc>
          <w:tcPr>
            <w:tcW w:w="40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receivable, net</w:t>
            </w:r>
          </w:p>
        </w:tc>
        <w:tc>
          <w:tcPr>
            <w:tcW w:w="2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111,069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147,696</w:t>
            </w: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Inventories, net</w:t>
            </w:r>
          </w:p>
        </w:tc>
        <w:tc>
          <w:tcPr>
            <w:tcW w:w="29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51,342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48,316</w:t>
            </w:r>
          </w:p>
        </w:tc>
        <w:tc>
          <w:tcPr>
            <w:tcW w:w="0" w:type="dxa"/>
            <w:vAlign w:val="bottom"/>
          </w:tcPr>
          <w:p>
            <w:pPr>
              <w:spacing w:after="0"/>
              <w:rPr>
                <w:sz w:val="1"/>
                <w:szCs w:val="1"/>
                <w:color w:val="auto"/>
              </w:rPr>
            </w:pPr>
          </w:p>
        </w:tc>
      </w:tr>
      <w:tr>
        <w:trPr>
          <w:trHeight w:val="229"/>
        </w:trPr>
        <w:tc>
          <w:tcPr>
            <w:tcW w:w="40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Other current assets</w:t>
            </w:r>
          </w:p>
        </w:tc>
        <w:tc>
          <w:tcPr>
            <w:tcW w:w="29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61,948</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59,578</w:t>
            </w:r>
          </w:p>
        </w:tc>
        <w:tc>
          <w:tcPr>
            <w:tcW w:w="0" w:type="dxa"/>
            <w:vAlign w:val="bottom"/>
          </w:tcPr>
          <w:p>
            <w:pPr>
              <w:spacing w:after="0"/>
              <w:rPr>
                <w:sz w:val="1"/>
                <w:szCs w:val="1"/>
                <w:color w:val="auto"/>
              </w:rPr>
            </w:pPr>
          </w:p>
        </w:tc>
      </w:tr>
      <w:tr>
        <w:trPr>
          <w:trHeight w:val="223"/>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29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487,179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557,244</w:t>
            </w:r>
          </w:p>
        </w:tc>
        <w:tc>
          <w:tcPr>
            <w:tcW w:w="0" w:type="dxa"/>
            <w:vAlign w:val="bottom"/>
          </w:tcPr>
          <w:p>
            <w:pPr>
              <w:spacing w:after="0"/>
              <w:rPr>
                <w:sz w:val="1"/>
                <w:szCs w:val="1"/>
                <w:color w:val="auto"/>
              </w:rPr>
            </w:pPr>
          </w:p>
        </w:tc>
      </w:tr>
      <w:tr>
        <w:trPr>
          <w:trHeight w:val="229"/>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979,422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946,914</w:t>
            </w: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assets</w:t>
            </w:r>
          </w:p>
        </w:tc>
        <w:tc>
          <w:tcPr>
            <w:tcW w:w="29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22,517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24,037</w:t>
            </w:r>
          </w:p>
        </w:tc>
        <w:tc>
          <w:tcPr>
            <w:tcW w:w="0" w:type="dxa"/>
            <w:vAlign w:val="bottom"/>
          </w:tcPr>
          <w:p>
            <w:pPr>
              <w:spacing w:after="0"/>
              <w:rPr>
                <w:sz w:val="1"/>
                <w:szCs w:val="1"/>
                <w:color w:val="auto"/>
              </w:rPr>
            </w:pPr>
          </w:p>
        </w:tc>
      </w:tr>
      <w:tr>
        <w:trPr>
          <w:trHeight w:val="229"/>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2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390,457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416,318</w:t>
            </w: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29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1,102,851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1,111,190</w:t>
            </w:r>
          </w:p>
        </w:tc>
        <w:tc>
          <w:tcPr>
            <w:tcW w:w="0" w:type="dxa"/>
            <w:vAlign w:val="bottom"/>
          </w:tcPr>
          <w:p>
            <w:pPr>
              <w:spacing w:after="0"/>
              <w:rPr>
                <w:sz w:val="1"/>
                <w:szCs w:val="1"/>
                <w:color w:val="auto"/>
              </w:rPr>
            </w:pPr>
          </w:p>
        </w:tc>
      </w:tr>
      <w:tr>
        <w:trPr>
          <w:trHeight w:val="230"/>
        </w:trPr>
        <w:tc>
          <w:tcPr>
            <w:tcW w:w="40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9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77,266</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74,717</w:t>
            </w:r>
          </w:p>
        </w:tc>
        <w:tc>
          <w:tcPr>
            <w:tcW w:w="0" w:type="dxa"/>
            <w:vAlign w:val="bottom"/>
          </w:tcPr>
          <w:p>
            <w:pPr>
              <w:spacing w:after="0"/>
              <w:rPr>
                <w:sz w:val="1"/>
                <w:szCs w:val="1"/>
                <w:color w:val="auto"/>
              </w:rPr>
            </w:pPr>
          </w:p>
        </w:tc>
      </w:tr>
      <w:tr>
        <w:trPr>
          <w:trHeight w:val="248"/>
        </w:trPr>
        <w:tc>
          <w:tcPr>
            <w:tcW w:w="4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9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3,059,692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3,130,420</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29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080" w:type="dxa"/>
            <w:vAlign w:val="bottom"/>
            <w:vMerge w:val="continue"/>
          </w:tcPr>
          <w:p>
            <w:pPr>
              <w:spacing w:after="0"/>
              <w:rPr>
                <w:sz w:val="15"/>
                <w:szCs w:val="15"/>
                <w:color w:val="auto"/>
              </w:rPr>
            </w:pPr>
          </w:p>
        </w:tc>
        <w:tc>
          <w:tcPr>
            <w:tcW w:w="2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1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152,340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230,654</w:t>
            </w:r>
          </w:p>
        </w:tc>
        <w:tc>
          <w:tcPr>
            <w:tcW w:w="0" w:type="dxa"/>
            <w:vAlign w:val="bottom"/>
          </w:tcPr>
          <w:p>
            <w:pPr>
              <w:spacing w:after="0"/>
              <w:rPr>
                <w:sz w:val="1"/>
                <w:szCs w:val="1"/>
                <w:color w:val="auto"/>
              </w:rPr>
            </w:pPr>
          </w:p>
        </w:tc>
      </w:tr>
      <w:tr>
        <w:trPr>
          <w:trHeight w:val="230"/>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 less current portion</w:t>
            </w:r>
          </w:p>
        </w:tc>
        <w:tc>
          <w:tcPr>
            <w:tcW w:w="2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2,224,611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2,223,674</w:t>
            </w: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9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193,197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167,904</w:t>
            </w:r>
          </w:p>
        </w:tc>
        <w:tc>
          <w:tcPr>
            <w:tcW w:w="0" w:type="dxa"/>
            <w:vAlign w:val="bottom"/>
          </w:tcPr>
          <w:p>
            <w:pPr>
              <w:spacing w:after="0"/>
              <w:rPr>
                <w:sz w:val="1"/>
                <w:szCs w:val="1"/>
                <w:color w:val="auto"/>
              </w:rPr>
            </w:pPr>
          </w:p>
        </w:tc>
      </w:tr>
      <w:tr>
        <w:trPr>
          <w:trHeight w:val="230"/>
        </w:trPr>
        <w:tc>
          <w:tcPr>
            <w:tcW w:w="40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29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60,152</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64,454</w:t>
            </w:r>
          </w:p>
        </w:tc>
        <w:tc>
          <w:tcPr>
            <w:tcW w:w="0" w:type="dxa"/>
            <w:vAlign w:val="bottom"/>
          </w:tcPr>
          <w:p>
            <w:pPr>
              <w:spacing w:after="0"/>
              <w:rPr>
                <w:sz w:val="1"/>
                <w:szCs w:val="1"/>
                <w:color w:val="auto"/>
              </w:rPr>
            </w:pPr>
          </w:p>
        </w:tc>
      </w:tr>
      <w:tr>
        <w:trPr>
          <w:trHeight w:val="223"/>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29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2,630,300</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2,686,686</w:t>
            </w:r>
          </w:p>
        </w:tc>
        <w:tc>
          <w:tcPr>
            <w:tcW w:w="0" w:type="dxa"/>
            <w:vAlign w:val="bottom"/>
          </w:tcPr>
          <w:p>
            <w:pPr>
              <w:spacing w:after="0"/>
              <w:rPr>
                <w:sz w:val="1"/>
                <w:szCs w:val="1"/>
                <w:color w:val="auto"/>
              </w:rPr>
            </w:pPr>
          </w:p>
        </w:tc>
      </w:tr>
      <w:tr>
        <w:trPr>
          <w:trHeight w:val="264"/>
        </w:trPr>
        <w:tc>
          <w:tcPr>
            <w:tcW w:w="40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equity</w:t>
            </w:r>
          </w:p>
        </w:tc>
        <w:tc>
          <w:tcPr>
            <w:tcW w:w="29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429,392</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443,734</w:t>
            </w:r>
          </w:p>
        </w:tc>
        <w:tc>
          <w:tcPr>
            <w:tcW w:w="0" w:type="dxa"/>
            <w:vAlign w:val="bottom"/>
          </w:tcPr>
          <w:p>
            <w:pPr>
              <w:spacing w:after="0"/>
              <w:rPr>
                <w:sz w:val="1"/>
                <w:szCs w:val="1"/>
                <w:color w:val="auto"/>
              </w:rPr>
            </w:pPr>
          </w:p>
        </w:tc>
      </w:tr>
      <w:tr>
        <w:trPr>
          <w:trHeight w:val="283"/>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31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3,059,692</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3,130,420</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2900" w:type="dxa"/>
            <w:vAlign w:val="bottom"/>
            <w:tcBorders>
              <w:top w:val="single" w:sz="8" w:color="CCEEFF"/>
              <w:bottom w:val="single" w:sz="8" w:color="CCEEFF"/>
            </w:tcBorders>
            <w:vMerge w:val="restart"/>
          </w:tcPr>
          <w:p>
            <w:pPr>
              <w:jc w:val="right"/>
              <w:ind w:right="1250"/>
              <w:spacing w:after="0"/>
              <w:rPr>
                <w:sz w:val="20"/>
                <w:szCs w:val="20"/>
                <w:color w:val="auto"/>
              </w:rPr>
            </w:pPr>
            <w:r>
              <w:rPr>
                <w:rFonts w:ascii="Calibri" w:cs="Calibri" w:eastAsia="Calibri" w:hAnsi="Calibri"/>
                <w:sz w:val="18"/>
                <w:szCs w:val="18"/>
                <w:color w:val="auto"/>
              </w:rPr>
              <w:t>8</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0"/>
        </w:trPr>
        <w:tc>
          <w:tcPr>
            <w:tcW w:w="4080" w:type="dxa"/>
            <w:vAlign w:val="bottom"/>
          </w:tcPr>
          <w:p>
            <w:pPr>
              <w:spacing w:after="0"/>
              <w:rPr>
                <w:sz w:val="24"/>
                <w:szCs w:val="24"/>
                <w:color w:val="auto"/>
              </w:rPr>
            </w:pPr>
          </w:p>
        </w:tc>
        <w:tc>
          <w:tcPr>
            <w:tcW w:w="29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80"/>
          </w:cols>
          <w:pgMar w:left="360" w:top="338" w:right="35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22"/>
          <w:szCs w:val="22"/>
          <w:b w:val="1"/>
          <w:bCs w:val="1"/>
          <w:color w:val="auto"/>
        </w:rPr>
        <w:t>Sotera Health Company</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Condensed Consolidated Statements of Cash Flows</w:t>
      </w:r>
    </w:p>
    <w:p>
      <w:pPr>
        <w:jc w:val="center"/>
        <w:spacing w:after="0"/>
        <w:rPr>
          <w:sz w:val="20"/>
          <w:szCs w:val="20"/>
          <w:color w:val="auto"/>
        </w:rPr>
      </w:pPr>
      <w:r>
        <w:rPr>
          <w:rFonts w:ascii="Times New Roman" w:cs="Times New Roman" w:eastAsia="Times New Roman" w:hAnsi="Times New Roman"/>
          <w:sz w:val="16"/>
          <w:szCs w:val="16"/>
          <w:i w:val="1"/>
          <w:iCs w:val="1"/>
          <w:color w:val="auto"/>
        </w:rPr>
        <w:t>(in thousands)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8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20" w:type="dxa"/>
            <w:vAlign w:val="bottom"/>
            <w:gridSpan w:val="4"/>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rPr>
              <w:t>Three Months Ended March 31,</w:t>
            </w:r>
          </w:p>
        </w:tc>
      </w:tr>
      <w:tr>
        <w:trPr>
          <w:trHeight w:val="29"/>
        </w:trPr>
        <w:tc>
          <w:tcPr>
            <w:tcW w:w="84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21"/>
        </w:trPr>
        <w:tc>
          <w:tcPr>
            <w:tcW w:w="84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7"/>
                <w:szCs w:val="17"/>
                <w:b w:val="1"/>
                <w:bCs w:val="1"/>
                <w:color w:val="auto"/>
              </w:rPr>
              <w:t>2024</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211"/>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Operating activities:</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28"/>
        </w:trPr>
        <w:tc>
          <w:tcPr>
            <w:tcW w:w="8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6,323</w:t>
            </w:r>
          </w:p>
        </w:tc>
        <w:tc>
          <w:tcPr>
            <w:tcW w:w="140" w:type="dxa"/>
            <w:vAlign w:val="bottom"/>
          </w:tcPr>
          <w:p>
            <w:pPr>
              <w:spacing w:after="0"/>
              <w:rPr>
                <w:sz w:val="19"/>
                <w:szCs w:val="19"/>
                <w:color w:val="auto"/>
              </w:rPr>
            </w:pPr>
          </w:p>
        </w:tc>
        <w:tc>
          <w:tcPr>
            <w:tcW w:w="30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2,842</w:t>
            </w:r>
          </w:p>
        </w:tc>
      </w:tr>
      <w:tr>
        <w:trPr>
          <w:trHeight w:val="231"/>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Adjustments to reconcile net income to net cash provided by operating activities:</w:t>
            </w: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r>
      <w:tr>
        <w:trPr>
          <w:trHeight w:val="228"/>
        </w:trPr>
        <w:tc>
          <w:tcPr>
            <w:tcW w:w="8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Non-cash items</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44,603</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47,239</w:t>
            </w:r>
          </w:p>
        </w:tc>
      </w:tr>
      <w:tr>
        <w:trPr>
          <w:trHeight w:val="231"/>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Changes in operating assets and liabilities</w:t>
            </w:r>
          </w:p>
        </w:tc>
        <w:tc>
          <w:tcPr>
            <w:tcW w:w="16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(41,227)</w:t>
            </w:r>
          </w:p>
        </w:tc>
        <w:tc>
          <w:tcPr>
            <w:tcW w:w="14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(16,210)</w:t>
            </w:r>
          </w:p>
        </w:tc>
      </w:tr>
      <w:tr>
        <w:trPr>
          <w:trHeight w:val="221"/>
        </w:trPr>
        <w:tc>
          <w:tcPr>
            <w:tcW w:w="8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cash provided by operating activities</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9,699</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33,871</w:t>
            </w:r>
          </w:p>
        </w:tc>
      </w:tr>
      <w:tr>
        <w:trPr>
          <w:trHeight w:val="231"/>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Investing activities:</w:t>
            </w: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r>
      <w:tr>
        <w:trPr>
          <w:trHeight w:val="228"/>
        </w:trPr>
        <w:tc>
          <w:tcPr>
            <w:tcW w:w="8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Purchases of property, plant and equipment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(34,890)</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(45,000)</w:t>
            </w:r>
          </w:p>
        </w:tc>
      </w:tr>
      <w:tr>
        <w:trPr>
          <w:trHeight w:val="231"/>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investing activities</w:t>
            </w:r>
          </w:p>
        </w:tc>
        <w:tc>
          <w:tcPr>
            <w:tcW w:w="16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37</w:t>
            </w:r>
          </w:p>
        </w:tc>
        <w:tc>
          <w:tcPr>
            <w:tcW w:w="14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w:t>
            </w:r>
          </w:p>
        </w:tc>
      </w:tr>
      <w:tr>
        <w:trPr>
          <w:trHeight w:val="221"/>
        </w:trPr>
        <w:tc>
          <w:tcPr>
            <w:tcW w:w="8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cash used in investing activities</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(34,853)</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(44,968)</w:t>
            </w:r>
          </w:p>
        </w:tc>
      </w:tr>
      <w:tr>
        <w:trPr>
          <w:trHeight w:val="231"/>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Financing activities:</w:t>
            </w: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r>
      <w:tr>
        <w:trPr>
          <w:trHeight w:val="228"/>
        </w:trPr>
        <w:tc>
          <w:tcPr>
            <w:tcW w:w="8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Proceeds from long-term borrowings</w:t>
            </w:r>
          </w:p>
        </w:tc>
        <w:tc>
          <w:tcPr>
            <w:tcW w:w="16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b w:val="1"/>
                <w:bCs w:val="1"/>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500,000</w:t>
            </w:r>
          </w:p>
        </w:tc>
      </w:tr>
      <w:tr>
        <w:trPr>
          <w:trHeight w:val="231"/>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Payment on long-term borrowings</w:t>
            </w: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(1,250)</w:t>
            </w:r>
          </w:p>
        </w:tc>
        <w:tc>
          <w:tcPr>
            <w:tcW w:w="1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8"/>
        </w:trPr>
        <w:tc>
          <w:tcPr>
            <w:tcW w:w="8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Payment on revolving credit facility</w:t>
            </w:r>
          </w:p>
        </w:tc>
        <w:tc>
          <w:tcPr>
            <w:tcW w:w="16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b w:val="1"/>
                <w:bCs w:val="1"/>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(200,000)</w:t>
            </w:r>
          </w:p>
        </w:tc>
      </w:tr>
      <w:tr>
        <w:trPr>
          <w:trHeight w:val="231"/>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Payments of debt issuance costs</w:t>
            </w: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(1,291)</w:t>
            </w:r>
          </w:p>
        </w:tc>
        <w:tc>
          <w:tcPr>
            <w:tcW w:w="1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(24,457)</w:t>
            </w:r>
          </w:p>
        </w:tc>
      </w:tr>
      <w:tr>
        <w:trPr>
          <w:trHeight w:val="228"/>
        </w:trPr>
        <w:tc>
          <w:tcPr>
            <w:tcW w:w="8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Buyout of leased facilities</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(6,736)</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1"/>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financing activities</w:t>
            </w:r>
          </w:p>
        </w:tc>
        <w:tc>
          <w:tcPr>
            <w:tcW w:w="16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(2,664)</w:t>
            </w:r>
          </w:p>
        </w:tc>
        <w:tc>
          <w:tcPr>
            <w:tcW w:w="14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(1,627)</w:t>
            </w:r>
          </w:p>
        </w:tc>
      </w:tr>
      <w:tr>
        <w:trPr>
          <w:trHeight w:val="221"/>
        </w:trPr>
        <w:tc>
          <w:tcPr>
            <w:tcW w:w="8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cash (used in) provided by financing activities</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(11,941)</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273,916</w:t>
            </w:r>
          </w:p>
        </w:tc>
      </w:tr>
      <w:tr>
        <w:trPr>
          <w:trHeight w:val="231"/>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Effect of exchange rate changes on cash and cash equivalents</w:t>
            </w:r>
          </w:p>
        </w:tc>
        <w:tc>
          <w:tcPr>
            <w:tcW w:w="16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(1,739)</w:t>
            </w:r>
          </w:p>
        </w:tc>
        <w:tc>
          <w:tcPr>
            <w:tcW w:w="14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1,067</w:t>
            </w:r>
          </w:p>
        </w:tc>
      </w:tr>
      <w:tr>
        <w:trPr>
          <w:trHeight w:val="221"/>
        </w:trPr>
        <w:tc>
          <w:tcPr>
            <w:tcW w:w="8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(decrease) increase in cash and cash equivalents, including restricted cash</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(38,834)</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263,886</w:t>
            </w:r>
          </w:p>
        </w:tc>
      </w:tr>
      <w:tr>
        <w:trPr>
          <w:trHeight w:val="229"/>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and cash equivalents, including restricted cash, at beginning of period</w:t>
            </w: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301,654</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396,294</w:t>
            </w:r>
          </w:p>
        </w:tc>
      </w:tr>
      <w:tr>
        <w:trPr>
          <w:trHeight w:val="252"/>
        </w:trPr>
        <w:tc>
          <w:tcPr>
            <w:tcW w:w="8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and cash equivalents, including restricted cash, at end of period</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262,820</w:t>
            </w:r>
          </w:p>
        </w:tc>
        <w:tc>
          <w:tcPr>
            <w:tcW w:w="140" w:type="dxa"/>
            <w:vAlign w:val="bottom"/>
          </w:tcPr>
          <w:p>
            <w:pPr>
              <w:spacing w:after="0"/>
              <w:rPr>
                <w:sz w:val="21"/>
                <w:szCs w:val="21"/>
                <w:color w:val="auto"/>
              </w:rPr>
            </w:pPr>
          </w:p>
        </w:tc>
        <w:tc>
          <w:tcPr>
            <w:tcW w:w="30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660,180</w:t>
            </w:r>
          </w:p>
        </w:tc>
      </w:tr>
      <w:tr>
        <w:trPr>
          <w:trHeight w:val="20"/>
        </w:trPr>
        <w:tc>
          <w:tcPr>
            <w:tcW w:w="84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83"/>
        </w:trPr>
        <w:tc>
          <w:tcPr>
            <w:tcW w:w="84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r>
        <w:trPr>
          <w:trHeight w:val="228"/>
        </w:trPr>
        <w:tc>
          <w:tcPr>
            <w:tcW w:w="84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Supplemental disclosures of cash flow information:</w:t>
            </w: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58"/>
        </w:trPr>
        <w:tc>
          <w:tcPr>
            <w:tcW w:w="8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Cash paid during the period for interest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69,735</w:t>
            </w:r>
          </w:p>
        </w:tc>
        <w:tc>
          <w:tcPr>
            <w:tcW w:w="14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35,456</w:t>
            </w:r>
          </w:p>
        </w:tc>
      </w:tr>
      <w:tr>
        <w:trPr>
          <w:trHeight w:val="228"/>
        </w:trPr>
        <w:tc>
          <w:tcPr>
            <w:tcW w:w="846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Cash paid during the period for income taxes, net of tax refunds received</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9,837</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14,014</w:t>
            </w:r>
          </w:p>
        </w:tc>
      </w:tr>
      <w:tr>
        <w:trPr>
          <w:trHeight w:val="231"/>
        </w:trPr>
        <w:tc>
          <w:tcPr>
            <w:tcW w:w="8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Purchases of property, plant and equipment included in accounts payable</w:t>
            </w: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15,454</w:t>
            </w:r>
          </w:p>
        </w:tc>
        <w:tc>
          <w:tcPr>
            <w:tcW w:w="1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13,061</w:t>
            </w:r>
          </w:p>
        </w:tc>
      </w:tr>
    </w:tbl>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9</w:t>
      </w:r>
    </w:p>
    <w:p>
      <w:pPr>
        <w:sectPr>
          <w:pgSz w:w="11900" w:h="16838" w:orient="portrait"/>
          <w:cols w:equalWidth="0" w:num="1">
            <w:col w:w="11240"/>
          </w:cols>
          <w:pgMar w:left="320" w:top="122" w:right="339" w:bottom="1440" w:gutter="0" w:footer="0" w:header="0"/>
        </w:sectPr>
      </w:pPr>
    </w:p>
    <w:bookmarkStart w:id="12" w:name="page13"/>
    <w:bookmarkEnd w:id="12"/>
    <w:p>
      <w:pPr>
        <w:jc w:val="center"/>
        <w:ind w:right="-11"/>
        <w:spacing w:after="0"/>
        <w:rPr>
          <w:sz w:val="20"/>
          <w:szCs w:val="20"/>
          <w:color w:val="auto"/>
        </w:rPr>
      </w:pPr>
      <w:r>
        <w:rPr>
          <w:rFonts w:ascii="Times New Roman" w:cs="Times New Roman" w:eastAsia="Times New Roman" w:hAnsi="Times New Roman"/>
          <w:sz w:val="22"/>
          <w:szCs w:val="22"/>
          <w:b w:val="1"/>
          <w:bCs w:val="1"/>
          <w:color w:val="auto"/>
        </w:rPr>
        <w:t>Sotera Health Company</w:t>
      </w:r>
    </w:p>
    <w:p>
      <w:pPr>
        <w:spacing w:after="0" w:line="27" w:lineRule="exact"/>
        <w:rPr>
          <w:sz w:val="20"/>
          <w:szCs w:val="20"/>
          <w:color w:val="auto"/>
        </w:rPr>
      </w:pPr>
    </w:p>
    <w:p>
      <w:pPr>
        <w:ind w:left="4152"/>
        <w:spacing w:after="0"/>
        <w:rPr>
          <w:sz w:val="20"/>
          <w:szCs w:val="20"/>
          <w:color w:val="auto"/>
        </w:rPr>
      </w:pPr>
      <w:r>
        <w:rPr>
          <w:rFonts w:ascii="Times New Roman" w:cs="Times New Roman" w:eastAsia="Times New Roman" w:hAnsi="Times New Roman"/>
          <w:sz w:val="22"/>
          <w:szCs w:val="22"/>
          <w:b w:val="1"/>
          <w:bCs w:val="1"/>
          <w:color w:val="auto"/>
        </w:rPr>
        <w:t>Non-GAAP Financial Measures</w:t>
      </w:r>
    </w:p>
    <w:p>
      <w:pPr>
        <w:ind w:left="4132"/>
        <w:spacing w:after="0"/>
        <w:rPr>
          <w:sz w:val="20"/>
          <w:szCs w:val="20"/>
          <w:color w:val="auto"/>
        </w:rPr>
      </w:pPr>
      <w:r>
        <w:rPr>
          <w:rFonts w:ascii="Times New Roman" w:cs="Times New Roman" w:eastAsia="Times New Roman" w:hAnsi="Times New Roman"/>
          <w:sz w:val="18"/>
          <w:szCs w:val="18"/>
          <w:i w:val="1"/>
          <w:iCs w:val="1"/>
          <w:color w:val="auto"/>
        </w:rPr>
        <w:t>(in thousands, except per share amounts)</w:t>
      </w:r>
    </w:p>
    <w:p>
      <w:pPr>
        <w:spacing w:after="0" w:line="7"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00" w:lineRule="exact"/>
        <w:rPr>
          <w:sz w:val="20"/>
          <w:szCs w:val="20"/>
          <w:color w:val="auto"/>
        </w:rPr>
      </w:pPr>
    </w:p>
    <w:p>
      <w:pPr>
        <w:spacing w:after="0" w:line="320" w:lineRule="exact"/>
        <w:rPr>
          <w:sz w:val="20"/>
          <w:szCs w:val="20"/>
          <w:color w:val="auto"/>
        </w:rPr>
      </w:pPr>
    </w:p>
    <w:tbl>
      <w:tblPr>
        <w:tblLayout w:type="fixed"/>
        <w:tblInd w:w="32" w:type="dxa"/>
        <w:tblCellMar>
          <w:top w:w="0" w:type="dxa"/>
          <w:left w:w="0" w:type="dxa"/>
          <w:bottom w:w="0" w:type="dxa"/>
          <w:right w:w="0" w:type="dxa"/>
        </w:tblCellMar>
      </w:tblPr>
      <w:tr>
        <w:trPr>
          <w:trHeight w:val="215"/>
        </w:trPr>
        <w:tc>
          <w:tcPr>
            <w:tcW w:w="80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gridSpan w:val="4"/>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11"/>
        </w:trPr>
        <w:tc>
          <w:tcPr>
            <w:tcW w:w="80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1"/>
        </w:trPr>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2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6,323</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2,842</w:t>
            </w:r>
          </w:p>
        </w:tc>
      </w:tr>
      <w:tr>
        <w:trPr>
          <w:trHeight w:val="214"/>
        </w:trPr>
        <w:tc>
          <w:tcPr>
            <w:tcW w:w="80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260" w:type="dxa"/>
            <w:vAlign w:val="bottom"/>
          </w:tcPr>
          <w:p>
            <w:pPr>
              <w:spacing w:after="0"/>
              <w:rPr>
                <w:sz w:val="18"/>
                <w:szCs w:val="18"/>
                <w:color w:val="auto"/>
              </w:rPr>
            </w:pPr>
          </w:p>
        </w:tc>
        <w:tc>
          <w:tcPr>
            <w:tcW w:w="124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20,124</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20,607</w:t>
            </w:r>
          </w:p>
        </w:tc>
      </w:tr>
      <w:tr>
        <w:trPr>
          <w:trHeight w:val="218"/>
        </w:trPr>
        <w:tc>
          <w:tcPr>
            <w:tcW w:w="8060" w:type="dxa"/>
            <w:vAlign w:val="bottom"/>
            <w:shd w:val="clear" w:color="auto" w:fill="CCEEFF"/>
          </w:tcPr>
          <w:p>
            <w:pPr>
              <w:ind w:left="220"/>
              <w:spacing w:after="0" w:line="218" w:lineRule="exact"/>
              <w:rPr>
                <w:sz w:val="20"/>
                <w:szCs w:val="20"/>
                <w:color w:val="auto"/>
              </w:rPr>
            </w:pPr>
            <w:r>
              <w:rPr>
                <w:rFonts w:ascii="Times New Roman" w:cs="Times New Roman" w:eastAsia="Times New Roman" w:hAnsi="Times New Roman"/>
                <w:sz w:val="16"/>
                <w:szCs w:val="16"/>
                <w:color w:val="auto"/>
              </w:rPr>
              <w:t>Share-based compensation</w:t>
            </w:r>
            <w:r>
              <w:rPr>
                <w:rFonts w:ascii="Times New Roman" w:cs="Times New Roman" w:eastAsia="Times New Roman" w:hAnsi="Times New Roman"/>
                <w:sz w:val="21"/>
                <w:szCs w:val="21"/>
                <w:color w:val="auto"/>
                <w:vertAlign w:val="superscript"/>
              </w:rPr>
              <w:t>(a)</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8,657</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7,348</w:t>
            </w:r>
          </w:p>
        </w:tc>
      </w:tr>
      <w:tr>
        <w:trPr>
          <w:trHeight w:val="216"/>
        </w:trPr>
        <w:tc>
          <w:tcPr>
            <w:tcW w:w="8060" w:type="dxa"/>
            <w:vAlign w:val="bottom"/>
          </w:tcPr>
          <w:p>
            <w:pPr>
              <w:ind w:left="220"/>
              <w:spacing w:after="0" w:line="216" w:lineRule="exact"/>
              <w:rPr>
                <w:sz w:val="20"/>
                <w:szCs w:val="20"/>
                <w:color w:val="auto"/>
              </w:rPr>
            </w:pPr>
            <w:r>
              <w:rPr>
                <w:rFonts w:ascii="Times New Roman" w:cs="Times New Roman" w:eastAsia="Times New Roman" w:hAnsi="Times New Roman"/>
                <w:sz w:val="16"/>
                <w:szCs w:val="16"/>
                <w:color w:val="auto"/>
              </w:rPr>
              <w:t>Loss on foreign currency and derivatives not designated as hedging instruments, net</w:t>
            </w:r>
            <w:r>
              <w:rPr>
                <w:rFonts w:ascii="Times New Roman" w:cs="Times New Roman" w:eastAsia="Times New Roman" w:hAnsi="Times New Roman"/>
                <w:sz w:val="21"/>
                <w:szCs w:val="21"/>
                <w:color w:val="auto"/>
                <w:vertAlign w:val="superscript"/>
              </w:rPr>
              <w:t>(b)</w:t>
            </w:r>
          </w:p>
        </w:tc>
        <w:tc>
          <w:tcPr>
            <w:tcW w:w="260" w:type="dxa"/>
            <w:vAlign w:val="bottom"/>
          </w:tcPr>
          <w:p>
            <w:pPr>
              <w:spacing w:after="0"/>
              <w:rPr>
                <w:sz w:val="18"/>
                <w:szCs w:val="18"/>
                <w:color w:val="auto"/>
              </w:rPr>
            </w:pPr>
          </w:p>
        </w:tc>
        <w:tc>
          <w:tcPr>
            <w:tcW w:w="124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1,230</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535</w:t>
            </w:r>
          </w:p>
        </w:tc>
      </w:tr>
      <w:tr>
        <w:trPr>
          <w:trHeight w:val="216"/>
        </w:trPr>
        <w:tc>
          <w:tcPr>
            <w:tcW w:w="8060" w:type="dxa"/>
            <w:vAlign w:val="bottom"/>
            <w:shd w:val="clear" w:color="auto" w:fill="CCEEFF"/>
          </w:tcPr>
          <w:p>
            <w:pPr>
              <w:ind w:left="220"/>
              <w:spacing w:after="0" w:line="216" w:lineRule="exact"/>
              <w:rPr>
                <w:sz w:val="20"/>
                <w:szCs w:val="20"/>
                <w:color w:val="auto"/>
              </w:rPr>
            </w:pPr>
            <w:r>
              <w:rPr>
                <w:rFonts w:ascii="Times New Roman" w:cs="Times New Roman" w:eastAsia="Times New Roman" w:hAnsi="Times New Roman"/>
                <w:sz w:val="16"/>
                <w:szCs w:val="16"/>
                <w:color w:val="auto"/>
              </w:rPr>
              <w:t>Business optimization expenses</w:t>
            </w:r>
            <w:r>
              <w:rPr>
                <w:rFonts w:ascii="Times New Roman" w:cs="Times New Roman" w:eastAsia="Times New Roman" w:hAnsi="Times New Roman"/>
                <w:sz w:val="21"/>
                <w:szCs w:val="21"/>
                <w:color w:val="auto"/>
                <w:vertAlign w:val="superscript"/>
              </w:rPr>
              <w:t>(c)</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54</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2,231</w:t>
            </w:r>
          </w:p>
        </w:tc>
      </w:tr>
      <w:tr>
        <w:trPr>
          <w:trHeight w:val="216"/>
        </w:trPr>
        <w:tc>
          <w:tcPr>
            <w:tcW w:w="8060" w:type="dxa"/>
            <w:vAlign w:val="bottom"/>
          </w:tcPr>
          <w:p>
            <w:pPr>
              <w:ind w:left="220"/>
              <w:spacing w:after="0" w:line="216" w:lineRule="exact"/>
              <w:rPr>
                <w:sz w:val="20"/>
                <w:szCs w:val="20"/>
                <w:color w:val="auto"/>
              </w:rPr>
            </w:pPr>
            <w:r>
              <w:rPr>
                <w:rFonts w:ascii="Times New Roman" w:cs="Times New Roman" w:eastAsia="Times New Roman" w:hAnsi="Times New Roman"/>
                <w:sz w:val="16"/>
                <w:szCs w:val="16"/>
                <w:color w:val="auto"/>
              </w:rPr>
              <w:t>Refinancing and secondary offering costs</w:t>
            </w:r>
            <w:r>
              <w:rPr>
                <w:rFonts w:ascii="Times New Roman" w:cs="Times New Roman" w:eastAsia="Times New Roman" w:hAnsi="Times New Roman"/>
                <w:sz w:val="21"/>
                <w:szCs w:val="21"/>
                <w:color w:val="auto"/>
                <w:vertAlign w:val="superscript"/>
              </w:rPr>
              <w:t>(d)</w:t>
            </w:r>
          </w:p>
        </w:tc>
        <w:tc>
          <w:tcPr>
            <w:tcW w:w="260" w:type="dxa"/>
            <w:vAlign w:val="bottom"/>
          </w:tcPr>
          <w:p>
            <w:pPr>
              <w:spacing w:after="0"/>
              <w:rPr>
                <w:sz w:val="18"/>
                <w:szCs w:val="18"/>
                <w:color w:val="auto"/>
              </w:rPr>
            </w:pPr>
          </w:p>
        </w:tc>
        <w:tc>
          <w:tcPr>
            <w:tcW w:w="124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1,807</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8060" w:type="dxa"/>
            <w:vAlign w:val="bottom"/>
            <w:shd w:val="clear" w:color="auto" w:fill="CCEEFF"/>
          </w:tcPr>
          <w:p>
            <w:pPr>
              <w:ind w:left="220"/>
              <w:spacing w:after="0" w:line="216" w:lineRule="exact"/>
              <w:rPr>
                <w:sz w:val="20"/>
                <w:szCs w:val="20"/>
                <w:color w:val="auto"/>
              </w:rPr>
            </w:pPr>
            <w:r>
              <w:rPr>
                <w:rFonts w:ascii="Times New Roman" w:cs="Times New Roman" w:eastAsia="Times New Roman" w:hAnsi="Times New Roman"/>
                <w:sz w:val="16"/>
                <w:szCs w:val="16"/>
                <w:color w:val="auto"/>
              </w:rPr>
              <w:t>Professional services relating to EO sterilization facilities</w:t>
            </w:r>
            <w:r>
              <w:rPr>
                <w:rFonts w:ascii="Times New Roman" w:cs="Times New Roman" w:eastAsia="Times New Roman" w:hAnsi="Times New Roman"/>
                <w:sz w:val="21"/>
                <w:szCs w:val="21"/>
                <w:color w:val="auto"/>
                <w:vertAlign w:val="superscript"/>
              </w:rPr>
              <w:t>(e)</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6,339</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13,972</w:t>
            </w:r>
          </w:p>
        </w:tc>
      </w:tr>
      <w:tr>
        <w:trPr>
          <w:trHeight w:val="216"/>
        </w:trPr>
        <w:tc>
          <w:tcPr>
            <w:tcW w:w="8060" w:type="dxa"/>
            <w:vAlign w:val="bottom"/>
          </w:tcPr>
          <w:p>
            <w:pPr>
              <w:ind w:left="220"/>
              <w:spacing w:after="0" w:line="216" w:lineRule="exact"/>
              <w:rPr>
                <w:sz w:val="20"/>
                <w:szCs w:val="20"/>
                <w:color w:val="auto"/>
              </w:rPr>
            </w:pPr>
            <w:r>
              <w:rPr>
                <w:rFonts w:ascii="Times New Roman" w:cs="Times New Roman" w:eastAsia="Times New Roman" w:hAnsi="Times New Roman"/>
                <w:sz w:val="16"/>
                <w:szCs w:val="16"/>
                <w:color w:val="auto"/>
              </w:rPr>
              <w:t>Accretion of asset retirement obligations</w:t>
            </w:r>
            <w:r>
              <w:rPr>
                <w:rFonts w:ascii="Times New Roman" w:cs="Times New Roman" w:eastAsia="Times New Roman" w:hAnsi="Times New Roman"/>
                <w:sz w:val="21"/>
                <w:szCs w:val="21"/>
                <w:color w:val="auto"/>
                <w:vertAlign w:val="superscript"/>
              </w:rPr>
              <w:t>(f)</w:t>
            </w:r>
          </w:p>
        </w:tc>
        <w:tc>
          <w:tcPr>
            <w:tcW w:w="260" w:type="dxa"/>
            <w:vAlign w:val="bottom"/>
          </w:tcPr>
          <w:p>
            <w:pPr>
              <w:spacing w:after="0"/>
              <w:rPr>
                <w:sz w:val="18"/>
                <w:szCs w:val="18"/>
                <w:color w:val="auto"/>
              </w:rPr>
            </w:pPr>
          </w:p>
        </w:tc>
        <w:tc>
          <w:tcPr>
            <w:tcW w:w="124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642</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572</w:t>
            </w:r>
          </w:p>
        </w:tc>
      </w:tr>
      <w:tr>
        <w:trPr>
          <w:trHeight w:val="216"/>
        </w:trPr>
        <w:tc>
          <w:tcPr>
            <w:tcW w:w="8060" w:type="dxa"/>
            <w:vAlign w:val="bottom"/>
            <w:shd w:val="clear" w:color="auto" w:fill="CCEEFF"/>
          </w:tcPr>
          <w:p>
            <w:pPr>
              <w:ind w:left="220"/>
              <w:spacing w:after="0" w:line="216" w:lineRule="exact"/>
              <w:rPr>
                <w:sz w:val="20"/>
                <w:szCs w:val="20"/>
                <w:color w:val="auto"/>
              </w:rPr>
            </w:pPr>
            <w:r>
              <w:rPr>
                <w:rFonts w:ascii="Times New Roman" w:cs="Times New Roman" w:eastAsia="Times New Roman" w:hAnsi="Times New Roman"/>
                <w:sz w:val="16"/>
                <w:szCs w:val="16"/>
                <w:color w:val="auto"/>
              </w:rPr>
              <w:t>Income tax benefit associated with pre-tax adjustments</w:t>
            </w:r>
            <w:r>
              <w:rPr>
                <w:rFonts w:ascii="Times New Roman" w:cs="Times New Roman" w:eastAsia="Times New Roman" w:hAnsi="Times New Roman"/>
                <w:sz w:val="21"/>
                <w:szCs w:val="21"/>
                <w:color w:val="auto"/>
                <w:vertAlign w:val="superscript"/>
              </w:rPr>
              <w:t>(g)</w:t>
            </w:r>
          </w:p>
        </w:tc>
        <w:tc>
          <w:tcPr>
            <w:tcW w:w="2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(9,546)</w:t>
            </w:r>
          </w:p>
        </w:tc>
        <w:tc>
          <w:tcPr>
            <w:tcW w:w="14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(12,250)</w:t>
            </w:r>
          </w:p>
        </w:tc>
      </w:tr>
      <w:tr>
        <w:trPr>
          <w:trHeight w:val="208"/>
        </w:trPr>
        <w:tc>
          <w:tcPr>
            <w:tcW w:w="80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b w:val="1"/>
                <w:bCs w:val="1"/>
                <w:color w:val="auto"/>
              </w:rPr>
              <w:t>Adjusted Net Income</w:t>
            </w:r>
          </w:p>
        </w:tc>
        <w:tc>
          <w:tcPr>
            <w:tcW w:w="2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35,630</w:t>
            </w:r>
          </w:p>
        </w:tc>
        <w:tc>
          <w:tcPr>
            <w:tcW w:w="1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35,857</w:t>
            </w:r>
          </w:p>
        </w:tc>
      </w:tr>
      <w:tr>
        <w:trPr>
          <w:trHeight w:val="211"/>
        </w:trPr>
        <w:tc>
          <w:tcPr>
            <w:tcW w:w="8060" w:type="dxa"/>
            <w:vAlign w:val="bottom"/>
            <w:shd w:val="clear" w:color="auto" w:fill="CCEEFF"/>
          </w:tcPr>
          <w:p>
            <w:pPr>
              <w:ind w:left="220"/>
              <w:spacing w:after="0" w:line="212" w:lineRule="exact"/>
              <w:rPr>
                <w:sz w:val="20"/>
                <w:szCs w:val="20"/>
                <w:color w:val="auto"/>
              </w:rPr>
            </w:pPr>
            <w:r>
              <w:rPr>
                <w:rFonts w:ascii="Times New Roman" w:cs="Times New Roman" w:eastAsia="Times New Roman" w:hAnsi="Times New Roman"/>
                <w:sz w:val="16"/>
                <w:szCs w:val="16"/>
                <w:color w:val="auto"/>
              </w:rPr>
              <w:t>Interest expense, net</w:t>
            </w:r>
            <w:r>
              <w:rPr>
                <w:rFonts w:ascii="Times New Roman" w:cs="Times New Roman" w:eastAsia="Times New Roman" w:hAnsi="Times New Roman"/>
                <w:sz w:val="21"/>
                <w:szCs w:val="21"/>
                <w:color w:val="auto"/>
                <w:vertAlign w:val="superscript"/>
              </w:rPr>
              <w:t>(h)</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41,771</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28,870</w:t>
            </w:r>
          </w:p>
        </w:tc>
      </w:tr>
      <w:tr>
        <w:trPr>
          <w:trHeight w:val="216"/>
        </w:trPr>
        <w:tc>
          <w:tcPr>
            <w:tcW w:w="8060" w:type="dxa"/>
            <w:vAlign w:val="bottom"/>
          </w:tcPr>
          <w:p>
            <w:pPr>
              <w:ind w:left="220"/>
              <w:spacing w:after="0" w:line="216" w:lineRule="exact"/>
              <w:rPr>
                <w:sz w:val="20"/>
                <w:szCs w:val="20"/>
                <w:color w:val="auto"/>
              </w:rPr>
            </w:pPr>
            <w:r>
              <w:rPr>
                <w:rFonts w:ascii="Times New Roman" w:cs="Times New Roman" w:eastAsia="Times New Roman" w:hAnsi="Times New Roman"/>
                <w:sz w:val="16"/>
                <w:szCs w:val="16"/>
                <w:color w:val="auto"/>
              </w:rPr>
              <w:t>Depreciation</w:t>
            </w:r>
            <w:r>
              <w:rPr>
                <w:rFonts w:ascii="Times New Roman" w:cs="Times New Roman" w:eastAsia="Times New Roman" w:hAnsi="Times New Roman"/>
                <w:sz w:val="21"/>
                <w:szCs w:val="21"/>
                <w:color w:val="auto"/>
                <w:vertAlign w:val="superscript"/>
              </w:rPr>
              <w:t>(i)</w:t>
            </w:r>
          </w:p>
        </w:tc>
        <w:tc>
          <w:tcPr>
            <w:tcW w:w="260" w:type="dxa"/>
            <w:vAlign w:val="bottom"/>
          </w:tcPr>
          <w:p>
            <w:pPr>
              <w:spacing w:after="0"/>
              <w:rPr>
                <w:sz w:val="18"/>
                <w:szCs w:val="18"/>
                <w:color w:val="auto"/>
              </w:rPr>
            </w:pPr>
          </w:p>
        </w:tc>
        <w:tc>
          <w:tcPr>
            <w:tcW w:w="124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20,306</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18,931</w:t>
            </w:r>
          </w:p>
        </w:tc>
      </w:tr>
      <w:tr>
        <w:trPr>
          <w:trHeight w:val="216"/>
        </w:trPr>
        <w:tc>
          <w:tcPr>
            <w:tcW w:w="8060" w:type="dxa"/>
            <w:vAlign w:val="bottom"/>
            <w:shd w:val="clear" w:color="auto" w:fill="CCEEFF"/>
          </w:tcPr>
          <w:p>
            <w:pPr>
              <w:ind w:left="220"/>
              <w:spacing w:after="0" w:line="216" w:lineRule="exact"/>
              <w:rPr>
                <w:sz w:val="20"/>
                <w:szCs w:val="20"/>
                <w:color w:val="auto"/>
              </w:rPr>
            </w:pPr>
            <w:r>
              <w:rPr>
                <w:rFonts w:ascii="Times New Roman" w:cs="Times New Roman" w:eastAsia="Times New Roman" w:hAnsi="Times New Roman"/>
                <w:sz w:val="16"/>
                <w:szCs w:val="16"/>
                <w:color w:val="auto"/>
              </w:rPr>
              <w:t>Income tax provision applicable to Adjusted Net Income</w:t>
            </w:r>
            <w:r>
              <w:rPr>
                <w:rFonts w:ascii="Times New Roman" w:cs="Times New Roman" w:eastAsia="Times New Roman" w:hAnsi="Times New Roman"/>
                <w:sz w:val="21"/>
                <w:szCs w:val="21"/>
                <w:color w:val="auto"/>
                <w:vertAlign w:val="superscript"/>
              </w:rPr>
              <w:t>(j)</w:t>
            </w:r>
          </w:p>
        </w:tc>
        <w:tc>
          <w:tcPr>
            <w:tcW w:w="2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14,237</w:t>
            </w:r>
          </w:p>
        </w:tc>
        <w:tc>
          <w:tcPr>
            <w:tcW w:w="14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14,810</w:t>
            </w:r>
          </w:p>
        </w:tc>
      </w:tr>
      <w:tr>
        <w:trPr>
          <w:trHeight w:val="210"/>
        </w:trPr>
        <w:tc>
          <w:tcPr>
            <w:tcW w:w="8060" w:type="dxa"/>
            <w:vAlign w:val="bottom"/>
          </w:tcPr>
          <w:p>
            <w:pPr>
              <w:spacing w:after="0" w:line="210" w:lineRule="exact"/>
              <w:rPr>
                <w:sz w:val="20"/>
                <w:szCs w:val="20"/>
                <w:color w:val="auto"/>
              </w:rPr>
            </w:pPr>
            <w:r>
              <w:rPr>
                <w:rFonts w:ascii="Times New Roman" w:cs="Times New Roman" w:eastAsia="Times New Roman" w:hAnsi="Times New Roman"/>
                <w:sz w:val="16"/>
                <w:szCs w:val="16"/>
                <w:b w:val="1"/>
                <w:bCs w:val="1"/>
                <w:color w:val="auto"/>
              </w:rPr>
              <w:t>Adjusted EBITDA</w:t>
            </w:r>
            <w:r>
              <w:rPr>
                <w:rFonts w:ascii="Times New Roman" w:cs="Times New Roman" w:eastAsia="Times New Roman" w:hAnsi="Times New Roman"/>
                <w:sz w:val="21"/>
                <w:szCs w:val="21"/>
                <w:b w:val="1"/>
                <w:bCs w:val="1"/>
                <w:color w:val="auto"/>
                <w:vertAlign w:val="superscript"/>
              </w:rPr>
              <w:t>(k)</w:t>
            </w:r>
          </w:p>
        </w:tc>
        <w:tc>
          <w:tcPr>
            <w:tcW w:w="2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4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111,944</w:t>
            </w:r>
          </w:p>
        </w:tc>
        <w:tc>
          <w:tcPr>
            <w:tcW w:w="14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98,468</w:t>
            </w:r>
          </w:p>
        </w:tc>
      </w:tr>
      <w:tr>
        <w:trPr>
          <w:trHeight w:val="20"/>
        </w:trPr>
        <w:tc>
          <w:tcPr>
            <w:tcW w:w="80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83"/>
        </w:trPr>
        <w:tc>
          <w:tcPr>
            <w:tcW w:w="80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r>
      <w:tr>
        <w:trPr>
          <w:trHeight w:val="214"/>
        </w:trPr>
        <w:tc>
          <w:tcPr>
            <w:tcW w:w="80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Revenues</w:t>
            </w:r>
          </w:p>
        </w:tc>
        <w:tc>
          <w:tcPr>
            <w:tcW w:w="26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4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248,176</w:t>
            </w:r>
          </w:p>
        </w:tc>
        <w:tc>
          <w:tcPr>
            <w:tcW w:w="14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220,590</w:t>
            </w:r>
          </w:p>
        </w:tc>
      </w:tr>
      <w:tr>
        <w:trPr>
          <w:trHeight w:val="218"/>
        </w:trPr>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Adjusted EBITDA Margin</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45.1 %</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44.6 %</w:t>
            </w:r>
          </w:p>
        </w:tc>
      </w:tr>
      <w:tr>
        <w:trPr>
          <w:trHeight w:val="214"/>
        </w:trPr>
        <w:tc>
          <w:tcPr>
            <w:tcW w:w="80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Weighted average number of shares outstanding</w:t>
            </w: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8"/>
        </w:trPr>
        <w:tc>
          <w:tcPr>
            <w:tcW w:w="8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Basic</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281,913</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280,691</w:t>
            </w:r>
          </w:p>
        </w:tc>
      </w:tr>
      <w:tr>
        <w:trPr>
          <w:trHeight w:val="214"/>
        </w:trPr>
        <w:tc>
          <w:tcPr>
            <w:tcW w:w="80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Diluted</w:t>
            </w:r>
          </w:p>
        </w:tc>
        <w:tc>
          <w:tcPr>
            <w:tcW w:w="260" w:type="dxa"/>
            <w:vAlign w:val="bottom"/>
          </w:tcPr>
          <w:p>
            <w:pPr>
              <w:spacing w:after="0"/>
              <w:rPr>
                <w:sz w:val="18"/>
                <w:szCs w:val="18"/>
                <w:color w:val="auto"/>
              </w:rPr>
            </w:pPr>
          </w:p>
        </w:tc>
        <w:tc>
          <w:tcPr>
            <w:tcW w:w="124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284,062</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282,977</w:t>
            </w:r>
          </w:p>
        </w:tc>
      </w:tr>
      <w:tr>
        <w:trPr>
          <w:trHeight w:val="218"/>
        </w:trPr>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Earnings per share</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4"/>
        </w:trPr>
        <w:tc>
          <w:tcPr>
            <w:tcW w:w="80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Basic</w:t>
            </w:r>
          </w:p>
        </w:tc>
        <w:tc>
          <w:tcPr>
            <w:tcW w:w="26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4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0.02</w:t>
            </w:r>
          </w:p>
        </w:tc>
        <w:tc>
          <w:tcPr>
            <w:tcW w:w="14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0.01</w:t>
            </w:r>
          </w:p>
        </w:tc>
      </w:tr>
      <w:tr>
        <w:trPr>
          <w:trHeight w:val="218"/>
        </w:trPr>
        <w:tc>
          <w:tcPr>
            <w:tcW w:w="8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Diluted</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0.02</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0.01</w:t>
            </w:r>
          </w:p>
        </w:tc>
      </w:tr>
      <w:tr>
        <w:trPr>
          <w:trHeight w:val="214"/>
        </w:trPr>
        <w:tc>
          <w:tcPr>
            <w:tcW w:w="80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Adjusted earnings per share</w:t>
            </w: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8"/>
        </w:trPr>
        <w:tc>
          <w:tcPr>
            <w:tcW w:w="8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Basic</w:t>
            </w:r>
          </w:p>
        </w:tc>
        <w:tc>
          <w:tcPr>
            <w:tcW w:w="2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0.13</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0.13</w:t>
            </w:r>
          </w:p>
        </w:tc>
      </w:tr>
      <w:tr>
        <w:trPr>
          <w:trHeight w:val="212"/>
        </w:trPr>
        <w:tc>
          <w:tcPr>
            <w:tcW w:w="80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Diluted</w:t>
            </w:r>
          </w:p>
        </w:tc>
        <w:tc>
          <w:tcPr>
            <w:tcW w:w="260" w:type="dxa"/>
            <w:vAlign w:val="bottom"/>
          </w:tcPr>
          <w:p>
            <w:pPr>
              <w:spacing w:after="0"/>
              <w:rPr>
                <w:sz w:val="18"/>
                <w:szCs w:val="18"/>
                <w:color w:val="auto"/>
              </w:rPr>
            </w:pPr>
          </w:p>
        </w:tc>
        <w:tc>
          <w:tcPr>
            <w:tcW w:w="124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0.13</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0.13</w:t>
            </w:r>
          </w:p>
        </w:tc>
      </w:tr>
    </w:tbl>
    <w:p>
      <w:pPr>
        <w:spacing w:after="0" w:line="179" w:lineRule="exact"/>
        <w:rPr>
          <w:sz w:val="20"/>
          <w:szCs w:val="20"/>
          <w:color w:val="auto"/>
        </w:rPr>
      </w:pPr>
    </w:p>
    <w:p>
      <w:pPr>
        <w:ind w:left="472" w:hanging="472"/>
        <w:spacing w:after="0"/>
        <w:tabs>
          <w:tab w:leader="none" w:pos="472" w:val="left"/>
        </w:tabs>
        <w:numPr>
          <w:ilvl w:val="0"/>
          <w:numId w:val="7"/>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auto"/>
        </w:rPr>
        <w:t>Represents share-based compensation expense to employees and Non-Employee Directors.</w:t>
      </w:r>
    </w:p>
    <w:p>
      <w:pPr>
        <w:spacing w:after="0" w:line="45" w:lineRule="exact"/>
        <w:rPr>
          <w:rFonts w:ascii="Times New Roman" w:cs="Times New Roman" w:eastAsia="Times New Roman" w:hAnsi="Times New Roman"/>
          <w:sz w:val="16"/>
          <w:szCs w:val="16"/>
          <w:color w:val="231F20"/>
        </w:rPr>
      </w:pPr>
    </w:p>
    <w:p>
      <w:pPr>
        <w:ind w:left="492" w:right="40" w:hanging="492"/>
        <w:spacing w:after="0" w:line="267" w:lineRule="auto"/>
        <w:tabs>
          <w:tab w:leader="none" w:pos="492" w:val="left"/>
        </w:tabs>
        <w:numPr>
          <w:ilvl w:val="0"/>
          <w:numId w:val="7"/>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auto"/>
        </w:rPr>
        <w:t>Represents the effects of (i) fluctuations in foreign currency exchange rates and (ii) non-cash mark-to-fair value of embedded derivatives relating to certain customer and supply contracts at Nordion.</w:t>
      </w:r>
    </w:p>
    <w:p>
      <w:pPr>
        <w:ind w:left="492" w:right="40" w:hanging="492"/>
        <w:spacing w:after="0" w:line="252" w:lineRule="auto"/>
        <w:tabs>
          <w:tab w:leader="none" w:pos="483"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(i) certain costs related to acquisitions and the integration of recent acquisitions, (ii) the earnings impact of fair value adjustments (excluding those recognized within amortization expense) resulting from the businesses acquired, (iii) transition services income and non-cash deferred lease income associated with the terms of the divestiture of the Medical Isotopes business in 2018, (iv) professional fees and other costs associated with business optimization, cost saving and other process enhancement projects, and (v) professional fees, payroll costs, and other costs, including ongoing lease and utility expenses associated with the closure of the Willowbrook, Illinois facility. The three months ended March 31, 2023 includes a $1.0 million cancellation fee received from a tenant in connection with the termination of an office space lease at the Nordion facility.</w:t>
      </w:r>
    </w:p>
    <w:p>
      <w:pPr>
        <w:spacing w:after="0" w:line="1" w:lineRule="exact"/>
        <w:rPr>
          <w:rFonts w:ascii="Times New Roman" w:cs="Times New Roman" w:eastAsia="Times New Roman" w:hAnsi="Times New Roman"/>
          <w:sz w:val="16"/>
          <w:szCs w:val="16"/>
          <w:color w:val="auto"/>
        </w:rPr>
      </w:pPr>
    </w:p>
    <w:p>
      <w:pPr>
        <w:ind w:left="492" w:right="200" w:hanging="492"/>
        <w:spacing w:after="0" w:line="255" w:lineRule="auto"/>
        <w:tabs>
          <w:tab w:leader="none" w:pos="492"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three months ended March 31, 2024 includes $1.1 million of expenses incurred in connection with the secondary offering of our common stock that closed on March 4, 2024 and write-off of unamortized debt issuance costs in connection with Amendment No. 3 to the Revolving Credit Facility.</w:t>
      </w:r>
    </w:p>
    <w:p>
      <w:pPr>
        <w:ind w:left="492" w:right="140" w:hanging="492"/>
        <w:spacing w:after="0" w:line="260" w:lineRule="auto"/>
        <w:tabs>
          <w:tab w:leader="none" w:pos="483"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litigation and other professional fees associated with our EO sterilization facilities. Amounts presented for the three months ended March 31, 2023 have been adjusted to exclude interest expense, net associated with Term Loan B attributable to the loan proceeds that were used to fund the $408.0 million Illinois EO litigation settlement.</w:t>
      </w:r>
    </w:p>
    <w:p>
      <w:pPr>
        <w:spacing w:after="0" w:line="5" w:lineRule="exact"/>
        <w:rPr>
          <w:rFonts w:ascii="Times New Roman" w:cs="Times New Roman" w:eastAsia="Times New Roman" w:hAnsi="Times New Roman"/>
          <w:sz w:val="16"/>
          <w:szCs w:val="16"/>
          <w:color w:val="auto"/>
        </w:rPr>
      </w:pPr>
    </w:p>
    <w:p>
      <w:pPr>
        <w:ind w:left="492" w:right="100" w:hanging="492"/>
        <w:spacing w:after="0" w:line="260" w:lineRule="auto"/>
        <w:tabs>
          <w:tab w:leader="none" w:pos="492"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non-cash accretion of asset retirement obligations related to Co-60 and gamma processing facilities, which are based on estimated site remediation costs for any future decommissioning of these facilities and are accreted over the life of the asset.</w:t>
      </w:r>
    </w:p>
    <w:p>
      <w:pPr>
        <w:ind w:left="492" w:hanging="492"/>
        <w:spacing w:after="0" w:line="255" w:lineRule="auto"/>
        <w:tabs>
          <w:tab w:leader="none" w:pos="492" w:val="left"/>
        </w:tabs>
        <w:numPr>
          <w:ilvl w:val="0"/>
          <w:numId w:val="7"/>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Represents the income tax impact of adjustments calculated based on the tax rate applicable to each item. We eliminate the effect of tax rate changes as applied to tax assets and liabilities and unusual items from our presentation of adjusted net income.</w:t>
      </w:r>
    </w:p>
    <w:p>
      <w:pPr>
        <w:ind w:left="492" w:right="360" w:hanging="492"/>
        <w:spacing w:after="0" w:line="253" w:lineRule="auto"/>
        <w:tabs>
          <w:tab w:leader="none" w:pos="492" w:val="left"/>
        </w:tabs>
        <w:numPr>
          <w:ilvl w:val="0"/>
          <w:numId w:val="7"/>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Interest expense, net presented in this reconciliation for the three months ended March 31, 2023 has been adjusted to conform to the current year presentation to include interest expense, net on Term Loan B attributable to the loan proceeds that were used to fund the $408.0 million Illinois EO litigation settlement.</w:t>
      </w:r>
    </w:p>
    <w:p>
      <w:pPr>
        <w:ind w:left="472" w:hanging="472"/>
        <w:spacing w:after="0"/>
        <w:tabs>
          <w:tab w:leader="none" w:pos="472"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depreciation of Co-60 held at gamma irradiation sites.</w:t>
      </w:r>
    </w:p>
    <w:p>
      <w:pPr>
        <w:spacing w:after="0" w:line="8" w:lineRule="exact"/>
        <w:rPr>
          <w:rFonts w:ascii="Times New Roman" w:cs="Times New Roman" w:eastAsia="Times New Roman" w:hAnsi="Times New Roman"/>
          <w:sz w:val="16"/>
          <w:szCs w:val="16"/>
          <w:color w:val="auto"/>
        </w:rPr>
      </w:pPr>
    </w:p>
    <w:p>
      <w:pPr>
        <w:ind w:left="492" w:right="160" w:hanging="492"/>
        <w:spacing w:after="0" w:line="255" w:lineRule="auto"/>
        <w:tabs>
          <w:tab w:leader="none" w:pos="483" w:val="left"/>
        </w:tabs>
        <w:numPr>
          <w:ilvl w:val="0"/>
          <w:numId w:val="7"/>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Represents the difference between income tax provision or benefit as determined under U.S. GAAP and the income tax provision or benefit associated with pre-tax adjustments described in footnote (g).</w:t>
      </w:r>
    </w:p>
    <w:p>
      <w:pPr>
        <w:ind w:left="492" w:right="280" w:hanging="492"/>
        <w:spacing w:after="0" w:line="270" w:lineRule="auto"/>
        <w:tabs>
          <w:tab w:leader="none" w:pos="492"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$23.8 million and $22.9 million of the adjustments for the three months ended March 31, 2024 and 2023, respectively, are included in cost of revenues, primarily consisting of amortization of intangible assets, depreciation, and accretion of asset retirement obligations.</w:t>
      </w:r>
    </w:p>
    <w:p>
      <w:pPr>
        <w:spacing w:after="0" w:line="375" w:lineRule="exact"/>
        <w:rPr>
          <w:sz w:val="20"/>
          <w:szCs w:val="20"/>
          <w:color w:val="auto"/>
        </w:rPr>
      </w:pPr>
    </w:p>
    <w:p>
      <w:pPr>
        <w:jc w:val="center"/>
        <w:ind w:right="-31"/>
        <w:spacing w:after="0"/>
        <w:rPr>
          <w:sz w:val="20"/>
          <w:szCs w:val="20"/>
          <w:color w:val="auto"/>
        </w:rPr>
      </w:pPr>
      <w:r>
        <w:rPr>
          <w:rFonts w:ascii="Calibri" w:cs="Calibri" w:eastAsia="Calibri" w:hAnsi="Calibri"/>
          <w:sz w:val="18"/>
          <w:szCs w:val="18"/>
          <w:color w:val="auto"/>
        </w:rPr>
        <w:t>10</w:t>
      </w:r>
    </w:p>
    <w:p>
      <w:pPr>
        <w:sectPr>
          <w:pgSz w:w="11900" w:h="16838" w:orient="portrait"/>
          <w:cols w:equalWidth="0" w:num="1">
            <w:col w:w="11212"/>
          </w:cols>
          <w:pgMar w:left="328" w:top="122" w:right="35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22"/>
          <w:szCs w:val="22"/>
          <w:b w:val="1"/>
          <w:bCs w:val="1"/>
          <w:color w:val="auto"/>
        </w:rPr>
        <w:t>Sotera Health Company</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Non-GAAP Financial Measures</w:t>
      </w: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Net Leverage)</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0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As of March 31,</w:t>
            </w:r>
          </w:p>
        </w:tc>
        <w:tc>
          <w:tcPr>
            <w:tcW w:w="20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As of December 31,</w:t>
            </w:r>
          </w:p>
        </w:tc>
      </w:tr>
      <w:tr>
        <w:trPr>
          <w:trHeight w:val="223"/>
        </w:trPr>
        <w:tc>
          <w:tcPr>
            <w:tcW w:w="70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4,808</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4,797</w:t>
            </w:r>
          </w:p>
        </w:tc>
      </w:tr>
      <w:tr>
        <w:trPr>
          <w:trHeight w:val="229"/>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2,224,611</w:t>
            </w:r>
          </w:p>
        </w:tc>
        <w:tc>
          <w:tcPr>
            <w:tcW w:w="14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2,223,674</w:t>
            </w:r>
          </w:p>
        </w:tc>
      </w:tr>
      <w:tr>
        <w:trPr>
          <w:trHeight w:val="229"/>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portion of finance leases</w:t>
            </w:r>
          </w:p>
        </w:tc>
        <w:tc>
          <w:tcPr>
            <w:tcW w:w="26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1,490</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8,771</w:t>
            </w:r>
          </w:p>
        </w:tc>
      </w:tr>
      <w:tr>
        <w:trPr>
          <w:trHeight w:val="230"/>
        </w:trPr>
        <w:tc>
          <w:tcPr>
            <w:tcW w:w="7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Finance leases less current portion</w:t>
            </w:r>
          </w:p>
        </w:tc>
        <w:tc>
          <w:tcPr>
            <w:tcW w:w="26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90,858</w:t>
            </w:r>
          </w:p>
        </w:tc>
        <w:tc>
          <w:tcPr>
            <w:tcW w:w="1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63,793</w:t>
            </w:r>
          </w:p>
        </w:tc>
      </w:tr>
      <w:tr>
        <w:trPr>
          <w:trHeight w:val="223"/>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Debt</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2,321,767</w:t>
            </w:r>
          </w:p>
        </w:tc>
        <w:tc>
          <w:tcPr>
            <w:tcW w:w="1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2,301,035</w:t>
            </w:r>
          </w:p>
        </w:tc>
      </w:tr>
      <w:tr>
        <w:trPr>
          <w:trHeight w:val="196"/>
        </w:trPr>
        <w:tc>
          <w:tcPr>
            <w:tcW w:w="7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29"/>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cash and cash equivalents</w:t>
            </w:r>
          </w:p>
        </w:tc>
        <w:tc>
          <w:tcPr>
            <w:tcW w:w="26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(261,133)</w:t>
            </w:r>
          </w:p>
        </w:tc>
        <w:tc>
          <w:tcPr>
            <w:tcW w:w="1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(296,407)</w:t>
            </w:r>
          </w:p>
        </w:tc>
      </w:tr>
      <w:tr>
        <w:trPr>
          <w:trHeight w:val="223"/>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Debt</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2,060,634</w:t>
            </w:r>
          </w:p>
        </w:tc>
        <w:tc>
          <w:tcPr>
            <w:tcW w:w="14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2,004,628</w:t>
            </w:r>
          </w:p>
        </w:tc>
      </w:tr>
      <w:tr>
        <w:trPr>
          <w:trHeight w:val="20"/>
        </w:trPr>
        <w:tc>
          <w:tcPr>
            <w:tcW w:w="70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r>
        <w:trPr>
          <w:trHeight w:val="183"/>
        </w:trPr>
        <w:tc>
          <w:tcPr>
            <w:tcW w:w="70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7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r>
      <w:tr>
        <w:trPr>
          <w:trHeight w:val="229"/>
        </w:trPr>
        <w:tc>
          <w:tcPr>
            <w:tcW w:w="70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b w:val="1"/>
                <w:bCs w:val="1"/>
                <w:color w:val="auto"/>
              </w:rPr>
              <w:t>Adjusted EBITDA</w:t>
            </w:r>
            <w:r>
              <w:rPr>
                <w:rFonts w:ascii="Times New Roman" w:cs="Times New Roman" w:eastAsia="Times New Roman" w:hAnsi="Times New Roman"/>
                <w:sz w:val="23"/>
                <w:szCs w:val="23"/>
                <w:b w:val="1"/>
                <w:bCs w:val="1"/>
                <w:color w:val="auto"/>
                <w:vertAlign w:val="superscript"/>
              </w:rPr>
              <w:t>(a)</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541,505</w:t>
            </w:r>
          </w:p>
        </w:tc>
        <w:tc>
          <w:tcPr>
            <w:tcW w:w="14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528,029</w:t>
            </w:r>
          </w:p>
        </w:tc>
      </w:tr>
      <w:tr>
        <w:trPr>
          <w:trHeight w:val="230"/>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Leverage</w:t>
            </w:r>
          </w:p>
        </w:tc>
        <w:tc>
          <w:tcPr>
            <w:tcW w:w="260" w:type="dxa"/>
            <w:vAlign w:val="bottom"/>
            <w:shd w:val="clear" w:color="auto" w:fill="CCEEFF"/>
          </w:tcPr>
          <w:p>
            <w:pPr>
              <w:spacing w:after="0"/>
              <w:rPr>
                <w:sz w:val="19"/>
                <w:szCs w:val="19"/>
                <w:color w:val="auto"/>
              </w:rPr>
            </w:pPr>
          </w:p>
        </w:tc>
        <w:tc>
          <w:tcPr>
            <w:tcW w:w="1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3.8x</w:t>
            </w:r>
          </w:p>
        </w:tc>
        <w:tc>
          <w:tcPr>
            <w:tcW w:w="2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3.8x</w:t>
            </w:r>
          </w:p>
        </w:tc>
      </w:tr>
    </w:tbl>
    <w:p>
      <w:pPr>
        <w:spacing w:after="0" w:line="175" w:lineRule="exact"/>
        <w:rPr>
          <w:sz w:val="20"/>
          <w:szCs w:val="20"/>
          <w:color w:val="auto"/>
        </w:rPr>
      </w:pPr>
    </w:p>
    <w:p>
      <w:pPr>
        <w:ind w:left="500" w:right="80" w:hanging="492"/>
        <w:spacing w:after="0" w:line="298" w:lineRule="auto"/>
        <w:tabs>
          <w:tab w:leader="none" w:pos="491"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adjusted EBITDA for the twelve months ended March 31, 2024 and December 31, 2023, respectively. Refer to the reconciliation of net income (the most comparable GAAP measure) to Adjusted EBITDA on the following page.</w:t>
      </w:r>
    </w:p>
    <w:p>
      <w:pPr>
        <w:spacing w:after="0" w:line="353"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11</w:t>
      </w:r>
    </w:p>
    <w:p>
      <w:pPr>
        <w:sectPr>
          <w:pgSz w:w="11900" w:h="16838" w:orient="portrait"/>
          <w:cols w:equalWidth="0" w:num="1">
            <w:col w:w="11240"/>
          </w:cols>
          <w:pgMar w:left="320" w:top="122" w:right="339" w:bottom="1440" w:gutter="0" w:footer="0" w:header="0"/>
        </w:sectPr>
      </w:pPr>
    </w:p>
    <w:bookmarkStart w:id="14" w:name="page15"/>
    <w:bookmarkEnd w:id="14"/>
    <w:p>
      <w:pPr>
        <w:jc w:val="center"/>
        <w:ind w:right="-31"/>
        <w:spacing w:after="0"/>
        <w:rPr>
          <w:sz w:val="20"/>
          <w:szCs w:val="20"/>
          <w:color w:val="auto"/>
        </w:rPr>
      </w:pPr>
      <w:r>
        <w:rPr>
          <w:rFonts w:ascii="Times New Roman" w:cs="Times New Roman" w:eastAsia="Times New Roman" w:hAnsi="Times New Roman"/>
          <w:sz w:val="22"/>
          <w:szCs w:val="22"/>
          <w:b w:val="1"/>
          <w:bCs w:val="1"/>
          <w:color w:val="auto"/>
        </w:rPr>
        <w:t>Sotera Health Company</w:t>
      </w:r>
    </w:p>
    <w:p>
      <w:pPr>
        <w:spacing w:after="0" w:line="27"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22"/>
          <w:szCs w:val="22"/>
          <w:b w:val="1"/>
          <w:bCs w:val="1"/>
          <w:color w:val="auto"/>
        </w:rPr>
        <w:t>Non-GAAP Financial Measures</w:t>
      </w:r>
    </w:p>
    <w:p>
      <w:pPr>
        <w:jc w:val="center"/>
        <w:ind w:right="-31"/>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7"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00" w:lineRule="exact"/>
        <w:rPr>
          <w:sz w:val="20"/>
          <w:szCs w:val="20"/>
          <w:color w:val="auto"/>
        </w:rPr>
      </w:pPr>
    </w:p>
    <w:p>
      <w:pPr>
        <w:spacing w:after="0" w:line="311" w:lineRule="exact"/>
        <w:rPr>
          <w:sz w:val="20"/>
          <w:szCs w:val="20"/>
          <w:color w:val="auto"/>
        </w:rPr>
      </w:pPr>
    </w:p>
    <w:tbl>
      <w:tblPr>
        <w:tblLayout w:type="fixed"/>
        <w:tblInd w:w="152" w:type="dxa"/>
        <w:tblCellMar>
          <w:top w:w="0" w:type="dxa"/>
          <w:left w:w="0" w:type="dxa"/>
          <w:bottom w:w="0" w:type="dxa"/>
          <w:right w:w="0" w:type="dxa"/>
        </w:tblCellMar>
      </w:tblPr>
      <w:tr>
        <w:trPr>
          <w:trHeight w:val="190"/>
        </w:trPr>
        <w:tc>
          <w:tcPr>
            <w:tcW w:w="7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520" w:type="dxa"/>
            <w:vAlign w:val="bottom"/>
            <w:gridSpan w:val="4"/>
          </w:tcPr>
          <w:p>
            <w:pPr>
              <w:jc w:val="right"/>
              <w:ind w:right="1160"/>
              <w:spacing w:after="0"/>
              <w:rPr>
                <w:sz w:val="20"/>
                <w:szCs w:val="20"/>
                <w:color w:val="auto"/>
              </w:rPr>
            </w:pPr>
            <w:r>
              <w:rPr>
                <w:rFonts w:ascii="Times New Roman" w:cs="Times New Roman" w:eastAsia="Times New Roman" w:hAnsi="Times New Roman"/>
                <w:sz w:val="14"/>
                <w:szCs w:val="14"/>
                <w:b w:val="1"/>
                <w:bCs w:val="1"/>
                <w:color w:val="auto"/>
              </w:rPr>
              <w:t>Twelve months ended</w:t>
            </w:r>
          </w:p>
        </w:tc>
      </w:tr>
      <w:tr>
        <w:trPr>
          <w:trHeight w:val="23"/>
        </w:trPr>
        <w:tc>
          <w:tcPr>
            <w:tcW w:w="71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190"/>
        </w:trPr>
        <w:tc>
          <w:tcPr>
            <w:tcW w:w="71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2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16"/>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56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54,857</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51,376</w:t>
            </w:r>
          </w:p>
        </w:tc>
      </w:tr>
      <w:tr>
        <w:trPr>
          <w:trHeight w:val="214"/>
        </w:trPr>
        <w:tc>
          <w:tcPr>
            <w:tcW w:w="71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260" w:type="dxa"/>
            <w:vAlign w:val="bottom"/>
          </w:tcPr>
          <w:p>
            <w:pPr>
              <w:spacing w:after="0"/>
              <w:rPr>
                <w:sz w:val="18"/>
                <w:szCs w:val="18"/>
                <w:color w:val="auto"/>
              </w:rPr>
            </w:pPr>
          </w:p>
        </w:tc>
        <w:tc>
          <w:tcPr>
            <w:tcW w:w="1560" w:type="dxa"/>
            <w:vAlign w:val="bottom"/>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80,865</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81,348</w:t>
            </w:r>
          </w:p>
        </w:tc>
      </w:tr>
      <w:tr>
        <w:trPr>
          <w:trHeight w:val="218"/>
        </w:trPr>
        <w:tc>
          <w:tcPr>
            <w:tcW w:w="7160" w:type="dxa"/>
            <w:vAlign w:val="bottom"/>
            <w:shd w:val="clear" w:color="auto" w:fill="CCEEFF"/>
          </w:tcPr>
          <w:p>
            <w:pPr>
              <w:ind w:left="240"/>
              <w:spacing w:after="0" w:line="218" w:lineRule="exact"/>
              <w:rPr>
                <w:sz w:val="20"/>
                <w:szCs w:val="20"/>
                <w:color w:val="auto"/>
              </w:rPr>
            </w:pPr>
            <w:r>
              <w:rPr>
                <w:rFonts w:ascii="Times New Roman" w:cs="Times New Roman" w:eastAsia="Times New Roman" w:hAnsi="Times New Roman"/>
                <w:sz w:val="16"/>
                <w:szCs w:val="16"/>
                <w:color w:val="auto"/>
              </w:rPr>
              <w:t>Share-based compensation</w:t>
            </w:r>
            <w:r>
              <w:rPr>
                <w:rFonts w:ascii="Times New Roman" w:cs="Times New Roman" w:eastAsia="Times New Roman" w:hAnsi="Times New Roman"/>
                <w:sz w:val="21"/>
                <w:szCs w:val="21"/>
                <w:color w:val="auto"/>
                <w:vertAlign w:val="superscript"/>
              </w:rPr>
              <w:t>(a)</w:t>
            </w:r>
          </w:p>
        </w:tc>
        <w:tc>
          <w:tcPr>
            <w:tcW w:w="26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33,673</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32,364</w:t>
            </w:r>
          </w:p>
        </w:tc>
      </w:tr>
      <w:tr>
        <w:trPr>
          <w:trHeight w:val="216"/>
        </w:trPr>
        <w:tc>
          <w:tcPr>
            <w:tcW w:w="7160" w:type="dxa"/>
            <w:vAlign w:val="bottom"/>
          </w:tcPr>
          <w:p>
            <w:pPr>
              <w:ind w:left="240"/>
              <w:spacing w:after="0" w:line="216" w:lineRule="exact"/>
              <w:rPr>
                <w:sz w:val="20"/>
                <w:szCs w:val="20"/>
                <w:color w:val="auto"/>
              </w:rPr>
            </w:pPr>
            <w:r>
              <w:rPr>
                <w:rFonts w:ascii="Times New Roman" w:cs="Times New Roman" w:eastAsia="Times New Roman" w:hAnsi="Times New Roman"/>
                <w:sz w:val="16"/>
                <w:szCs w:val="16"/>
                <w:color w:val="auto"/>
              </w:rPr>
              <w:t>Gain on foreign currency and derivatives not designated as hedging instruments, net</w:t>
            </w:r>
            <w:r>
              <w:rPr>
                <w:rFonts w:ascii="Times New Roman" w:cs="Times New Roman" w:eastAsia="Times New Roman" w:hAnsi="Times New Roman"/>
                <w:sz w:val="21"/>
                <w:szCs w:val="21"/>
                <w:color w:val="auto"/>
                <w:vertAlign w:val="superscript"/>
              </w:rPr>
              <w:t>(b)</w:t>
            </w:r>
          </w:p>
        </w:tc>
        <w:tc>
          <w:tcPr>
            <w:tcW w:w="260" w:type="dxa"/>
            <w:vAlign w:val="bottom"/>
          </w:tcPr>
          <w:p>
            <w:pPr>
              <w:spacing w:after="0"/>
              <w:rPr>
                <w:sz w:val="18"/>
                <w:szCs w:val="18"/>
                <w:color w:val="auto"/>
              </w:rPr>
            </w:pPr>
          </w:p>
        </w:tc>
        <w:tc>
          <w:tcPr>
            <w:tcW w:w="1560" w:type="dxa"/>
            <w:vAlign w:val="bottom"/>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(857)</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(1,552)</w:t>
            </w:r>
          </w:p>
        </w:tc>
      </w:tr>
      <w:tr>
        <w:trPr>
          <w:trHeight w:val="216"/>
        </w:trPr>
        <w:tc>
          <w:tcPr>
            <w:tcW w:w="7160" w:type="dxa"/>
            <w:vAlign w:val="bottom"/>
            <w:shd w:val="clear" w:color="auto" w:fill="CCEEFF"/>
          </w:tcPr>
          <w:p>
            <w:pPr>
              <w:ind w:left="240"/>
              <w:spacing w:after="0" w:line="216" w:lineRule="exact"/>
              <w:rPr>
                <w:sz w:val="20"/>
                <w:szCs w:val="20"/>
                <w:color w:val="auto"/>
              </w:rPr>
            </w:pPr>
            <w:r>
              <w:rPr>
                <w:rFonts w:ascii="Times New Roman" w:cs="Times New Roman" w:eastAsia="Times New Roman" w:hAnsi="Times New Roman"/>
                <w:sz w:val="16"/>
                <w:szCs w:val="16"/>
                <w:color w:val="auto"/>
              </w:rPr>
              <w:t>Business optimization expenses</w:t>
            </w:r>
            <w:r>
              <w:rPr>
                <w:rFonts w:ascii="Times New Roman" w:cs="Times New Roman" w:eastAsia="Times New Roman" w:hAnsi="Times New Roman"/>
                <w:sz w:val="21"/>
                <w:szCs w:val="21"/>
                <w:color w:val="auto"/>
                <w:vertAlign w:val="superscript"/>
              </w:rPr>
              <w:t>(c)</w:t>
            </w:r>
          </w:p>
        </w:tc>
        <w:tc>
          <w:tcPr>
            <w:tcW w:w="26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5,485</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7,662</w:t>
            </w:r>
          </w:p>
        </w:tc>
      </w:tr>
      <w:tr>
        <w:trPr>
          <w:trHeight w:val="216"/>
        </w:trPr>
        <w:tc>
          <w:tcPr>
            <w:tcW w:w="7160" w:type="dxa"/>
            <w:vAlign w:val="bottom"/>
          </w:tcPr>
          <w:p>
            <w:pPr>
              <w:ind w:left="240"/>
              <w:spacing w:after="0" w:line="216" w:lineRule="exact"/>
              <w:rPr>
                <w:sz w:val="20"/>
                <w:szCs w:val="20"/>
                <w:color w:val="auto"/>
              </w:rPr>
            </w:pPr>
            <w:r>
              <w:rPr>
                <w:rFonts w:ascii="Times New Roman" w:cs="Times New Roman" w:eastAsia="Times New Roman" w:hAnsi="Times New Roman"/>
                <w:sz w:val="16"/>
                <w:szCs w:val="16"/>
                <w:color w:val="auto"/>
              </w:rPr>
              <w:t>Refinancing and secondary offering costs</w:t>
            </w:r>
            <w:r>
              <w:rPr>
                <w:rFonts w:ascii="Times New Roman" w:cs="Times New Roman" w:eastAsia="Times New Roman" w:hAnsi="Times New Roman"/>
                <w:sz w:val="21"/>
                <w:szCs w:val="21"/>
                <w:color w:val="auto"/>
                <w:vertAlign w:val="superscript"/>
              </w:rPr>
              <w:t>(d)</w:t>
            </w:r>
          </w:p>
        </w:tc>
        <w:tc>
          <w:tcPr>
            <w:tcW w:w="260" w:type="dxa"/>
            <w:vAlign w:val="bottom"/>
          </w:tcPr>
          <w:p>
            <w:pPr>
              <w:spacing w:after="0"/>
              <w:rPr>
                <w:sz w:val="18"/>
                <w:szCs w:val="18"/>
                <w:color w:val="auto"/>
              </w:rPr>
            </w:pPr>
          </w:p>
        </w:tc>
        <w:tc>
          <w:tcPr>
            <w:tcW w:w="1560" w:type="dxa"/>
            <w:vAlign w:val="bottom"/>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1,807</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7160" w:type="dxa"/>
            <w:vAlign w:val="bottom"/>
            <w:shd w:val="clear" w:color="auto" w:fill="CCEEFF"/>
          </w:tcPr>
          <w:p>
            <w:pPr>
              <w:ind w:left="240"/>
              <w:spacing w:after="0" w:line="216" w:lineRule="exact"/>
              <w:rPr>
                <w:sz w:val="20"/>
                <w:szCs w:val="20"/>
                <w:color w:val="auto"/>
              </w:rPr>
            </w:pPr>
            <w:r>
              <w:rPr>
                <w:rFonts w:ascii="Times New Roman" w:cs="Times New Roman" w:eastAsia="Times New Roman" w:hAnsi="Times New Roman"/>
                <w:sz w:val="16"/>
                <w:szCs w:val="16"/>
                <w:color w:val="auto"/>
              </w:rPr>
              <w:t>Professional services relating to EO sterilization facilities</w:t>
            </w:r>
            <w:r>
              <w:rPr>
                <w:rFonts w:ascii="Times New Roman" w:cs="Times New Roman" w:eastAsia="Times New Roman" w:hAnsi="Times New Roman"/>
                <w:sz w:val="21"/>
                <w:szCs w:val="21"/>
                <w:color w:val="auto"/>
                <w:vertAlign w:val="superscript"/>
              </w:rPr>
              <w:t>(e)</w:t>
            </w:r>
          </w:p>
        </w:tc>
        <w:tc>
          <w:tcPr>
            <w:tcW w:w="26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37,679</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45,312</w:t>
            </w:r>
          </w:p>
        </w:tc>
      </w:tr>
      <w:tr>
        <w:trPr>
          <w:trHeight w:val="216"/>
        </w:trPr>
        <w:tc>
          <w:tcPr>
            <w:tcW w:w="7160" w:type="dxa"/>
            <w:vAlign w:val="bottom"/>
          </w:tcPr>
          <w:p>
            <w:pPr>
              <w:ind w:left="240"/>
              <w:spacing w:after="0" w:line="216" w:lineRule="exact"/>
              <w:rPr>
                <w:sz w:val="20"/>
                <w:szCs w:val="20"/>
                <w:color w:val="auto"/>
              </w:rPr>
            </w:pPr>
            <w:r>
              <w:rPr>
                <w:rFonts w:ascii="Times New Roman" w:cs="Times New Roman" w:eastAsia="Times New Roman" w:hAnsi="Times New Roman"/>
                <w:sz w:val="16"/>
                <w:szCs w:val="16"/>
                <w:color w:val="auto"/>
              </w:rPr>
              <w:t>Georgia EO litigation settlement</w:t>
            </w:r>
            <w:r>
              <w:rPr>
                <w:rFonts w:ascii="Times New Roman" w:cs="Times New Roman" w:eastAsia="Times New Roman" w:hAnsi="Times New Roman"/>
                <w:sz w:val="21"/>
                <w:szCs w:val="21"/>
                <w:color w:val="auto"/>
                <w:vertAlign w:val="superscript"/>
              </w:rPr>
              <w:t>(f)</w:t>
            </w:r>
          </w:p>
        </w:tc>
        <w:tc>
          <w:tcPr>
            <w:tcW w:w="260" w:type="dxa"/>
            <w:vAlign w:val="bottom"/>
          </w:tcPr>
          <w:p>
            <w:pPr>
              <w:spacing w:after="0"/>
              <w:rPr>
                <w:sz w:val="18"/>
                <w:szCs w:val="18"/>
                <w:color w:val="auto"/>
              </w:rPr>
            </w:pPr>
          </w:p>
        </w:tc>
        <w:tc>
          <w:tcPr>
            <w:tcW w:w="1560" w:type="dxa"/>
            <w:vAlign w:val="bottom"/>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35,000</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35,000</w:t>
            </w:r>
          </w:p>
        </w:tc>
      </w:tr>
      <w:tr>
        <w:trPr>
          <w:trHeight w:val="216"/>
        </w:trPr>
        <w:tc>
          <w:tcPr>
            <w:tcW w:w="7160" w:type="dxa"/>
            <w:vAlign w:val="bottom"/>
            <w:shd w:val="clear" w:color="auto" w:fill="CCEEFF"/>
          </w:tcPr>
          <w:p>
            <w:pPr>
              <w:ind w:left="240"/>
              <w:spacing w:after="0" w:line="216" w:lineRule="exact"/>
              <w:rPr>
                <w:sz w:val="20"/>
                <w:szCs w:val="20"/>
                <w:color w:val="auto"/>
              </w:rPr>
            </w:pPr>
            <w:r>
              <w:rPr>
                <w:rFonts w:ascii="Times New Roman" w:cs="Times New Roman" w:eastAsia="Times New Roman" w:hAnsi="Times New Roman"/>
                <w:sz w:val="16"/>
                <w:szCs w:val="16"/>
                <w:color w:val="auto"/>
              </w:rPr>
              <w:t>Accretion of asset retirement obligations</w:t>
            </w:r>
            <w:r>
              <w:rPr>
                <w:rFonts w:ascii="Times New Roman" w:cs="Times New Roman" w:eastAsia="Times New Roman" w:hAnsi="Times New Roman"/>
                <w:sz w:val="21"/>
                <w:szCs w:val="21"/>
                <w:color w:val="auto"/>
                <w:vertAlign w:val="superscript"/>
              </w:rPr>
              <w:t>(g)</w:t>
            </w:r>
          </w:p>
        </w:tc>
        <w:tc>
          <w:tcPr>
            <w:tcW w:w="26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2,483</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2,413</w:t>
            </w:r>
          </w:p>
        </w:tc>
      </w:tr>
      <w:tr>
        <w:trPr>
          <w:trHeight w:val="216"/>
        </w:trPr>
        <w:tc>
          <w:tcPr>
            <w:tcW w:w="7160" w:type="dxa"/>
            <w:vAlign w:val="bottom"/>
            <w:tcBorders>
              <w:bottom w:val="single" w:sz="8" w:color="CCEEFF"/>
            </w:tcBorders>
          </w:tcPr>
          <w:p>
            <w:pPr>
              <w:ind w:left="240"/>
              <w:spacing w:after="0" w:line="216" w:lineRule="exact"/>
              <w:rPr>
                <w:sz w:val="20"/>
                <w:szCs w:val="20"/>
                <w:color w:val="auto"/>
              </w:rPr>
            </w:pPr>
            <w:r>
              <w:rPr>
                <w:rFonts w:ascii="Times New Roman" w:cs="Times New Roman" w:eastAsia="Times New Roman" w:hAnsi="Times New Roman"/>
                <w:sz w:val="16"/>
                <w:szCs w:val="16"/>
                <w:color w:val="auto"/>
              </w:rPr>
              <w:t>Income tax benefit associated with pre-tax adjustments</w:t>
            </w:r>
            <w:r>
              <w:rPr>
                <w:rFonts w:ascii="Times New Roman" w:cs="Times New Roman" w:eastAsia="Times New Roman" w:hAnsi="Times New Roman"/>
                <w:sz w:val="21"/>
                <w:szCs w:val="21"/>
                <w:color w:val="auto"/>
                <w:vertAlign w:val="superscript"/>
              </w:rPr>
              <w:t>(h)</w:t>
            </w:r>
          </w:p>
        </w:tc>
        <w:tc>
          <w:tcPr>
            <w:tcW w:w="2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(46,893)</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6"/>
                <w:szCs w:val="16"/>
                <w:color w:val="auto"/>
              </w:rPr>
              <w:t>(49,597)</w:t>
            </w:r>
          </w:p>
        </w:tc>
      </w:tr>
      <w:tr>
        <w:trPr>
          <w:trHeight w:val="209"/>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Adjusted Net Income</w:t>
            </w:r>
          </w:p>
        </w:tc>
        <w:tc>
          <w:tcPr>
            <w:tcW w:w="26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204,099</w:t>
            </w:r>
          </w:p>
        </w:tc>
        <w:tc>
          <w:tcPr>
            <w:tcW w:w="1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204,326</w:t>
            </w:r>
          </w:p>
        </w:tc>
      </w:tr>
      <w:tr>
        <w:trPr>
          <w:trHeight w:val="210"/>
        </w:trPr>
        <w:tc>
          <w:tcPr>
            <w:tcW w:w="7160" w:type="dxa"/>
            <w:vAlign w:val="bottom"/>
          </w:tcPr>
          <w:p>
            <w:pPr>
              <w:ind w:left="240"/>
              <w:spacing w:after="0" w:line="210" w:lineRule="exact"/>
              <w:rPr>
                <w:sz w:val="20"/>
                <w:szCs w:val="20"/>
                <w:color w:val="auto"/>
              </w:rPr>
            </w:pPr>
            <w:r>
              <w:rPr>
                <w:rFonts w:ascii="Times New Roman" w:cs="Times New Roman" w:eastAsia="Times New Roman" w:hAnsi="Times New Roman"/>
                <w:sz w:val="16"/>
                <w:szCs w:val="16"/>
                <w:color w:val="auto"/>
              </w:rPr>
              <w:t>Interest expense, net</w:t>
            </w:r>
            <w:r>
              <w:rPr>
                <w:rFonts w:ascii="Times New Roman" w:cs="Times New Roman" w:eastAsia="Times New Roman" w:hAnsi="Times New Roman"/>
                <w:sz w:val="21"/>
                <w:szCs w:val="21"/>
                <w:color w:val="auto"/>
                <w:vertAlign w:val="superscript"/>
              </w:rPr>
              <w:t>(i)</w:t>
            </w:r>
          </w:p>
        </w:tc>
        <w:tc>
          <w:tcPr>
            <w:tcW w:w="260" w:type="dxa"/>
            <w:vAlign w:val="bottom"/>
          </w:tcPr>
          <w:p>
            <w:pPr>
              <w:spacing w:after="0"/>
              <w:rPr>
                <w:sz w:val="18"/>
                <w:szCs w:val="18"/>
                <w:color w:val="auto"/>
              </w:rPr>
            </w:pPr>
          </w:p>
        </w:tc>
        <w:tc>
          <w:tcPr>
            <w:tcW w:w="1560" w:type="dxa"/>
            <w:vAlign w:val="bottom"/>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155,779</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142,878</w:t>
            </w:r>
          </w:p>
        </w:tc>
      </w:tr>
      <w:tr>
        <w:trPr>
          <w:trHeight w:val="216"/>
        </w:trPr>
        <w:tc>
          <w:tcPr>
            <w:tcW w:w="7160" w:type="dxa"/>
            <w:vAlign w:val="bottom"/>
            <w:shd w:val="clear" w:color="auto" w:fill="CCEEFF"/>
          </w:tcPr>
          <w:p>
            <w:pPr>
              <w:ind w:left="240"/>
              <w:spacing w:after="0" w:line="216" w:lineRule="exact"/>
              <w:rPr>
                <w:sz w:val="20"/>
                <w:szCs w:val="20"/>
                <w:color w:val="auto"/>
              </w:rPr>
            </w:pPr>
            <w:r>
              <w:rPr>
                <w:rFonts w:ascii="Times New Roman" w:cs="Times New Roman" w:eastAsia="Times New Roman" w:hAnsi="Times New Roman"/>
                <w:sz w:val="16"/>
                <w:szCs w:val="16"/>
                <w:color w:val="auto"/>
              </w:rPr>
              <w:t>Depreciation</w:t>
            </w:r>
            <w:r>
              <w:rPr>
                <w:rFonts w:ascii="Times New Roman" w:cs="Times New Roman" w:eastAsia="Times New Roman" w:hAnsi="Times New Roman"/>
                <w:sz w:val="21"/>
                <w:szCs w:val="21"/>
                <w:color w:val="auto"/>
                <w:vertAlign w:val="superscript"/>
              </w:rPr>
              <w:t>(j)</w:t>
            </w:r>
          </w:p>
        </w:tc>
        <w:tc>
          <w:tcPr>
            <w:tcW w:w="26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77,952</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76,577</w:t>
            </w:r>
          </w:p>
        </w:tc>
      </w:tr>
      <w:tr>
        <w:trPr>
          <w:trHeight w:val="216"/>
        </w:trPr>
        <w:tc>
          <w:tcPr>
            <w:tcW w:w="7160" w:type="dxa"/>
            <w:vAlign w:val="bottom"/>
            <w:tcBorders>
              <w:bottom w:val="single" w:sz="8" w:color="CCEEFF"/>
            </w:tcBorders>
          </w:tcPr>
          <w:p>
            <w:pPr>
              <w:ind w:left="240"/>
              <w:spacing w:after="0" w:line="216" w:lineRule="exact"/>
              <w:rPr>
                <w:sz w:val="20"/>
                <w:szCs w:val="20"/>
                <w:color w:val="auto"/>
              </w:rPr>
            </w:pPr>
            <w:r>
              <w:rPr>
                <w:rFonts w:ascii="Times New Roman" w:cs="Times New Roman" w:eastAsia="Times New Roman" w:hAnsi="Times New Roman"/>
                <w:sz w:val="16"/>
                <w:szCs w:val="16"/>
                <w:color w:val="auto"/>
              </w:rPr>
              <w:t>Income tax provision applicable to Adjusted Net Income</w:t>
            </w:r>
            <w:r>
              <w:rPr>
                <w:rFonts w:ascii="Times New Roman" w:cs="Times New Roman" w:eastAsia="Times New Roman" w:hAnsi="Times New Roman"/>
                <w:sz w:val="21"/>
                <w:szCs w:val="21"/>
                <w:color w:val="auto"/>
                <w:vertAlign w:val="superscript"/>
              </w:rPr>
              <w:t>(k)</w:t>
            </w:r>
          </w:p>
        </w:tc>
        <w:tc>
          <w:tcPr>
            <w:tcW w:w="2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103,675</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6"/>
                <w:szCs w:val="16"/>
                <w:color w:val="auto"/>
              </w:rPr>
              <w:t>104,248</w:t>
            </w:r>
          </w:p>
        </w:tc>
      </w:tr>
      <w:tr>
        <w:trPr>
          <w:trHeight w:val="235"/>
        </w:trPr>
        <w:tc>
          <w:tcPr>
            <w:tcW w:w="7160" w:type="dxa"/>
            <w:vAlign w:val="bottom"/>
            <w:tcBorders>
              <w:bottom w:val="single" w:sz="8" w:color="CCEEFF"/>
            </w:tcBorders>
            <w:shd w:val="clear" w:color="auto" w:fill="CCEEFF"/>
          </w:tcPr>
          <w:p>
            <w:pPr>
              <w:ind w:left="20"/>
              <w:spacing w:after="0" w:line="210" w:lineRule="exact"/>
              <w:rPr>
                <w:sz w:val="20"/>
                <w:szCs w:val="20"/>
                <w:color w:val="auto"/>
              </w:rPr>
            </w:pPr>
            <w:r>
              <w:rPr>
                <w:rFonts w:ascii="Times New Roman" w:cs="Times New Roman" w:eastAsia="Times New Roman" w:hAnsi="Times New Roman"/>
                <w:sz w:val="16"/>
                <w:szCs w:val="16"/>
                <w:b w:val="1"/>
                <w:bCs w:val="1"/>
                <w:color w:val="auto"/>
              </w:rPr>
              <w:t>Adjusted EBITDA</w:t>
            </w:r>
            <w:r>
              <w:rPr>
                <w:rFonts w:ascii="Times New Roman" w:cs="Times New Roman" w:eastAsia="Times New Roman" w:hAnsi="Times New Roman"/>
                <w:sz w:val="21"/>
                <w:szCs w:val="21"/>
                <w:b w:val="1"/>
                <w:bCs w:val="1"/>
                <w:color w:val="auto"/>
                <w:vertAlign w:val="superscript"/>
              </w:rPr>
              <w:t>(l)</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560" w:type="dxa"/>
            <w:vAlign w:val="bottom"/>
            <w:tcBorders>
              <w:bottom w:val="single" w:sz="8" w:color="auto"/>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541,505</w:t>
            </w:r>
          </w:p>
        </w:tc>
        <w:tc>
          <w:tcPr>
            <w:tcW w:w="1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auto"/>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528,029</w:t>
            </w:r>
          </w:p>
        </w:tc>
      </w:tr>
      <w:tr>
        <w:trPr>
          <w:trHeight w:val="20"/>
        </w:trPr>
        <w:tc>
          <w:tcPr>
            <w:tcW w:w="7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7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16"/>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Revenues</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56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1,076,874</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1,049,288</w:t>
            </w:r>
          </w:p>
        </w:tc>
      </w:tr>
      <w:tr>
        <w:trPr>
          <w:trHeight w:val="212"/>
        </w:trPr>
        <w:tc>
          <w:tcPr>
            <w:tcW w:w="71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Adjusted EBITDA Margin</w:t>
            </w:r>
          </w:p>
        </w:tc>
        <w:tc>
          <w:tcPr>
            <w:tcW w:w="2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50.3 %</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50.3 %</w:t>
            </w:r>
          </w:p>
        </w:tc>
      </w:tr>
    </w:tbl>
    <w:p>
      <w:pPr>
        <w:spacing w:after="0" w:line="179" w:lineRule="exact"/>
        <w:rPr>
          <w:sz w:val="20"/>
          <w:szCs w:val="20"/>
          <w:color w:val="auto"/>
        </w:rPr>
      </w:pPr>
    </w:p>
    <w:p>
      <w:pPr>
        <w:ind w:left="472" w:hanging="472"/>
        <w:spacing w:after="0"/>
        <w:tabs>
          <w:tab w:leader="none" w:pos="472" w:val="left"/>
        </w:tabs>
        <w:numPr>
          <w:ilvl w:val="0"/>
          <w:numId w:val="9"/>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auto"/>
        </w:rPr>
        <w:t>Represents share-based compensation expense to employees and Non-Employee Directors.</w:t>
      </w:r>
    </w:p>
    <w:p>
      <w:pPr>
        <w:spacing w:after="0" w:line="45" w:lineRule="exact"/>
        <w:rPr>
          <w:rFonts w:ascii="Times New Roman" w:cs="Times New Roman" w:eastAsia="Times New Roman" w:hAnsi="Times New Roman"/>
          <w:sz w:val="16"/>
          <w:szCs w:val="16"/>
          <w:color w:val="231F20"/>
        </w:rPr>
      </w:pPr>
    </w:p>
    <w:p>
      <w:pPr>
        <w:ind w:left="492" w:right="40" w:hanging="492"/>
        <w:spacing w:after="0" w:line="281" w:lineRule="auto"/>
        <w:tabs>
          <w:tab w:leader="none" w:pos="492" w:val="left"/>
        </w:tabs>
        <w:numPr>
          <w:ilvl w:val="0"/>
          <w:numId w:val="9"/>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auto"/>
        </w:rPr>
        <w:t>Represents the effects of (i) fluctuations in foreign currency exchange rates and (ii) non-cash mark-to-fair value of embedded derivatives relating to certain customer and supply contracts at Nordion.</w:t>
      </w:r>
    </w:p>
    <w:p>
      <w:pPr>
        <w:spacing w:after="0" w:line="1" w:lineRule="exact"/>
        <w:rPr>
          <w:rFonts w:ascii="Times New Roman" w:cs="Times New Roman" w:eastAsia="Times New Roman" w:hAnsi="Times New Roman"/>
          <w:sz w:val="16"/>
          <w:szCs w:val="16"/>
          <w:color w:val="231F20"/>
        </w:rPr>
      </w:pPr>
    </w:p>
    <w:p>
      <w:pPr>
        <w:ind w:left="492" w:right="40" w:hanging="492"/>
        <w:spacing w:after="0" w:line="260" w:lineRule="auto"/>
        <w:tabs>
          <w:tab w:leader="none" w:pos="483"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(i) certain costs related to acquisitions and the integration of recent acquisitions, (ii) the earnings impact of fair value adjustments (excluding those recognized within amortization expense) resulting from the businesses acquired, (iii) transition services income and non-cash deferred lease income associated with the terms of the divestiture of the Medical Isotopes business in 2018, (iv) professional fees and other costs associated with business optimization, cost saving and other process enhancement projects, and (v) professional fees, payroll costs, and other costs, including ongoing lease and utility expenses associated with the closure of the Willowbrook, Illinois facility. The twelve months ended December 31, 2023 includes a $1.0 million cancellation fee received from a tenant in connection with the termination of an office space lease at the Nordion facility.</w:t>
      </w:r>
    </w:p>
    <w:p>
      <w:pPr>
        <w:spacing w:after="0" w:line="5" w:lineRule="exact"/>
        <w:rPr>
          <w:rFonts w:ascii="Times New Roman" w:cs="Times New Roman" w:eastAsia="Times New Roman" w:hAnsi="Times New Roman"/>
          <w:sz w:val="16"/>
          <w:szCs w:val="16"/>
          <w:color w:val="auto"/>
        </w:rPr>
      </w:pPr>
    </w:p>
    <w:p>
      <w:pPr>
        <w:ind w:left="492" w:right="80" w:hanging="492"/>
        <w:spacing w:after="0" w:line="272" w:lineRule="auto"/>
        <w:tabs>
          <w:tab w:leader="none" w:pos="492"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twelve months ended March 31, 2024 includes $1.1 million of expenses incurred in connection with the secondary offering of our common stock that closed on March 4, 2024 and write-off of unamortized debt issuance costs in connection with Amendment No. 3 to the Revolving Credit Facility.</w:t>
      </w:r>
    </w:p>
    <w:p>
      <w:pPr>
        <w:spacing w:after="0" w:line="1" w:lineRule="exact"/>
        <w:rPr>
          <w:rFonts w:ascii="Times New Roman" w:cs="Times New Roman" w:eastAsia="Times New Roman" w:hAnsi="Times New Roman"/>
          <w:sz w:val="16"/>
          <w:szCs w:val="16"/>
          <w:color w:val="auto"/>
        </w:rPr>
      </w:pPr>
    </w:p>
    <w:p>
      <w:pPr>
        <w:ind w:left="492" w:right="100" w:hanging="492"/>
        <w:spacing w:after="0" w:line="270" w:lineRule="auto"/>
        <w:tabs>
          <w:tab w:leader="none" w:pos="483" w:val="left"/>
        </w:tabs>
        <w:numPr>
          <w:ilvl w:val="0"/>
          <w:numId w:val="9"/>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auto"/>
        </w:rPr>
        <w:t xml:space="preserve">Represents litigation and other professional fees associated with our EO sterilization facilities. Amounts presented for the twelve months ended March 31, 2024 and December 31, 2023 have been adjusted to exclude interest expense, net associated with Term Loan B attributable to the loan proceeds that were used to fund the </w:t>
      </w:r>
      <w:r>
        <w:rPr>
          <w:rFonts w:ascii="Times New Roman" w:cs="Times New Roman" w:eastAsia="Times New Roman" w:hAnsi="Times New Roman"/>
          <w:sz w:val="16"/>
          <w:szCs w:val="16"/>
          <w:color w:val="231F20"/>
        </w:rPr>
        <w:t xml:space="preserve">$408.0 million </w:t>
      </w:r>
      <w:r>
        <w:rPr>
          <w:rFonts w:ascii="Times New Roman" w:cs="Times New Roman" w:eastAsia="Times New Roman" w:hAnsi="Times New Roman"/>
          <w:sz w:val="16"/>
          <w:szCs w:val="16"/>
          <w:color w:val="000000"/>
        </w:rPr>
        <w:t>Illinois EO litigation settlement.</w:t>
      </w:r>
    </w:p>
    <w:p>
      <w:pPr>
        <w:ind w:left="492" w:right="140" w:hanging="492"/>
        <w:spacing w:after="0" w:line="272" w:lineRule="auto"/>
        <w:tabs>
          <w:tab w:leader="none" w:pos="492"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cost to settle 79 pending EO claims against Sterigenics U.S., LLC and Sotera Health LLC in Georgia under a Settlement Term Sheet entered into on December 21, 2023.</w:t>
      </w:r>
    </w:p>
    <w:p>
      <w:pPr>
        <w:spacing w:after="0" w:line="1" w:lineRule="exact"/>
        <w:rPr>
          <w:rFonts w:ascii="Times New Roman" w:cs="Times New Roman" w:eastAsia="Times New Roman" w:hAnsi="Times New Roman"/>
          <w:sz w:val="16"/>
          <w:szCs w:val="16"/>
          <w:color w:val="auto"/>
        </w:rPr>
      </w:pPr>
    </w:p>
    <w:p>
      <w:pPr>
        <w:ind w:left="492" w:right="100" w:hanging="492"/>
        <w:spacing w:after="0" w:line="281" w:lineRule="auto"/>
        <w:tabs>
          <w:tab w:leader="none" w:pos="492"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non-cash accretion of asset retirement obligations related to Co-60 and gamma processing facilities, which are based on estimated site remediation costs for any future decommissioning of these facilities and are accreted over the life of the asset.</w:t>
      </w:r>
    </w:p>
    <w:p>
      <w:pPr>
        <w:spacing w:after="0" w:line="1" w:lineRule="exact"/>
        <w:rPr>
          <w:rFonts w:ascii="Times New Roman" w:cs="Times New Roman" w:eastAsia="Times New Roman" w:hAnsi="Times New Roman"/>
          <w:sz w:val="16"/>
          <w:szCs w:val="16"/>
          <w:color w:val="auto"/>
        </w:rPr>
      </w:pPr>
    </w:p>
    <w:p>
      <w:pPr>
        <w:ind w:left="492" w:hanging="492"/>
        <w:spacing w:after="0" w:line="272" w:lineRule="auto"/>
        <w:tabs>
          <w:tab w:leader="none" w:pos="492" w:val="left"/>
        </w:tabs>
        <w:numPr>
          <w:ilvl w:val="0"/>
          <w:numId w:val="9"/>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Represents the income tax impact of adjustments calculated based on the tax rate applicable to each item. We eliminate the effect of tax rate changes as applied to tax assets and liabilities and unusual items from our presentation of adjusted net income.</w:t>
      </w:r>
    </w:p>
    <w:p>
      <w:pPr>
        <w:spacing w:after="0" w:line="1" w:lineRule="exact"/>
        <w:rPr>
          <w:rFonts w:ascii="Times New Roman" w:cs="Times New Roman" w:eastAsia="Times New Roman" w:hAnsi="Times New Roman"/>
          <w:sz w:val="16"/>
          <w:szCs w:val="16"/>
          <w:color w:val="231F20"/>
        </w:rPr>
      </w:pPr>
    </w:p>
    <w:p>
      <w:pPr>
        <w:ind w:left="492" w:right="380" w:hanging="492"/>
        <w:spacing w:after="0" w:line="270" w:lineRule="auto"/>
        <w:tabs>
          <w:tab w:leader="none" w:pos="483" w:val="left"/>
        </w:tabs>
        <w:numPr>
          <w:ilvl w:val="0"/>
          <w:numId w:val="9"/>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Interest expense, net presented in this reconciliation for the twelve months ended March 31, 2024 and December 31, 2023 has been adjusted to conform to the current year presentation to include interest expense, net on Term Loan B attributable to the loan proceeds that were used to fund the $408.0 million Illinois EO litigation settlement.</w:t>
      </w:r>
    </w:p>
    <w:p>
      <w:pPr>
        <w:ind w:left="472" w:hanging="472"/>
        <w:spacing w:after="0"/>
        <w:tabs>
          <w:tab w:leader="none" w:pos="472"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depreciation of Co-60 held at gamma irradiation sites.</w:t>
      </w:r>
    </w:p>
    <w:p>
      <w:pPr>
        <w:spacing w:after="0" w:line="45" w:lineRule="exact"/>
        <w:rPr>
          <w:rFonts w:ascii="Times New Roman" w:cs="Times New Roman" w:eastAsia="Times New Roman" w:hAnsi="Times New Roman"/>
          <w:sz w:val="16"/>
          <w:szCs w:val="16"/>
          <w:color w:val="auto"/>
        </w:rPr>
      </w:pPr>
    </w:p>
    <w:p>
      <w:pPr>
        <w:ind w:left="492" w:right="140" w:hanging="492"/>
        <w:spacing w:after="0" w:line="281" w:lineRule="auto"/>
        <w:tabs>
          <w:tab w:leader="none" w:pos="492" w:val="left"/>
        </w:tabs>
        <w:numPr>
          <w:ilvl w:val="0"/>
          <w:numId w:val="9"/>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Represents the difference between income tax provision or benefit as determined under U.S. GAAP and the income tax provision or benefit associated with pre-tax adjustments described in footnote (h).</w:t>
      </w:r>
    </w:p>
    <w:p>
      <w:pPr>
        <w:spacing w:after="0" w:line="1" w:lineRule="exact"/>
        <w:rPr>
          <w:rFonts w:ascii="Times New Roman" w:cs="Times New Roman" w:eastAsia="Times New Roman" w:hAnsi="Times New Roman"/>
          <w:sz w:val="16"/>
          <w:szCs w:val="16"/>
          <w:color w:val="231F20"/>
        </w:rPr>
      </w:pPr>
    </w:p>
    <w:p>
      <w:pPr>
        <w:ind w:left="492" w:right="520" w:hanging="492"/>
        <w:spacing w:after="0" w:line="280" w:lineRule="auto"/>
        <w:tabs>
          <w:tab w:leader="none" w:pos="483"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$95.0 million and $94.1 million of the adjustments for the twelve months ended March 31, 2024 and December 31, 2023, respectively, are included in cost of revenues, primarily consisting of amortization of intangible assets, depreciation, and accretion of asset retirement obligations.</w:t>
      </w:r>
    </w:p>
    <w:p>
      <w:pPr>
        <w:spacing w:after="0" w:line="367" w:lineRule="exact"/>
        <w:rPr>
          <w:sz w:val="20"/>
          <w:szCs w:val="20"/>
          <w:color w:val="auto"/>
        </w:rPr>
      </w:pPr>
    </w:p>
    <w:p>
      <w:pPr>
        <w:jc w:val="center"/>
        <w:ind w:right="-31"/>
        <w:spacing w:after="0"/>
        <w:rPr>
          <w:sz w:val="20"/>
          <w:szCs w:val="20"/>
          <w:color w:val="auto"/>
        </w:rPr>
      </w:pPr>
      <w:r>
        <w:rPr>
          <w:rFonts w:ascii="Calibri" w:cs="Calibri" w:eastAsia="Calibri" w:hAnsi="Calibri"/>
          <w:sz w:val="18"/>
          <w:szCs w:val="18"/>
          <w:color w:val="auto"/>
        </w:rPr>
        <w:t>12</w:t>
      </w:r>
    </w:p>
    <w:sectPr>
      <w:pgSz w:w="11900" w:h="16838" w:orient="portrait"/>
      <w:cols w:equalWidth="0" w:num="1">
        <w:col w:w="11212"/>
      </w:cols>
      <w:pgMar w:left="328" w:top="122"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1)"/>
      <w:numFmt w:val="decimal"/>
      <w:start w:val="2"/>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1)"/>
      <w:numFmt w:val="lowerLetter"/>
      <w:start w:val="1"/>
    </w:lvl>
  </w:abstractNum>
  <w:abstractNum w:abstractNumId="6">
    <w:nsid w:val="7545E146"/>
    <w:multiLevelType w:val="hybridMultilevel"/>
    <w:lvl w:ilvl="0">
      <w:lvlJc w:val="left"/>
      <w:lvlText w:val="(%1)"/>
      <w:numFmt w:val="lowerLetter"/>
      <w:start w:val="1"/>
    </w:lvl>
  </w:abstractNum>
  <w:abstractNum w:abstractNumId="7">
    <w:nsid w:val="515F007C"/>
    <w:multiLevelType w:val="hybridMultilevel"/>
    <w:lvl w:ilvl="0">
      <w:lvlJc w:val="left"/>
      <w:lvlText w:val="(%1)"/>
      <w:numFmt w:val="lowerLetter"/>
      <w:start w:val="1"/>
    </w:lvl>
  </w:abstractNum>
  <w:abstractNum w:abstractNumId="8">
    <w:nsid w:val="5BD062C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2024-05-02T10:59:14Z</dcterms:created>
  <dcterms:modified xsi:type="dcterms:W3CDTF">2024-05-02T10:59:14Z</dcterms:modified>
</cp:coreProperties>
</file>