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GTCR INVESTMENT XI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Sotera Health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340" w:type="dxa"/>
            <w:vAlign w:val="bottom"/>
            <w:tcBorders>
              <w:top w:val="single" w:sz="8" w:color="0000EE"/>
            </w:tcBorders>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2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6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12/03/2025</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20" w:type="dxa"/>
            <w:vAlign w:val="bottom"/>
            <w:gridSpan w:val="4"/>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300 NORTH LASALLE STREET, SUITE 5600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20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0"/>
          <w:szCs w:val="20"/>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260" w:type="dxa"/>
            <w:vAlign w:val="bottom"/>
          </w:tcPr>
          <w:p>
            <w:pPr>
              <w:spacing w:after="0"/>
              <w:rPr>
                <w:sz w:val="13"/>
                <w:szCs w:val="13"/>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2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12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6"/>
                <w:szCs w:val="6"/>
                <w:color w:val="auto"/>
              </w:rPr>
            </w:pPr>
          </w:p>
        </w:tc>
        <w:tc>
          <w:tcPr>
            <w:tcW w:w="5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(A) or</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Price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7"/>
              </w:rPr>
              <w:t>(Instr. 3 and 4)</w:t>
            </w:r>
          </w:p>
        </w:tc>
        <w:tc>
          <w:tcPr>
            <w:tcW w:w="2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12/03/2025</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380" w:type="dxa"/>
            <w:vAlign w:val="bottom"/>
          </w:tcPr>
          <w:p>
            <w:pPr>
              <w:spacing w:after="0"/>
              <w:rPr>
                <w:sz w:val="21"/>
                <w:szCs w:val="21"/>
                <w:color w:val="auto"/>
              </w:rPr>
            </w:pP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6,480,000</w:t>
            </w:r>
            <w:r>
              <w:rPr>
                <w:rFonts w:ascii="Times New Roman" w:cs="Times New Roman" w:eastAsia="Times New Roman" w:hAnsi="Times New Roman"/>
                <w:sz w:val="22"/>
                <w:szCs w:val="22"/>
                <w:color w:val="008000"/>
                <w:vertAlign w:val="superscript"/>
              </w:rPr>
              <w:t>(1)</w:t>
            </w:r>
          </w:p>
        </w:tc>
        <w:tc>
          <w:tcPr>
            <w:tcW w:w="160" w:type="dxa"/>
            <w:vAlign w:val="bottom"/>
          </w:tcPr>
          <w:p>
            <w:pPr>
              <w:spacing w:after="0"/>
              <w:rPr>
                <w:sz w:val="21"/>
                <w:szCs w:val="21"/>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16.33</w:t>
            </w:r>
          </w:p>
        </w:tc>
        <w:tc>
          <w:tcPr>
            <w:tcW w:w="40" w:type="dxa"/>
            <w:vAlign w:val="bottom"/>
          </w:tcPr>
          <w:p>
            <w:pPr>
              <w:spacing w:after="0"/>
              <w:rPr>
                <w:sz w:val="21"/>
                <w:szCs w:val="21"/>
                <w:color w:val="auto"/>
              </w:rPr>
            </w:pP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22,735,301</w:t>
            </w:r>
            <w:r>
              <w:rPr>
                <w:rFonts w:ascii="Times New Roman" w:cs="Times New Roman" w:eastAsia="Times New Roman" w:hAnsi="Times New Roman"/>
                <w:sz w:val="22"/>
                <w:szCs w:val="22"/>
                <w:color w:val="008000"/>
                <w:vertAlign w:val="superscript"/>
              </w:rPr>
              <w:t>(2)</w:t>
            </w:r>
          </w:p>
        </w:tc>
        <w:tc>
          <w:tcPr>
            <w:tcW w:w="6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1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w:t>
            </w:r>
            <w:r>
              <w:rPr>
                <w:rFonts w:ascii="Times New Roman" w:cs="Times New Roman" w:eastAsia="Times New Roman" w:hAnsi="Times New Roman"/>
                <w:sz w:val="11"/>
                <w:szCs w:val="11"/>
                <w:color w:val="008000"/>
              </w:rPr>
              <w:t>(3)(4)(5)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2660" w:type="dxa"/>
            <w:vAlign w:val="bottom"/>
            <w:tcBorders>
              <w:bottom w:val="single" w:sz="8" w:color="2C2C2C"/>
            </w:tcBorders>
            <w:gridSpan w:val="5"/>
            <w:vMerge w:val="continue"/>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0" w:type="dxa"/>
            <w:vAlign w:val="bottom"/>
            <w:gridSpan w:val="18"/>
          </w:tcPr>
          <w:p>
            <w:pPr>
              <w:ind w:left="3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20" w:type="dxa"/>
            <w:vAlign w:val="bottom"/>
            <w:gridSpan w:val="15"/>
          </w:tcPr>
          <w:p>
            <w:pPr>
              <w:ind w:left="3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50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13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10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3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10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00" w:type="dxa"/>
            <w:vAlign w:val="bottom"/>
          </w:tcPr>
          <w:p>
            <w:pPr>
              <w:spacing w:after="0"/>
              <w:rPr>
                <w:sz w:val="11"/>
                <w:szCs w:val="11"/>
                <w:color w:val="auto"/>
              </w:rPr>
            </w:pP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13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160" w:type="dxa"/>
            <w:vAlign w:val="bottom"/>
          </w:tcPr>
          <w:p>
            <w:pPr>
              <w:spacing w:after="0"/>
              <w:rPr>
                <w:sz w:val="14"/>
                <w:szCs w:val="14"/>
                <w:color w:val="auto"/>
              </w:rPr>
            </w:pPr>
          </w:p>
        </w:tc>
        <w:tc>
          <w:tcPr>
            <w:tcW w:w="1000" w:type="dxa"/>
            <w:vAlign w:val="bottom"/>
            <w:gridSpan w:val="3"/>
          </w:tcPr>
          <w:p>
            <w:pPr>
              <w:ind w:left="120"/>
              <w:spacing w:after="0"/>
              <w:rPr>
                <w:sz w:val="20"/>
                <w:szCs w:val="20"/>
                <w:color w:val="auto"/>
              </w:rPr>
            </w:pPr>
            <w:r>
              <w:rPr>
                <w:rFonts w:ascii="Arial" w:cs="Arial" w:eastAsia="Arial" w:hAnsi="Arial"/>
                <w:sz w:val="12"/>
                <w:szCs w:val="12"/>
                <w:b w:val="1"/>
                <w:bCs w:val="1"/>
                <w:color w:val="auto"/>
              </w:rPr>
              <w:t>Title  Shares</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3"/>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 w:type="dxa"/>
            <w:vAlign w:val="bottom"/>
            <w:tcBorders>
              <w:top w:val="single" w:sz="8" w:color="2C2C2C"/>
            </w:tcBorders>
          </w:tcPr>
          <w:p>
            <w:pPr>
              <w:spacing w:after="0"/>
              <w:rPr>
                <w:sz w:val="20"/>
                <w:szCs w:val="20"/>
                <w:color w:val="auto"/>
              </w:rPr>
            </w:pPr>
          </w:p>
        </w:tc>
        <w:tc>
          <w:tcPr>
            <w:tcW w:w="9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GTCR INVESTMENT XI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300 NORTH LASALLE STREET, SUITE 5600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60654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3"/>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GTCR FUND XI/A LP</w:t>
              </w:r>
            </w:hyperlink>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300 NORTH LASALLE STREET, SUITE 5600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60654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GTCR FUND XI/C LP</w:t>
        </w:r>
      </w:hyperlink>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55"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-85090</wp:posOffset>
            </wp:positionV>
            <wp:extent cx="2809240" cy="4429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4429760"/>
                    </a:xfrm>
                    <a:prstGeom prst="rect">
                      <a:avLst/>
                    </a:prstGeom>
                    <a:noFill/>
                  </pic:spPr>
                </pic:pic>
              </a:graphicData>
            </a:graphic>
          </wp:anchor>
        </w:drawing>
      </w:r>
    </w:p>
    <w:p>
      <w:pPr>
        <w:spacing w:after="0" w:line="5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300 NORTH LASALLE STREET, SUITE 5600</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60654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GTCR CO-INVEST XI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300 NORTH LASALLE STREET, SUITE 5600</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7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60654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9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80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GTCR PARTNERS XI/A&amp;C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6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70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300 NORTH LASALLE STREET, SUITE 5600</w:t>
      </w: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3, 2025, the GTCR XI Funds (as defined below) sold a total of 6,480,000 shares of Common Stock of Sotera Health Company (the "Issuer").</w:t>
      </w:r>
    </w:p>
    <w:p>
      <w:pPr>
        <w:spacing w:after="0" w:line="50" w:lineRule="exact"/>
        <w:rPr>
          <w:rFonts w:ascii="Times New Roman" w:cs="Times New Roman" w:eastAsia="Times New Roman" w:hAnsi="Times New Roman"/>
          <w:sz w:val="13"/>
          <w:szCs w:val="13"/>
          <w:color w:val="008000"/>
        </w:rPr>
      </w:pPr>
    </w:p>
    <w:p>
      <w:pPr>
        <w:ind w:left="20" w:right="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sale, consists of (i) 18,044,507 shares of Common Stock held directly by GTCR Fund XI/A LP, a Delaware limited partnership ("Fund XI/A"), (ii) 4,546,174 shares of Common Stock held directly by GTCR Fund XI/C LP, a Delaware limited partnership ("Fund XI/C"), and (iii) 144,620 shares of Common Stock held directly by GTCR Co-Invest XI LP, a Delaware limited partnership ("Co-Invest XI", and together with Fund XI/A and Fund XI/C, the "GTCR XI Funds").</w:t>
      </w:r>
    </w:p>
    <w:p>
      <w:pPr>
        <w:spacing w:after="0" w:line="20" w:lineRule="exact"/>
        <w:rPr>
          <w:rFonts w:ascii="Times New Roman" w:cs="Times New Roman" w:eastAsia="Times New Roman" w:hAnsi="Times New Roman"/>
          <w:sz w:val="13"/>
          <w:szCs w:val="13"/>
          <w:color w:val="008000"/>
        </w:rPr>
      </w:pPr>
    </w:p>
    <w:p>
      <w:pPr>
        <w:jc w:val="both"/>
        <w:ind w:left="20" w:right="4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GTCR Partners XI/A&amp;C LP ("Partners XI/A&amp;C") is the general partner of each of Fund XI/A and Fund XI/C. GTCR Investment XI LLC ("Investment XI" and together with the GTCR XI Funds and Partners XI/A&amp;C, the "GTCR Entities"), is the general partner of Co-Invest XI and Partners XI/A&amp;C. Investment XI is managed by a board of managers (the "GTCR Board of Managers") consisting of Mark M. Anderson, Aaron D. Cohen, Sean L. Cunningham, David A Donnini, Constantine S. Mihas and Collin E. Roche, and no single person has voting or dispositive authority over the shares of Common Stock.</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GTCR Partners XI/A&amp;C, GTCR Investment XI and the GTCR Board of Managers may be deemed to share beneficial ownership of the shares of Common Stock held of record by the GTCR XI Funds, and each of the individual members of the GTCR Board of Managers disclaims beneficial ownership of the shares of Common Stock held of record by the GTCR XI Funds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20" w:right="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is a director-by-deputization solely for purposes of Section 16 of the Exchange Act. Information with respect to each of the GTCR Entities is given solely by such GTCR Entity, and no GTCR Entity has responsibility for the accuracy or completeness of information supplied by another GTCR Entity.</w:t>
      </w:r>
    </w:p>
    <w:p>
      <w:pPr>
        <w:sectPr>
          <w:pgSz w:w="11900" w:h="16894" w:orient="portrait"/>
          <w:cols w:equalWidth="0" w:num="1">
            <w:col w:w="10820"/>
          </w:cols>
          <w:pgMar w:left="480" w:top="125" w:right="599" w:bottom="0" w:gutter="0" w:footer="0" w:header="0"/>
        </w:sectPr>
      </w:pP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Jeffrey Wright, as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80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Legal Officer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31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Investment XI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66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XI/A&amp;C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61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FUND XI/A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86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086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Jeffrey Wright, as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80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Legal Officer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31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Investment XI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66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XI/A&amp;C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61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FUND XI/C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9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Jeffrey Wright, as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80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Legal Officer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31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Investment XI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66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 XI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902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6902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Jeffrey Wright, as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80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Legal Officer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31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Investment XI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66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XI/A&amp;C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37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1137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Jeffrey Wright, as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80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Legal Officer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31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INVESTMENT XI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814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spacing w:after="0" w:line="40"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94" w:orient="portrait"/>
          <w:cols w:equalWidth="0" w:num="2">
            <w:col w:w="8640" w:space="120"/>
            <w:col w:w="2060"/>
          </w:cols>
          <w:pgMar w:left="480" w:top="125" w:right="599" w:bottom="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94" w:orient="portrait"/>
          <w:cols w:equalWidth="0" w:num="1">
            <w:col w:w="10820"/>
          </w:cols>
          <w:pgMar w:left="480" w:top="125" w:right="59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13" Type="http://schemas.openxmlformats.org/officeDocument/2006/relationships/hyperlink" Target="http://www.sec.gov/cgi-bin/browse-edgar?action=getcompany&amp;CIK=0001827977" TargetMode="External"/><Relationship Id="rId14" Type="http://schemas.openxmlformats.org/officeDocument/2006/relationships/hyperlink" Target="http://www.sec.gov/cgi-bin/browse-edgar?action=getcompany&amp;CIK=0001822479" TargetMode="External"/><Relationship Id="rId16" Type="http://schemas.openxmlformats.org/officeDocument/2006/relationships/hyperlink" Target="http://www.sec.gov/cgi-bin/browse-edgar?action=getcompany&amp;CIK=0001591434" TargetMode="External"/><Relationship Id="rId18" Type="http://schemas.openxmlformats.org/officeDocument/2006/relationships/hyperlink" Target="http://www.sec.gov/cgi-bin/browse-edgar?action=getcompany&amp;CIK=0001591436" TargetMode="External"/><Relationship Id="rId20" Type="http://schemas.openxmlformats.org/officeDocument/2006/relationships/hyperlink" Target="http://www.sec.gov/cgi-bin/browse-edgar?action=getcompany&amp;CIK=0001591432" TargetMode="External"/><Relationship Id="rId21" Type="http://schemas.openxmlformats.org/officeDocument/2006/relationships/hyperlink" Target="http://www.sec.gov/cgi-bin/browse-edgar?action=getcompany&amp;CIK=00018280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2025-12-05T19:11:33Z</dcterms:created>
  <dcterms:modified xsi:type="dcterms:W3CDTF">2025-12-05T19:11:33Z</dcterms:modified>
</cp:coreProperties>
</file>