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On November 20, 2024, Sotera Health Company (the “Company”) issued a press release (the “Press Release”) for the Company’s Investor Day to be held today in New York City beginning at 12:30 p.m., Eastern Time. Certain members of the Company’s leadership team will discuss the Company’s strategic positioning and outline future growth plans. A copy of the Press Release is attached as Exhibit 99.1 to this Current Report on Form 8-K and incorporated herein by reference.</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stated on the Company’s third quarter earnings call on November 5, 2024 (the “Earnings Call”), financial guidance given at that time was predicated on currency exchange rates as of September 30, 2024 remaining constant for the remainder of the year. Given the pronounced strengthening in the U.S. dollar since the Earnings Call, the Company now sees a risk that Adjusted EBITDA for 2024 could fall modestly below its Adjusted EBITDA guidance range.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40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Exhibit Number</w:t>
            </w:r>
          </w:p>
        </w:tc>
        <w:tc>
          <w:tcPr>
            <w:tcW w:w="920" w:type="dxa"/>
            <w:vAlign w:val="bottom"/>
          </w:tcPr>
          <w:p>
            <w:pPr>
              <w:spacing w:after="0"/>
              <w:rPr>
                <w:sz w:val="24"/>
                <w:szCs w:val="24"/>
                <w:color w:val="auto"/>
              </w:rPr>
            </w:pPr>
          </w:p>
        </w:tc>
        <w:tc>
          <w:tcPr>
            <w:tcW w:w="9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20" w:type="dxa"/>
            <w:vAlign w:val="bottom"/>
          </w:tcPr>
          <w:p>
            <w:pPr>
              <w:spacing w:after="0"/>
              <w:rPr>
                <w:sz w:val="22"/>
                <w:szCs w:val="22"/>
                <w:color w:val="auto"/>
              </w:rPr>
            </w:pPr>
          </w:p>
        </w:tc>
        <w:tc>
          <w:tcPr>
            <w:tcW w:w="30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November 20, 2024.</w:t>
            </w:r>
          </w:p>
        </w:tc>
        <w:tc>
          <w:tcPr>
            <w:tcW w:w="6180" w:type="dxa"/>
            <w:vAlign w:val="bottom"/>
          </w:tcPr>
          <w:p>
            <w:pPr>
              <w:spacing w:after="0"/>
              <w:rPr>
                <w:sz w:val="22"/>
                <w:szCs w:val="22"/>
                <w:color w:val="auto"/>
              </w:rPr>
            </w:pPr>
          </w:p>
        </w:tc>
      </w:tr>
      <w:tr>
        <w:trPr>
          <w:trHeight w:val="34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4305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to Share Next Chapter of Growth at 2024 Investor Day</w:t>
      </w:r>
    </w:p>
    <w:p>
      <w:pPr>
        <w:spacing w:after="0" w:line="22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CLEVELAND, OH, November 20, 2024 </w:t>
      </w:r>
      <w:r>
        <w:rPr>
          <w:rFonts w:ascii="Times New Roman" w:cs="Times New Roman" w:eastAsia="Times New Roman" w:hAnsi="Times New Roman"/>
          <w:sz w:val="18"/>
          <w:szCs w:val="18"/>
          <w:color w:val="auto"/>
        </w:rPr>
        <w:t>- Sotera Health Company (Nasdaq: SHC), a leading global provider of mission-critical end-to-end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sterilization solutions and lab testing and advisory services for the healthcare industry, will hold an Investor Day in New York City where Sotera Health’s management team will discuss the Company’s strategic positioning and outline future growth plans. Management will take questions from a live audience during two question-and-answer sessions.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management team is looking forward to the Company’s inaugural Investor Day since going public in 2020,” said Michael J. Petras, Jr., Chair and CEO. “During the past four years, we have achieved top- and bottom-line growth with strong margins, generated significant operating cash flow, demonstrated disciplined capital deployment, and maintained durable customer relationships. I’m proud of what we’ve accomplished and look forward to the team sharing more about future growth drivers at today’s investor event.”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today’s presentation, management will:</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strength and durability of Sotera Health while fulfilling our mission of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ind w:left="960" w:right="42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detailed perspective of the markets served by the Company and growth opportunities, including our serviceable addressable market of $18 billion;</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customer feedback, which will continue to guide capital investment decisions and the Company’s growth outlook;</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long-term financial outlook that highlights the focus on Free Cash Flow generation and supports a compelling investment thesis; and</w:t>
      </w:r>
    </w:p>
    <w:p>
      <w:pPr>
        <w:spacing w:after="0" w:line="67"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Outline our 2025-2027 financial plan to achieve an organic compound annual revenue growth rate of 5% to 7%, expand Adjusted EBITDA margins by at least 50 basis points, drive an organic compound annual Adjusted EBITDA growth rate of 5% to 8%, and generate cumulative Free Cash Flow of more than $500 million.</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does not provide a reconciliation for non-GAAP financial measures on a forward-looking basis where it is unable to provide a meaningful or accurate calculation or estimation of reconciling items without unreasonable effort. The Company cannot reconcile its expected Adjusted EBITDA, Adjusted EBITDA margins, Adjusted EBITDA growth rate and Free Cash Flow without unreasonable effort because certain items that impact net income, earnings per share and other reconciling metrics are out of the Company’s control and/or cannot be reasonably predicted at this time, including uncertainties caused by changes to the regulatory landscape, restructuring items and certain fair value measurements, all of which are potential adjustments for future earnings.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Boulevard, Suite 300, Broadview Heights, OH 44147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440-262-1410   |   </w:t>
      </w:r>
      <w:r>
        <w:rPr>
          <w:rFonts w:ascii="Times New Roman" w:cs="Times New Roman" w:eastAsia="Times New Roman" w:hAnsi="Times New Roman"/>
          <w:sz w:val="18"/>
          <w:szCs w:val="18"/>
          <w:b w:val="1"/>
          <w:bCs w:val="1"/>
          <w:color w:val="auto"/>
        </w:rPr>
        <w:t>soterahealth.com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34365"/>
                    </a:xfrm>
                    <a:prstGeom prst="rect">
                      <a:avLst/>
                    </a:prstGeom>
                    <a:noFill/>
                  </pic:spPr>
                </pic:pic>
              </a:graphicData>
            </a:graphic>
          </wp:anchor>
        </w:drawing>
        <w:t>Investor Day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 live webcast of the event will be accessible at </w:t>
      </w:r>
      <w:r>
        <w:rPr>
          <w:rFonts w:ascii="Times New Roman" w:cs="Times New Roman" w:eastAsia="Times New Roman" w:hAnsi="Times New Roman"/>
          <w:sz w:val="18"/>
          <w:szCs w:val="18"/>
          <w:u w:val="single" w:color="auto"/>
          <w:color w:val="auto"/>
        </w:rPr>
        <w:t>Presentation &amp; Events | Sotera Health.</w:t>
      </w:r>
      <w:r>
        <w:rPr>
          <w:rFonts w:ascii="Times New Roman" w:cs="Times New Roman" w:eastAsia="Times New Roman" w:hAnsi="Times New Roman"/>
          <w:sz w:val="18"/>
          <w:szCs w:val="18"/>
          <w:color w:val="auto"/>
        </w:rPr>
        <w:t xml:space="preserve"> Virtual participants are encouraged to pre-register at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xml:space="preserve"> and log in to the webcast approximately 5-10 minutes prior to the start of the event. A live question-and-answer session will follow management’s prepared remarks. Sotera Health intends to make the investor presentation for the event available concurrently with the start of the event. A replay of the video webcast will be available within 48 hours following the conclusion of the event at </w:t>
      </w:r>
      <w:r>
        <w:rPr>
          <w:rFonts w:ascii="Times New Roman" w:cs="Times New Roman" w:eastAsia="Times New Roman" w:hAnsi="Times New Roman"/>
          <w:sz w:val="18"/>
          <w:szCs w:val="18"/>
          <w:u w:val="single" w:color="auto"/>
          <w:color w:val="auto"/>
        </w:rPr>
        <w:t>Presentation &amp; Events | Sotera Health.</w:t>
      </w:r>
      <w:r>
        <w:rPr>
          <w:rFonts w:ascii="Times New Roman" w:cs="Times New Roman" w:eastAsia="Times New Roman" w:hAnsi="Times New Roman"/>
          <w:sz w:val="18"/>
          <w:szCs w:val="18"/>
          <w:color w:val="auto"/>
        </w:rPr>
        <w:t xml:space="preserve"> Presentation slides and a webcast replay will be available on the Investor Relations page for 12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Sotera Health</w:t>
      </w:r>
    </w:p>
    <w:p>
      <w:pPr>
        <w:spacing w:after="0" w:line="121"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Sotera Health Company is a leading global provider of mission-critical end-to-end sterilization solutions and lab testing and advisory services for the healthcare industry. Sotera Health goes to market through three businesses – Sterigenics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Nordion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Nelson Labs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Sotera Health is committed to its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380"/>
        <w:spacing w:after="0" w:line="312" w:lineRule="auto"/>
        <w:rPr>
          <w:sz w:val="20"/>
          <w:szCs w:val="20"/>
          <w:color w:val="auto"/>
        </w:rPr>
      </w:pPr>
      <w:r>
        <w:rPr>
          <w:rFonts w:ascii="Times New Roman" w:cs="Times New Roman" w:eastAsia="Times New Roman" w:hAnsi="Times New Roman"/>
          <w:sz w:val="17"/>
          <w:szCs w:val="17"/>
          <w:color w:val="auto"/>
        </w:rPr>
        <w:t xml:space="preserve">Updates can be found from time to time on recent developments in matters relevant to investors on the Investor Relations section of the Company’s website at </w:t>
      </w:r>
      <w:r>
        <w:rPr>
          <w:rFonts w:ascii="Times New Roman" w:cs="Times New Roman" w:eastAsia="Times New Roman" w:hAnsi="Times New Roman"/>
          <w:sz w:val="17"/>
          <w:szCs w:val="17"/>
          <w:u w:val="single" w:color="auto"/>
          <w:color w:val="auto"/>
        </w:rPr>
        <w:t>Investor Relations | Sotera Health</w:t>
      </w:r>
      <w:r>
        <w:rPr>
          <w:rFonts w:ascii="Times New Roman" w:cs="Times New Roman" w:eastAsia="Times New Roman" w:hAnsi="Times New Roman"/>
          <w:sz w:val="17"/>
          <w:szCs w:val="17"/>
          <w:color w:val="auto"/>
        </w:rPr>
        <w:t xml:space="preserve">. For developments related to Ethylene Oxide, updates can be found at </w:t>
      </w:r>
      <w:r>
        <w:rPr>
          <w:rFonts w:ascii="Times New Roman" w:cs="Times New Roman" w:eastAsia="Times New Roman" w:hAnsi="Times New Roman"/>
          <w:sz w:val="17"/>
          <w:szCs w:val="17"/>
          <w:u w:val="single" w:color="auto"/>
          <w:color w:val="auto"/>
        </w:rPr>
        <w:t>Ethylene Oxide | Sotera Health</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Peterson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&amp;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IR@soterahealth.com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 Gibbs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Marketing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kgibbs@soterahealth.com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Sotera Health Company</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Boulevard, Suite 300, Broadview Heights, OH 44147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440-262-1410   |   </w:t>
      </w:r>
      <w:r>
        <w:rPr>
          <w:rFonts w:ascii="Times New Roman" w:cs="Times New Roman" w:eastAsia="Times New Roman" w:hAnsi="Times New Roman"/>
          <w:sz w:val="18"/>
          <w:szCs w:val="18"/>
          <w:b w:val="1"/>
          <w:bCs w:val="1"/>
          <w:color w:val="auto"/>
        </w:rPr>
        <w:t>soterahealth.com</w:t>
      </w:r>
    </w:p>
    <w:sectPr>
      <w:pgSz w:w="11900" w:h="16838" w:orient="portrait"/>
      <w:cols w:equalWidth="0" w:num="1">
        <w:col w:w="11000"/>
      </w:cols>
      <w:pgMar w:left="440" w:top="126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2024-11-20T08:21:05Z</dcterms:created>
  <dcterms:modified xsi:type="dcterms:W3CDTF">2024-11-20T08:21:05Z</dcterms:modified>
</cp:coreProperties>
</file>