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1100455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480" w:type="dxa"/>
            <w:vAlign w:val="bottom"/>
          </w:tcPr>
          <w:p>
            <w:pPr>
              <w:jc w:val="center"/>
              <w:ind w:right="78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0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001-39729</w:t>
            </w:r>
          </w:p>
        </w:tc>
        <w:tc>
          <w:tcPr>
            <w:tcW w:w="2080" w:type="dxa"/>
            <w:vAlign w:val="bottom"/>
          </w:tcPr>
          <w:p>
            <w:pPr>
              <w:jc w:val="center"/>
              <w:ind w:left="902"/>
              <w:spacing w:after="0"/>
              <w:rPr>
                <w:sz w:val="20"/>
                <w:szCs w:val="20"/>
                <w:color w:val="auto"/>
              </w:rPr>
            </w:pPr>
            <w:r>
              <w:rPr>
                <w:rFonts w:ascii="Times New Roman" w:cs="Times New Roman" w:eastAsia="Times New Roman" w:hAnsi="Times New Roman"/>
                <w:sz w:val="18"/>
                <w:szCs w:val="18"/>
                <w:b w:val="1"/>
                <w:bCs w:val="1"/>
                <w:color w:val="auto"/>
                <w:w w:val="98"/>
              </w:rPr>
              <w:t>47-3531161</w:t>
            </w:r>
          </w:p>
        </w:tc>
      </w:tr>
      <w:tr>
        <w:trPr>
          <w:trHeight w:val="178"/>
        </w:trPr>
        <w:tc>
          <w:tcPr>
            <w:tcW w:w="2480" w:type="dxa"/>
            <w:vAlign w:val="bottom"/>
          </w:tcPr>
          <w:p>
            <w:pPr>
              <w:jc w:val="center"/>
              <w:ind w:right="7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3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080" w:type="dxa"/>
            <w:vAlign w:val="bottom"/>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80" w:type="dxa"/>
            <w:vAlign w:val="bottom"/>
          </w:tcPr>
          <w:p>
            <w:pPr>
              <w:jc w:val="center"/>
              <w:ind w:right="7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3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080" w:type="dxa"/>
            <w:vAlign w:val="bottom"/>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41"/>
        </w:trPr>
        <w:tc>
          <w:tcPr>
            <w:tcW w:w="2480" w:type="dxa"/>
            <w:vAlign w:val="bottom"/>
          </w:tcPr>
          <w:p>
            <w:pPr>
              <w:spacing w:after="0"/>
              <w:rPr>
                <w:sz w:val="24"/>
                <w:szCs w:val="24"/>
                <w:color w:val="auto"/>
              </w:rPr>
            </w:pPr>
          </w:p>
        </w:tc>
        <w:tc>
          <w:tcPr>
            <w:tcW w:w="43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9100 South Hills Blvd., Suite 300</w:t>
            </w:r>
          </w:p>
        </w:tc>
        <w:tc>
          <w:tcPr>
            <w:tcW w:w="2080" w:type="dxa"/>
            <w:vAlign w:val="bottom"/>
          </w:tcPr>
          <w:p>
            <w:pPr>
              <w:spacing w:after="0"/>
              <w:rPr>
                <w:sz w:val="24"/>
                <w:szCs w:val="24"/>
                <w:color w:val="auto"/>
              </w:rPr>
            </w:pPr>
          </w:p>
        </w:tc>
      </w:tr>
      <w:tr>
        <w:trPr>
          <w:trHeight w:val="214"/>
        </w:trPr>
        <w:tc>
          <w:tcPr>
            <w:tcW w:w="2480" w:type="dxa"/>
            <w:vAlign w:val="bottom"/>
          </w:tcPr>
          <w:p>
            <w:pPr>
              <w:spacing w:after="0"/>
              <w:rPr>
                <w:sz w:val="18"/>
                <w:szCs w:val="18"/>
                <w:color w:val="auto"/>
              </w:rPr>
            </w:pPr>
          </w:p>
        </w:tc>
        <w:tc>
          <w:tcPr>
            <w:tcW w:w="43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Broadview Heights, Ohio 44147</w:t>
            </w:r>
          </w:p>
        </w:tc>
        <w:tc>
          <w:tcPr>
            <w:tcW w:w="2080" w:type="dxa"/>
            <w:vAlign w:val="bottom"/>
          </w:tcPr>
          <w:p>
            <w:pPr>
              <w:spacing w:after="0"/>
              <w:rPr>
                <w:sz w:val="18"/>
                <w:szCs w:val="18"/>
                <w:color w:val="auto"/>
              </w:rPr>
            </w:pPr>
          </w:p>
        </w:tc>
      </w:tr>
      <w:tr>
        <w:trPr>
          <w:trHeight w:val="190"/>
        </w:trPr>
        <w:tc>
          <w:tcPr>
            <w:tcW w:w="2480" w:type="dxa"/>
            <w:vAlign w:val="bottom"/>
          </w:tcPr>
          <w:p>
            <w:pPr>
              <w:spacing w:after="0"/>
              <w:rPr>
                <w:sz w:val="16"/>
                <w:szCs w:val="16"/>
                <w:color w:val="auto"/>
              </w:rPr>
            </w:pPr>
          </w:p>
        </w:tc>
        <w:tc>
          <w:tcPr>
            <w:tcW w:w="43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80" w:type="dxa"/>
            <w:vAlign w:val="bottom"/>
          </w:tcPr>
          <w:p>
            <w:pPr>
              <w:spacing w:after="0"/>
              <w:rPr>
                <w:sz w:val="16"/>
                <w:szCs w:val="16"/>
                <w:color w:val="auto"/>
              </w:rPr>
            </w:pPr>
          </w:p>
        </w:tc>
      </w:tr>
    </w:tbl>
    <w:p>
      <w:pPr>
        <w:spacing w:after="0" w:line="20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Erika Ostrowski</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Vice President, Deputy General Counsel and Secretary</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(440) 262-1410</w:t>
      </w:r>
    </w:p>
    <w:p>
      <w:pPr>
        <w:spacing w:after="0" w:line="2"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216" w:lineRule="exact"/>
        <w:rPr>
          <w:sz w:val="24"/>
          <w:szCs w:val="24"/>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pacing w:after="0" w:line="293" w:lineRule="exact"/>
        <w:rPr>
          <w:sz w:val="24"/>
          <w:szCs w:val="24"/>
          <w:color w:val="auto"/>
        </w:rPr>
      </w:pPr>
    </w:p>
    <w:p>
      <w:pPr>
        <w:ind w:left="520" w:hanging="494"/>
        <w:spacing w:after="0"/>
        <w:tabs>
          <w:tab w:leader="none" w:pos="5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13q-1 under the Securities Exchange Act (17 CFR 240.13q-1) for the fiscal year ended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Sotera Health Company is filing this Form SD pursuant to Rule 13p-1 under the Securities Exchange Act of 1934, as amended, for the reporting period from January 1 through December 31, 2024.</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evaluated our current product lines and determined that certain products we manufacture or contract to manufacture may contain tin, tungsten, tantalum and/or gold.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brief description of our reasonable country of origin inquiry (“RCOI”) process, the results of our inquiry, and the determination we reached as a result of our RCOI process are included in our Conflict Minerals Report. A copy of our Conflict Minerals Report is filed as Exhibit 1.01 to this Form SD and is publicly available at: https://www.investors.soterahealth.com/sec-filings. The content on or connected to the website referred to in this Form SD is not incorporated by reference in this Form SD (other than the Conflict Minerals Report, which is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Company’s Conflict Minerals Report as required by Item 1.01 is filed as Exhibit 1.01 hereto.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1.01 – Conflict Minerals Report as required by Items 1.01 and 1.02 of this Form</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643763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7630" cy="34290"/>
                    </a:xfrm>
                    <a:prstGeom prst="rect">
                      <a:avLst/>
                    </a:prstGeom>
                    <a:noFill/>
                  </pic:spPr>
                </pic:pic>
              </a:graphicData>
            </a:graphic>
          </wp:anchor>
        </w:drawing>
      </w:r>
    </w:p>
    <w:p>
      <w:pPr>
        <w:sectPr>
          <w:pgSz w:w="11900" w:h="16838" w:orient="portrait"/>
          <w:cols w:equalWidth="0" w:num="1">
            <w:col w:w="11120"/>
          </w:cols>
          <w:pgMar w:left="320" w:top="1170"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duly authorized undersigned.</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Sotera Health Company</w:t>
            </w:r>
          </w:p>
        </w:tc>
        <w:tc>
          <w:tcPr>
            <w:tcW w:w="1360" w:type="dxa"/>
            <w:vAlign w:val="bottom"/>
          </w:tcPr>
          <w:p>
            <w:pPr>
              <w:spacing w:after="0"/>
              <w:rPr>
                <w:sz w:val="20"/>
                <w:szCs w:val="20"/>
                <w:color w:val="auto"/>
              </w:rPr>
            </w:pPr>
          </w:p>
        </w:tc>
      </w:tr>
      <w:tr>
        <w:trPr>
          <w:trHeight w:val="44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Erika Ostrowski</w:t>
            </w:r>
          </w:p>
        </w:tc>
        <w:tc>
          <w:tcPr>
            <w:tcW w:w="13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June 2, 2025</w:t>
            </w:r>
          </w:p>
        </w:tc>
      </w:tr>
      <w:tr>
        <w:trPr>
          <w:trHeight w:val="218"/>
        </w:trPr>
        <w:tc>
          <w:tcPr>
            <w:tcW w:w="400" w:type="dxa"/>
            <w:vAlign w:val="bottom"/>
          </w:tcPr>
          <w:p>
            <w:pPr>
              <w:spacing w:after="0"/>
              <w:rPr>
                <w:sz w:val="18"/>
                <w:szCs w:val="18"/>
                <w:color w:val="auto"/>
              </w:rPr>
            </w:pPr>
          </w:p>
        </w:tc>
        <w:tc>
          <w:tcPr>
            <w:tcW w:w="50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Erika Ostrowski</w:t>
            </w:r>
          </w:p>
        </w:tc>
        <w:tc>
          <w:tcPr>
            <w:tcW w:w="136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Deputy General Counsel and Secretary</w:t>
            </w:r>
          </w:p>
        </w:tc>
        <w:tc>
          <w:tcPr>
            <w:tcW w:w="1360" w:type="dxa"/>
            <w:vAlign w:val="bottom"/>
          </w:tcPr>
          <w:p>
            <w:pPr>
              <w:spacing w:after="0"/>
              <w:rPr>
                <w:sz w:val="20"/>
                <w:szCs w:val="20"/>
                <w:color w:val="auto"/>
              </w:rPr>
            </w:pPr>
          </w:p>
        </w:tc>
      </w:tr>
    </w:tbl>
    <w:p>
      <w:pPr>
        <w:sectPr>
          <w:pgSz w:w="11900" w:h="16838" w:orient="portrait"/>
          <w:cols w:equalWidth="0" w:num="1">
            <w:col w:w="11220"/>
          </w:cols>
          <w:pgMar w:left="320" w:top="1170"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Sotera Health Company</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Conflict Minerals Report for the Reporting Period from January 1, 2024 to December 31, 2024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Conflict Minerals Report (“Report”) is filed by Sotera Health Company (“Sotera Health”) for the reporting period from January 1, 2024 to December 31, 2024 (the “Reporting Period”), as Exhibit 1.01 to Sotera Health’s Form SD. The filing is made pursuant to the requirements of Rule 13p-1 of the Securities Exchange Act of 1934, as amended (the “Rule”), which was promulgated pursuant to the requirements of Section 1502 of the Dodd-Frank Wall Street Reform and Consumer Protection Act.</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Rule requires the annual filing with the Securities and Exchange Commission (the “SEC”) of a Form SD, together with this Report (if relevant) as an Exhibit to Form SD, regarding the sourcing of those Conflict Minerals (as defined below) contained in the products that Sotera Health and its subsidiaries (collectively, the “Company”, “us” or “we”) manufacture or contract to manufacture if the Conflict Minerals are necessary to the production or functionality of such products. Conflict minerals are defined as gold, columbite-tantalite (coltan), cassiterite, and wolframite, or their derivatives, which are currently limited to tin, tantalum and tungsten (“3TG” or “Conflict Minerals”). The “Covered Countries” for purposes of the Rule and this Report are the Democratic Republic of the Congo and its adjoining countries (Angola, Burundi, Central African Republic, Republic of Congo, Rwanda, South Sudan, Tanzania, Uganda and Zambia).</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Report has not been audited, and an independent private sector audit is not required under the Rule, the SEC partial stay of the Rule, or current SEC guidance. The content on or connected to any website referred to in this Report is not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Sotera Health is a leading global provider of mission-critical end-to-end sterilization solutions, lab testing, and advisory services for the healthcare industry. The Company goes to market through its three businesses -- Sterigenics, Nordion, and Nelson Labs. We determined that certain Nordion products are the only products of the Company that may contain 3TGs given that Sterigenics and Nelson Labs are service-only businesses.</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Nordion is the leading global provider of Cobalt-60 (“Co-60”) used in the sterilization and irradiation processes for the medical device, pharmaceutical, food safety, and high-performance materials industries, as well as in the treatment of cancer. In addition, Nordion is a leading global provider of gamma irradiation systems. Co-60 is a radioactive isotope that emits gamma radiation that sterilizes items by reducing or eliminating contaminating micro-organisms. In addition to selling Co-60 sources for sterilization purposes, Nordion also sells high specific activity Co-60 for health applications including uses in stereotactic radiosurgery as a radiation source for oncology applications.</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Nordion provides our customers with high quality, reliable, safe and secure Co-60 source supply and services at each stage of the source’s life cycle. It also provides regulatory and technical service expertise to enhance the efficacy and safety of gamma processing operations.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Nordion also designs, manufactures, installs and maintains gamma irradiation systems, which include radiation shielding, and a series of conveyors and control systems that are designed to expose products to the correct gamma radiation dosage in a safe and efficient manner.</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analyzed the products we manufacture or contract to manufacture and have determined that Nordion’s gamma irradiation systems and their respective components and/or spare or replacement parts may contain one or more 3TGs.</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Supply Chain</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expects that our suppliers will act in accordance with Sotera Health’s Conflict Minerals Policy and Supplier Code of Business Ethics and Conduct, each of which may be found at https://www.soterahealth.com/responsibility and https://investors.soterahealth.com/governance/governance-overview, respectively. Nordion manufactures its products using parts, components, and raw materials procured from third-party suppliers, the majority of whom are located in North America. Nordion’s supply chain is extensive and complex, consisting of numerous direct suppliers, many of whom source materials from a wide network of sub-suppliers. Nordion does not have direct relationships with, nor does it purchase any Conflict Minerals from, mines, smelters, or refiners. Instead, Nordion relies on direct suppliers to provide information about the origin of any Conflict Minerals contained in the parts, components and materials supplied to us, including the origin of any Conflict Minerals supplied to them from their suppliers and sub-suppliers.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Reasonable Country of Origin Inquiry</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conducted a reasonable country of origin inquiry (“RCOI”) in good faith. Our RCOI was reasonably designed to determine whether any of the necessary Conflict Minerals in our products originated in a Covered Country or came from recycled or scrap materials. Our RCOI process began by analyzing Nordion’s purchasing data to identify products that we manufactured or contracted to manufacture during the Reporting Period. Based on this analysis, we compiled a list of suppliers that may have provided products or materials containing 3TG (our “in-scope suppliers”).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engaged Assent Compliance, an experienced third-party advisor (our “Advisor”), to assist with our RCOI, supplier engagement, and due diligence. We sent each of our in-scope suppliers an introductory communication describing our Conflict Minerals compliance program requirements and introducing them to our Advisor. Our Advisor then engaged with those in-scope suppliers and asked them to provide and/or update their RCOI information. We used the Conflict Minerals Reporting Template (“CMRT”) developed by the Responsible Minerals Initiative (“RMI”) (Revision 6.31) to conduct a survey of all our in-scope suppliers.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Advisor requested our suppliers complete the CMRT and offered suppliers online educational materials intended to guide them on best practices related to use of the CMRT. All submitted forms were accepted and classified as valid or invalid. We continued to engage with our suppliers throughout the RCOI process, including by providing suppliers feedback on any named smelters and refiners, reminders to any non-responsive suppliers, and detailed reasoning and recommendations for those whose data did not meet our Advisor’s validity-check expectations. As necessary, our Advisor and/or representatives of Nordion followed-up with suppliers about Nordion’s CMRT request. To determine the country of origin of 3TGs with the greatest possible specificity, our Advisor compared data obtained from our suppliers’ responses to data collected and verified by third parties, including information in our Advisor’s database. In all, 69 percent of our in-scope suppliers responded to our request for information and responding in-scope suppliers represented 91 percent of our in-scope products.</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the CMRTs provided to us, our suppliers identified 352 verified smelters and refiners. Based on the information available to us through our Advisor, 78 of those smelters and refiners were reported to have some sourcing from Covered Countries. During the course of our RCOI process, we were not able to confirm the country of origin for 100 percent of 3TGs that may be contained in the materials or products we purchased from our suppliers or to determine whether those 3TGs were from recycled or scrap sources. Therefore, we have concluded that some of our products manufactured during the Reporting Period may contain necessary 3TGs that may have originated in the Covered Countries or may not be from recycled or scrap sources. Accordingly, we performed due diligence in an effort to determine the source and chain of custody of these necessary 3TGs.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00"/>
          </w:cols>
          <w:pgMar w:left="320" w:top="1413"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Due Diligence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of Due Diligence Measures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Company’s due diligence measures were designed to conform in all material respects with the due diligence framework in the Organisation for Economic Co-operation and Development (“OECD”) Due Diligence Guidance for Responsible Supply Chains of Minerals from Conflict–Affected and High-Risk Areas, and the related supplements for tin, tantalum, tungsten and for gold, Third Edition, 2016 (“OECD Guidance”).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Measures Performed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diligence measures performed for the Reporting Period consisted of the following:</w:t>
      </w:r>
    </w:p>
    <w:p>
      <w:pPr>
        <w:spacing w:after="0" w:line="198" w:lineRule="exact"/>
        <w:rPr>
          <w:sz w:val="20"/>
          <w:szCs w:val="20"/>
          <w:color w:val="auto"/>
        </w:rPr>
      </w:pPr>
    </w:p>
    <w:p>
      <w:pPr>
        <w:ind w:right="160" w:firstLine="8"/>
        <w:spacing w:after="0" w:line="261"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#1: Establish and Maintain Strong Company Management Systems</w:t>
      </w:r>
      <w:r>
        <w:rPr>
          <w:rFonts w:ascii="Times New Roman" w:cs="Times New Roman" w:eastAsia="Times New Roman" w:hAnsi="Times New Roman"/>
          <w:sz w:val="18"/>
          <w:szCs w:val="18"/>
          <w:color w:val="auto"/>
        </w:rPr>
        <w:t>. The Company has established a cross-functional conflict minerals compliance team led by the purchasing group (the “Compliance Team”) to lead and oversee our Conflict Minerals compliance program. The Compliance Team reviews and analyzes information about our products and supply chains to determine which product components and materials might be reasonably likely to contain necessary 3TGs.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retain supplier responses and other communications and information relating to Conflict Minerals in electronic form for at least 5 years.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existing global ethics helpline, the Sotera Health Ethics Line, has been designated as a grievance mechanism whereby interested parties can report concerns or ask questions about our supply chain or Conflict Minerals Policy. Reports may be made online at https://www.soterahealth.ethicspoint.com or via telephone at 1-888-288-1841 in the United States. Information on how to make a report via telephone from outside of the United States is available at https://www.soterahealth.ethicspoint.com.</w:t>
      </w:r>
    </w:p>
    <w:p>
      <w:pPr>
        <w:spacing w:after="0" w:line="180" w:lineRule="exact"/>
        <w:rPr>
          <w:sz w:val="20"/>
          <w:szCs w:val="20"/>
          <w:color w:val="auto"/>
        </w:rPr>
      </w:pPr>
    </w:p>
    <w:p>
      <w:pPr>
        <w:ind w:firstLine="8"/>
        <w:spacing w:after="0" w:line="25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#2: Identify and Assess Supply Chain Risk</w:t>
      </w:r>
      <w:r>
        <w:rPr>
          <w:rFonts w:ascii="Times New Roman" w:cs="Times New Roman" w:eastAsia="Times New Roman" w:hAnsi="Times New Roman"/>
          <w:sz w:val="18"/>
          <w:szCs w:val="18"/>
          <w:color w:val="auto"/>
        </w:rPr>
        <w:t>. Our Advisor reviewed all responses received from our in-scope suppliers and followed-up with them regarding incomplete responses and responses that appeared to contain inaccuracies. Our Advisor reviewed the lists of smelters and refiners provided by our suppliers and validated and cross-referenced such smelter and refiner information against information available through the RMI website. Our Advisor further analyzed the aggregate results of this review and provided us with their analysis. We provided information to our direct suppliers about their identified smelters and refiners, including whether or not they had been audited and had a status of “conformant” with the Responsible Minerals Assurance Process (“RMAP”) or by RMAP-recognized programs (including the London Bullion Market Association Responsible Gold Guidance and the Responsible Jewelry Council).</w:t>
      </w:r>
    </w:p>
    <w:p>
      <w:pPr>
        <w:spacing w:after="0" w:line="188" w:lineRule="exact"/>
        <w:rPr>
          <w:rFonts w:ascii="Times New Roman" w:cs="Times New Roman" w:eastAsia="Times New Roman" w:hAnsi="Times New Roman"/>
          <w:sz w:val="18"/>
          <w:szCs w:val="18"/>
          <w:color w:val="auto"/>
        </w:rPr>
      </w:pPr>
    </w:p>
    <w:p>
      <w:pPr>
        <w:ind w:right="20" w:firstLine="8"/>
        <w:spacing w:after="0" w:line="261"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#3: Design and Implement a Strategy to Respond to Identified Risks</w:t>
      </w:r>
      <w:r>
        <w:rPr>
          <w:rFonts w:ascii="Times New Roman" w:cs="Times New Roman" w:eastAsia="Times New Roman" w:hAnsi="Times New Roman"/>
          <w:sz w:val="18"/>
          <w:szCs w:val="18"/>
          <w:color w:val="auto"/>
        </w:rPr>
        <w:t>. Our Compliance Team periodically briefed Nordion senior management and Sotera Health General Counsel about the Company’s Conflict Minerals due diligence and compliance activities and the results of our due diligence measures. Also as noted above, we followed-up with non-responding suppliers and suppliers who provided incomplete responses or responses we believed to be inaccurate. We provided information to certain suppliers about the Rule and explained the goals and objectives of RMI.</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Suppliers who disclosed a smelter or refiner that we determined was “high-risk” for Conflict Minerals issues were flagged following completion of the CMRT campaign. When our supplier responses included any of these high-risk facilities, our Advisor instructed that supplier to take certain risk mitigation actions, from providing additional, product specific information relevant to the Company via additional due diligence, escalating up to removal of these high-risk smelters from its supply chain. Based on instructions from Sotera Health, our Advisor has provided these suppliers with FAQ’s about Conflict Minerals compliance and clear performance objectives to be accomplished within reasonable timeframes with the ultimate goal of progressive elimination of these high risk smelters and refiners from their supply chain. Our Advisor also requested that these high-risk smelters engage with the Responsible Minerals Audit Process and become conformant with the conflict-free assessment protocol.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20"/>
          </w:cols>
          <w:pgMar w:left="320" w:top="1413" w:right="359" w:bottom="1440" w:gutter="0" w:footer="0" w:header="0"/>
        </w:sectPr>
      </w:pPr>
    </w:p>
    <w:bookmarkStart w:id="6" w:name="page7"/>
    <w:bookmarkEnd w:id="6"/>
    <w:p>
      <w:pPr>
        <w:ind w:right="80"/>
        <w:spacing w:after="0" w:line="282" w:lineRule="auto"/>
        <w:rPr>
          <w:sz w:val="20"/>
          <w:szCs w:val="20"/>
          <w:color w:val="auto"/>
        </w:rPr>
      </w:pPr>
      <w:r>
        <w:rPr>
          <w:rFonts w:ascii="Times New Roman" w:cs="Times New Roman" w:eastAsia="Times New Roman" w:hAnsi="Times New Roman"/>
          <w:sz w:val="18"/>
          <w:szCs w:val="18"/>
          <w:color w:val="auto"/>
        </w:rPr>
        <w:t>Any grievances reported to the Sotera Health Ethics Line with respect to Conflict Minerals will be investigated and reported to the Audit Committee of the Sotera Health Board of Directors.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 enhance the quality of our relationships within our supply chains, we aim to establish long-term relationships with our suppliers. Our standard terms and conditions contain provisions that require contract counterparties to provide responses to our inquiries about the sourcing of products containing Conflict Minerals.</w:t>
      </w:r>
    </w:p>
    <w:p>
      <w:pPr>
        <w:spacing w:after="0" w:line="176" w:lineRule="exact"/>
        <w:rPr>
          <w:sz w:val="20"/>
          <w:szCs w:val="20"/>
          <w:color w:val="auto"/>
        </w:rPr>
      </w:pPr>
    </w:p>
    <w:p>
      <w:pPr>
        <w:jc w:val="both"/>
        <w:ind w:right="160" w:firstLine="8"/>
        <w:spacing w:after="0" w:line="266"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#4: Carry Out Independent Third-Party Audit of Smelter/Refiner’s Due Diligence Practices</w:t>
      </w:r>
      <w:r>
        <w:rPr>
          <w:rFonts w:ascii="Times New Roman" w:cs="Times New Roman" w:eastAsia="Times New Roman" w:hAnsi="Times New Roman"/>
          <w:sz w:val="18"/>
          <w:szCs w:val="18"/>
          <w:color w:val="auto"/>
        </w:rPr>
        <w:t>. Because we do not have direct relationships with smelters or refiners of Conflict Minerals, we do not carry out audits of smelters or refiners identified by our suppliers as being in their supply chains. However, we are supportive of the audits conducted by third parties as a part of the RMI process.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#5: Report Annually on Supply Chain Due Diligence</w:t>
      </w:r>
      <w:r>
        <w:rPr>
          <w:rFonts w:ascii="Times New Roman" w:cs="Times New Roman" w:eastAsia="Times New Roman" w:hAnsi="Times New Roman"/>
          <w:sz w:val="18"/>
          <w:szCs w:val="18"/>
          <w:color w:val="auto"/>
        </w:rPr>
        <w:t>. We are making our Form SD and this Conflict Minerals Report publicly available on our website at https://investors.soterahealth.com/sec-filings, and we intend to report on our Conflict Minerals due diligence annually.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Due Diligence</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Suppliers provided us with names of smelters and refiners that may have processed the necessary 3TGs in their supply chains. Based on the information available to us on RMI’s website and our Advisor’s database, as of May 15, 2025, our Advisor identified a total of 352 smelters and refiners. Of those, 227 (or 64 percent) of the smelters and refiners identified by our in-scope suppliers for calendar year 2024 were designated by RMI as conformant; 3 (or 1 percent) were designated by RMI as active; and, 32 (or 9 percent) were designated by RMI as non-conformant. The remaining 90 (or 26 percent) of the smelters and refiners identified by our in-scope suppliers were designated by our Advisor as “not enrolled” in the RMI process. Based on responses provided by our suppliers as reviewed against our Advisor’s database, as of May 15, 2025, we have concluded that some of the 3TG contained in our products may have originated in certain of the countries listed in Appendix B.</w:t>
      </w:r>
    </w:p>
    <w:p>
      <w:pPr>
        <w:spacing w:after="0" w:line="189" w:lineRule="exact"/>
        <w:rPr>
          <w:sz w:val="20"/>
          <w:szCs w:val="20"/>
          <w:color w:val="auto"/>
        </w:rPr>
      </w:pPr>
    </w:p>
    <w:p>
      <w:pPr>
        <w:ind w:right="120" w:firstLine="8"/>
        <w:spacing w:after="0" w:line="254"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Facilities Used to Process Necessary Conflict Minerals</w:t>
      </w:r>
      <w:r>
        <w:rPr>
          <w:rFonts w:ascii="Times New Roman" w:cs="Times New Roman" w:eastAsia="Times New Roman" w:hAnsi="Times New Roman"/>
          <w:sz w:val="18"/>
          <w:szCs w:val="18"/>
          <w:color w:val="auto"/>
        </w:rPr>
        <w:t>. As a result of our due diligence, we obtained information from approximately 69 percent of our in-scope suppliers about the smelters and refiners that processed the necessary Conflict Minerals in their supply chains. We reviewed our suppliers’ responses and compared the names of the smelters and refiners they disclosed to the information included on the RMI website and in our Advisor’s database. Because most of our suppliers provided Company-level CMRTs, we were unable to determine whether any particular smelters or refiners named in their responses actually processed the necessary 3TGs in our products. However, based on our review of our suppliers’ CMRT responses, the facilities that may have been used to process the 3TGs contained in our products include, but may not be limited to, the smelters and refiners listed in Appendix A. Because most of our suppliers provided Company-level CMRTs, we have not determined which of these smelters and refiners processed the 3TG in our products.</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supplier responses included conformant, active, and non-conformant smelters and refiners and others that were unknown or that were not participating in the RMAP process. Only the conformant, active, and non-conformant smelters and refiners have been listed in Appendix A.</w:t>
      </w:r>
    </w:p>
    <w:p>
      <w:pPr>
        <w:spacing w:after="0" w:line="162" w:lineRule="exact"/>
        <w:rPr>
          <w:sz w:val="20"/>
          <w:szCs w:val="20"/>
          <w:color w:val="auto"/>
        </w:rPr>
      </w:pPr>
    </w:p>
    <w:p>
      <w:pPr>
        <w:ind w:right="200" w:firstLine="8"/>
        <w:spacing w:after="0" w:line="266"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Countries of Origin of Our Necessary Conflict Minerals</w:t>
      </w:r>
      <w:r>
        <w:rPr>
          <w:rFonts w:ascii="Times New Roman" w:cs="Times New Roman" w:eastAsia="Times New Roman" w:hAnsi="Times New Roman"/>
          <w:sz w:val="18"/>
          <w:szCs w:val="18"/>
          <w:color w:val="auto"/>
        </w:rPr>
        <w:t>. Our Advisor reviewed the lists of smelters and refiners provided by our direct suppliers and validated and cross-referenced that information against our Advisor’s database. Based on this information, as of May 15, 2025 the possible countries of origin of the necessary Conflict Minerals in our products include, but may not be limited to, those countries listed in Appendix B.</w:t>
      </w:r>
    </w:p>
    <w:p>
      <w:pPr>
        <w:spacing w:after="0" w:line="175" w:lineRule="exact"/>
        <w:rPr>
          <w:rFonts w:ascii="Times New Roman" w:cs="Times New Roman" w:eastAsia="Times New Roman" w:hAnsi="Times New Roman"/>
          <w:sz w:val="18"/>
          <w:szCs w:val="18"/>
          <w:color w:val="auto"/>
        </w:rPr>
      </w:pPr>
    </w:p>
    <w:p>
      <w:pPr>
        <w:ind w:firstLine="8"/>
        <w:spacing w:after="0" w:line="261"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Efforts to Determine Mine or Location of Origin</w:t>
      </w:r>
      <w:r>
        <w:rPr>
          <w:rFonts w:ascii="Times New Roman" w:cs="Times New Roman" w:eastAsia="Times New Roman" w:hAnsi="Times New Roman"/>
          <w:sz w:val="18"/>
          <w:szCs w:val="18"/>
          <w:color w:val="auto"/>
        </w:rPr>
        <w:t>. In order to identify the specific mines or locations of origin of our necessary Conflict Minerals, it was determined that the most reasonable course of action was to seek information from our direct suppliers, and request they seek information from their respective suppliers, about the smelters and refiners and countries of origin of the necessary Conflict Minerals in our supply chain. We also reviewed information made available by RMI, to the extent available, to try to determine the mine or location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1417" w:right="339" w:bottom="1440" w:gutter="0" w:footer="0" w:header="0"/>
        </w:sectPr>
      </w:pPr>
    </w:p>
    <w:bookmarkStart w:id="7" w:name="page8"/>
    <w:bookmarkEnd w:id="7"/>
    <w:p>
      <w:pPr>
        <w:ind w:right="340"/>
        <w:spacing w:after="0" w:line="282" w:lineRule="auto"/>
        <w:rPr>
          <w:sz w:val="20"/>
          <w:szCs w:val="20"/>
          <w:color w:val="auto"/>
        </w:rPr>
      </w:pPr>
      <w:r>
        <w:rPr>
          <w:rFonts w:ascii="Times New Roman" w:cs="Times New Roman" w:eastAsia="Times New Roman" w:hAnsi="Times New Roman"/>
          <w:sz w:val="18"/>
          <w:szCs w:val="18"/>
          <w:color w:val="auto"/>
        </w:rPr>
        <w:t>origin. Our suppliers’ responses and the RMI’s information did not provide sufficiently detailed information for us to determine the mine or location of origin of the necessary 3TG in our products for calendar year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Steps Taken and Being Taken to Mitigate Risk and Improve Due Diligence</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reporting year 2025, Sotera Health has taken or expects to take the following steps to continuously improve our due diligence and supplier engagement:</w:t>
      </w:r>
    </w:p>
    <w:p>
      <w:pPr>
        <w:spacing w:after="0" w:line="162" w:lineRule="exact"/>
        <w:rPr>
          <w:sz w:val="20"/>
          <w:szCs w:val="20"/>
          <w:color w:val="auto"/>
        </w:rPr>
      </w:pPr>
    </w:p>
    <w:p>
      <w:pPr>
        <w:ind w:left="660" w:right="220" w:hanging="4"/>
        <w:spacing w:after="0" w:line="282" w:lineRule="auto"/>
        <w:tabs>
          <w:tab w:leader="none" w:pos="9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engagement with relevant suppliers, including by providing additional background and educational information with respect to the RMI process.</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Focus on suppliers who did not provide a CMRT response for 2024 with the goal of increasing the overall response rate for calendar year 2025.</w:t>
      </w:r>
    </w:p>
    <w:p>
      <w:pPr>
        <w:spacing w:after="0" w:line="236" w:lineRule="exact"/>
        <w:rPr>
          <w:rFonts w:ascii="Times New Roman" w:cs="Times New Roman" w:eastAsia="Times New Roman" w:hAnsi="Times New Roman"/>
          <w:sz w:val="17"/>
          <w:szCs w:val="17"/>
          <w:color w:val="auto"/>
        </w:rPr>
      </w:pPr>
    </w:p>
    <w:p>
      <w:pPr>
        <w:ind w:left="660" w:right="20" w:hanging="4"/>
        <w:spacing w:after="0" w:line="282" w:lineRule="auto"/>
        <w:tabs>
          <w:tab w:leader="none" w:pos="9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encourage suppliers to establish and conduct their own due diligence regarding countries of origin and smelter and refiners of 3TG in their supply chains.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Report, including the section “Steps Taken and Being Taken to Mitigate Risk and Improve Due Diligence”, contains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For additional discussion of these risks and uncertainties, please refer to the Company’s filings with the SEC, such as its Annual Report on Form 10-K and quarterly reports. Sotera Health does not undertake any obligation to publicly update or revise these forward-looking statements,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20"/>
          </w:cols>
          <w:pgMar w:left="320" w:top="1417"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Based on our review of our suppliers’ CMRT responses, the facilities that may have been used to process the 3TGs contained in our products include, but may not be limited to, the smelters and refiners listed below. We have listed all confirmed smelters and refiners provided by our suppliers, but given the nature of our suppliers’ CMRT responses, we have not determined which of these smelters and refiners processed the 3TG in our products.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Borders>
              <w:top w:val="single" w:sz="8" w:color="343A40"/>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Metal</w:t>
            </w:r>
          </w:p>
        </w:tc>
        <w:tc>
          <w:tcPr>
            <w:tcW w:w="6060" w:type="dxa"/>
            <w:vAlign w:val="bottom"/>
            <w:tcBorders>
              <w:top w:val="single" w:sz="8" w:color="343A40"/>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Smelter Name</w:t>
            </w:r>
          </w:p>
        </w:tc>
        <w:tc>
          <w:tcPr>
            <w:tcW w:w="4200" w:type="dxa"/>
            <w:vAlign w:val="bottom"/>
            <w:tcBorders>
              <w:top w:val="single" w:sz="8" w:color="343A40"/>
              <w:bottom w:val="single" w:sz="8" w:color="auto"/>
            </w:tcBorders>
          </w:tcPr>
          <w:p>
            <w:pPr>
              <w:ind w:left="2340"/>
              <w:spacing w:after="0"/>
              <w:rPr>
                <w:sz w:val="20"/>
                <w:szCs w:val="20"/>
                <w:color w:val="auto"/>
              </w:rPr>
            </w:pPr>
            <w:r>
              <w:rPr>
                <w:rFonts w:ascii="Times New Roman" w:cs="Times New Roman" w:eastAsia="Times New Roman" w:hAnsi="Times New Roman"/>
                <w:sz w:val="13"/>
                <w:szCs w:val="13"/>
                <w:b w:val="1"/>
                <w:bCs w:val="1"/>
                <w:color w:val="auto"/>
              </w:rPr>
              <w:t>Smelter ID</w:t>
            </w:r>
          </w:p>
        </w:tc>
      </w:tr>
      <w:tr>
        <w:trPr>
          <w:trHeight w:val="174"/>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8853 S.p.A.</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CID002763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ABC Refinery Pty Ltd.</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CID002920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Abington Reldan Metals, LLC</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CID002708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Advanced Chemical Company</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CID000015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African Gold Refinery</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CID003185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Agosi AG</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CID000035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Aida Chemical Industries Co., Ltd.</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CID000019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Al Etihad Gold Refinery DMCC</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CID002560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Albino Mountinho Lda.</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CID002760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Alexy Metals</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CID003500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Almalyk Mining and Metallurgical Complex (AMMC)</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CID000041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AngloGold Ashanti Corrego do Sitio Mineracao</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CID000058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Argor-Heraeus S.A.</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CID000077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Asahi Pretec Corp.</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CID000082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Asahi Refining Canada Ltd.</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CID000924</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Asahi Refining USA Inc.</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CID000920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Asaka Riken Co., Ltd.</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CID000090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Atasay Kuyumculuk Sanayi Ve Ticaret A.S.</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CID000103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AU Traders and Refiners</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CID002850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Augmont Enterprises Private Limited</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CID003461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Aurubis AG</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CID000113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Bangalore Refinery</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CID002863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Bangko Sentral ng Pilipinas (Central Bank of the Philippines)</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CID000128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Boliden Ronnskar</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CID000157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C. Hafner GmbH + Co. KG</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CID000176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Caridad</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CID000180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CCR Refinery - Glencore Canada Corporation</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CID000185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Cendres + Metaux S.A.</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CID000189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CGR Metalloys Pvt Ltd.</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CID003382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Chimet S.p.A.</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CID000233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Chugai Mining</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CID000264</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Coimpa Industrial LTDA</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CID004010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Daye Non-Ferrous Metals Mining Ltd.</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CID000343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Degussa Sonne / Mond Goldhandel GmbH</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CID002867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Dijllah Gold Refinery FZC</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CID003348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Dongwu Gold Group</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CID003663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Dowa</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CID000401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DSC (Do Sung Corporation)</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CID000359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Eco-System Recycling Co., Ltd. East Plant</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CID000425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Eco-System Recycling Co., Ltd. North Plant</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CID003424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Eco-System Recycling Co., Ltd. West Plant</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CID003425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Emerald Jewel Industry India Limited (Unit 1)</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CID003487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Emerald Jewel Industry India Limited (Unit 2)</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CID003488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Emerald Jewel Industry India Limited (Unit 3)</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CID003489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Emerald Jewel Industry India Limited (Unit 4)</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CID003490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Emirates Gold DMCC</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CID002561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Fidelity Printers and Refiners Ltd.</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CID002515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Fujairah Gold FZC</w:t>
            </w:r>
          </w:p>
        </w:tc>
        <w:tc>
          <w:tcPr>
            <w:tcW w:w="4200" w:type="dxa"/>
            <w:vAlign w:val="bottom"/>
          </w:tcPr>
          <w:p>
            <w:pPr>
              <w:ind w:left="2340"/>
              <w:spacing w:after="0"/>
              <w:rPr>
                <w:sz w:val="20"/>
                <w:szCs w:val="20"/>
                <w:color w:val="auto"/>
              </w:rPr>
            </w:pPr>
            <w:r>
              <w:rPr>
                <w:rFonts w:ascii="Times New Roman" w:cs="Times New Roman" w:eastAsia="Times New Roman" w:hAnsi="Times New Roman"/>
                <w:sz w:val="13"/>
                <w:szCs w:val="13"/>
                <w:color w:val="auto"/>
              </w:rPr>
              <w:t>CID002584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0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GG Refinery Ltd.</w:t>
            </w:r>
          </w:p>
        </w:tc>
        <w:tc>
          <w:tcPr>
            <w:tcW w:w="4200" w:type="dxa"/>
            <w:vAlign w:val="bottom"/>
            <w:shd w:val="clear" w:color="auto" w:fill="D9D9D9"/>
          </w:tcPr>
          <w:p>
            <w:pPr>
              <w:ind w:left="2340"/>
              <w:spacing w:after="0"/>
              <w:rPr>
                <w:sz w:val="20"/>
                <w:szCs w:val="20"/>
                <w:color w:val="auto"/>
              </w:rPr>
            </w:pPr>
            <w:r>
              <w:rPr>
                <w:rFonts w:ascii="Times New Roman" w:cs="Times New Roman" w:eastAsia="Times New Roman" w:hAnsi="Times New Roman"/>
                <w:sz w:val="13"/>
                <w:szCs w:val="13"/>
                <w:color w:val="auto"/>
              </w:rPr>
              <w:t>CID004506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11240"/>
          </w:cols>
          <w:pgMar w:left="320" w:top="1413" w:right="339" w:bottom="1440" w:gutter="0" w:footer="0" w:header="0"/>
        </w:sectPr>
      </w:pPr>
    </w:p>
    <w:bookmarkStart w:id="9" w:name="page10"/>
    <w:bookmarkEnd w:id="9"/>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Borders>
              <w:top w:val="single" w:sz="8" w:color="343A40"/>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Metal</w:t>
            </w:r>
          </w:p>
        </w:tc>
        <w:tc>
          <w:tcPr>
            <w:tcW w:w="6180" w:type="dxa"/>
            <w:vAlign w:val="bottom"/>
            <w:tcBorders>
              <w:top w:val="single" w:sz="8" w:color="343A40"/>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Smelter Name</w:t>
            </w:r>
          </w:p>
        </w:tc>
        <w:tc>
          <w:tcPr>
            <w:tcW w:w="4080" w:type="dxa"/>
            <w:vAlign w:val="bottom"/>
            <w:tcBorders>
              <w:top w:val="single" w:sz="8" w:color="343A40"/>
              <w:bottom w:val="single" w:sz="8" w:color="auto"/>
            </w:tcBorders>
          </w:tcPr>
          <w:p>
            <w:pPr>
              <w:ind w:left="2220"/>
              <w:spacing w:after="0"/>
              <w:rPr>
                <w:sz w:val="20"/>
                <w:szCs w:val="20"/>
                <w:color w:val="auto"/>
              </w:rPr>
            </w:pPr>
            <w:r>
              <w:rPr>
                <w:rFonts w:ascii="Times New Roman" w:cs="Times New Roman" w:eastAsia="Times New Roman" w:hAnsi="Times New Roman"/>
                <w:sz w:val="13"/>
                <w:szCs w:val="13"/>
                <w:b w:val="1"/>
                <w:bCs w:val="1"/>
                <w:color w:val="auto"/>
              </w:rPr>
              <w:t>Smelter ID</w:t>
            </w:r>
          </w:p>
        </w:tc>
      </w:tr>
      <w:tr>
        <w:trPr>
          <w:trHeight w:val="168"/>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GGC Gujrat Gold Centre Pvt.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CID002852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Gold by Gold Colombia</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CID003641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Gold Coast Refinery</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CID003186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Gold Refinery of Zijin Mining Group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CID002243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Great Wall Precious Metals Co., Ltd. of CBPM</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CID001909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Guangdong Jinding Gold Limited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CID002312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Guoda Safina High-Tech Environmental Refinery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CID000651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Hangzhou Fuchunjiang Smelting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CID000671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Heimerle + Meule GmbH</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CID000694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Heraeus Germany GmbH Co. KG</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CID000711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Heraeus Metals Hong Kong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CID000707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Hunan Chenzhou Mining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CID000767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Hunan Guiyang yinxing Nonferrous Smelting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CID000773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HwaSeong CJ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CID000778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Industrial Refining Company</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CID002587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Inner Mongolia Qiankun Gold and Silver Refinery Share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CID000801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International Precious Metal Refiners</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CID002562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Ishifuku Metal Industry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CID000807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Istanbul Gold Refinery</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CID000814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Italpreziosi</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CID002765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JALAN &amp; Company</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CID002893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Japan Mint</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CID000823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Jiangxi Copper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CID000855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JSC Ekaterinburg Non-Ferrous Metal Processing Plant</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CID000927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JSC Novosibirsk Refinery</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CID000493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JSC Uralelectromed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CID000929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JX Nippon Mining &amp; Metals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CID000937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K.A. Rasmussen</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CID003497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Kaloti Precious Metals</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CID002563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Kazakhmys Smelting LLC</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CID000956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Kazzinc</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CID000957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Kennecott Utah Copper LLC</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CID000969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KGHM Polska Miedz Spolka Akcyjna</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CID002511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Kojima Chemicals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CID000981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Korea Zinc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CID002605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Kundan Care Products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CID003463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Kyrgyzaltyn JSC</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CID001029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Kyshtym Copper-Electrolytic Plant ZAO</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CID002865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L'azurde Company For Jewelry</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CID001032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Lingbao Gold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CID001056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Lingbao Jinyuan Tonghui Refinery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CID001058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L'Orfebre S.A.</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CID002762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LS MnM Inc.</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CID001078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LT Metal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CID000689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Luoyang Zijin Yinhui Gold Refinery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CID001093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Marsam Metals</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CID002606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Materion</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CID001113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Matsuda Sangyo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CID001119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MD Overseas</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CID003548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Metal Concentrators SA (Pty)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CID003575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Metallix Refining Inc.</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CID003557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Metalor Technologies (Hong Kong)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CID001149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Metalor Technologies (Singapore) Pte.,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CID001152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Metalor Technologies (Suzhou)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CID001147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Metalor Technologies S.A.</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CID001153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Metalor USA Refining Corporation</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CID001157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ectPr>
          <w:pgSz w:w="11900" w:h="16838" w:orient="portrait"/>
          <w:cols w:equalWidth="0" w:num="1">
            <w:col w:w="11240"/>
          </w:cols>
          <w:pgMar w:left="320" w:top="1440" w:right="339" w:bottom="1440" w:gutter="0" w:footer="0" w:header="0"/>
        </w:sectPr>
      </w:pPr>
    </w:p>
    <w:bookmarkStart w:id="10" w:name="page11"/>
    <w:bookmarkEnd w:id="10"/>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Borders>
              <w:top w:val="single" w:sz="8" w:color="343A40"/>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Metal</w:t>
            </w:r>
          </w:p>
        </w:tc>
        <w:tc>
          <w:tcPr>
            <w:tcW w:w="6580" w:type="dxa"/>
            <w:vAlign w:val="bottom"/>
            <w:tcBorders>
              <w:top w:val="single" w:sz="8" w:color="343A40"/>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Smelter Name</w:t>
            </w:r>
          </w:p>
        </w:tc>
        <w:tc>
          <w:tcPr>
            <w:tcW w:w="3680" w:type="dxa"/>
            <w:vAlign w:val="bottom"/>
            <w:tcBorders>
              <w:top w:val="single" w:sz="8" w:color="343A40"/>
              <w:bottom w:val="single" w:sz="8" w:color="auto"/>
            </w:tcBorders>
          </w:tcPr>
          <w:p>
            <w:pPr>
              <w:ind w:left="1820"/>
              <w:spacing w:after="0"/>
              <w:rPr>
                <w:sz w:val="20"/>
                <w:szCs w:val="20"/>
                <w:color w:val="auto"/>
              </w:rPr>
            </w:pPr>
            <w:r>
              <w:rPr>
                <w:rFonts w:ascii="Times New Roman" w:cs="Times New Roman" w:eastAsia="Times New Roman" w:hAnsi="Times New Roman"/>
                <w:sz w:val="13"/>
                <w:szCs w:val="13"/>
                <w:b w:val="1"/>
                <w:bCs w:val="1"/>
                <w:color w:val="auto"/>
              </w:rPr>
              <w:t>Smelter ID</w:t>
            </w:r>
          </w:p>
        </w:tc>
      </w:tr>
      <w:tr>
        <w:trPr>
          <w:trHeight w:val="168"/>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Metalurgica Met-Mex Penoles S.A. De C.V.</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CID001161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Mitsubishi Materials Corporation</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CID001188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Mitsui Mining and Smelting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CID001193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MKS PAMP SA</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CID001352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MMTC-PAMP India Pvt.,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CID002509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Modeltech Sdn Bhd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CID002857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Morris and Watson</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CID002282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Moscow Special Alloys Processing Plant</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CID001204*</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Nadir Metal Rafineri San. Ve Tic. A.S.</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CID001220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Navoi Mining and Metallurgical Combinat</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CID001236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NH Recytech Company</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CID003189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Nihon Material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CID001259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Ogussa Osterreichische Gold- und Silber-Scheideanstalt GmbH</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CID002779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Ohura Precious Metal Industry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CID001325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OJSC "The Gulidov Krasnoyarsk Non-Ferrous Metals Plant" (OJSC Krastsvetmet)</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CID001326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Pease &amp; Curren</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CID002872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Penglai Penggang Gold Industry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CID001362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Planta Recuperadora de Metales SpA</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CID002919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Prioksky Plant of Non-Ferrous Metals</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CID001386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Aneka Tambang (Persero) Tbk</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CID001397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PX Precinox S.A.</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CID001498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QG Refining, LLC</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CID003324</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Rand Refinery (Pty)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CID001512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Refinery of Seemine Gold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CID000522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REMONDIS PMR B.V.</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CID002582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Royal Canadian Mint</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CID001534</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SAAMP</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CID002761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Sabin Metal Corp.</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CID001546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Safimet S.p.A</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CID002973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SAFINA A.S.</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CID002290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Sai Refinery</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CID002853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Sam Precious Metals</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CID003666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Samduck Precious Metals</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CID001555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Samwon Metals Corp.</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CID001562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SEMPSA Joyeria Plateria S.A.</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CID001585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Shandong Gold Smelting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CID001916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Shandong Humon Smelting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CID002525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Shandong Tiancheng Biological Gold Industrial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CID001619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Shandong Zhaojin Gold &amp; Silver Refinery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CID001622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Shenzhen CuiLu Gold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CID002750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Shenzhen Zhonghenglong Real Industry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CID002527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Shirpur Gold Refinery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CID002588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Sichuan Tianze Precious Metals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CID001736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Singway Technology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CID002516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SOE Shyolkovsky Factory of Secondary Precious Metals</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CID001756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Solar Applied Materials Technology Corp.</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CID001761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Sovereign Metals</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CID003383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State Research Institute Center for Physical Sciences and Technology</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CID003153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Sudan Gold Refinery</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CID002567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Sumitomo Metal Mining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CID001798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SungEel HiMetal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CID002918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Super Dragon Technology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CID001810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T.C.A S.p.A</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CID002580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Tanaka Kikinzoku Kogyo K.K.</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CID001875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Tokuriki Honten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CID001938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Tongling Nonferrous Metals Group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CID001947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A-3</w:t>
      </w:r>
    </w:p>
    <w:p>
      <w:pPr>
        <w:sectPr>
          <w:pgSz w:w="11900" w:h="16838" w:orient="portrait"/>
          <w:cols w:equalWidth="0" w:num="1">
            <w:col w:w="11240"/>
          </w:cols>
          <w:pgMar w:left="320" w:top="1440" w:right="339" w:bottom="1440" w:gutter="0" w:footer="0" w:header="0"/>
        </w:sectPr>
      </w:pPr>
    </w:p>
    <w:bookmarkStart w:id="11" w:name="page12"/>
    <w:bookmarkEnd w:id="11"/>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Borders>
              <w:top w:val="single" w:sz="8" w:color="343A40"/>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Metal</w:t>
            </w:r>
          </w:p>
        </w:tc>
        <w:tc>
          <w:tcPr>
            <w:tcW w:w="5860" w:type="dxa"/>
            <w:vAlign w:val="bottom"/>
            <w:tcBorders>
              <w:top w:val="single" w:sz="8" w:color="343A40"/>
              <w:bottom w:val="single" w:sz="8" w:color="auto"/>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Smelter Name</w:t>
            </w:r>
          </w:p>
        </w:tc>
        <w:tc>
          <w:tcPr>
            <w:tcW w:w="4320" w:type="dxa"/>
            <w:vAlign w:val="bottom"/>
            <w:tcBorders>
              <w:top w:val="single" w:sz="8" w:color="343A40"/>
              <w:bottom w:val="single" w:sz="8" w:color="auto"/>
            </w:tcBorders>
          </w:tcPr>
          <w:p>
            <w:pPr>
              <w:ind w:left="2460"/>
              <w:spacing w:after="0"/>
              <w:rPr>
                <w:sz w:val="20"/>
                <w:szCs w:val="20"/>
                <w:color w:val="auto"/>
              </w:rPr>
            </w:pPr>
            <w:r>
              <w:rPr>
                <w:rFonts w:ascii="Times New Roman" w:cs="Times New Roman" w:eastAsia="Times New Roman" w:hAnsi="Times New Roman"/>
                <w:sz w:val="13"/>
                <w:szCs w:val="13"/>
                <w:b w:val="1"/>
                <w:bCs w:val="1"/>
                <w:color w:val="auto"/>
              </w:rPr>
              <w:t>Smelter ID</w:t>
            </w:r>
          </w:p>
        </w:tc>
      </w:tr>
      <w:tr>
        <w:trPr>
          <w:trHeight w:val="168"/>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TOO Tau-Ken-Altyn</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CID002615</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Torecom</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CID001955</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Umicore Precious Metals Thailand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CID002314</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Umicore S.A. Business Unit Precious Metals Refining</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CID001980</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United Precious Metal Refining, Inc.</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CID001993</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Valcambi S.A.</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CID002003</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WEEEREFINING</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CID003615</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Western Australian Mint (T/a The Perth Mint)</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CID002030</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WIELAND Edelmetalle GmbH</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CID002778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Yamakin Co.,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CID002100</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Yokohama Metal Co.,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CID002129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Yunnan Copper Industry Co.,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CID000197</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Zhongyuan Gold Smelter of Zhongjin Gold Corporation</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CID002224</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5D Production OU</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CID003926</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AMG Brasil</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CID001076</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D Block Metals, LLC</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CID002504</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F&amp;X Electro-Materials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CID000460</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FIR Metals &amp; Resource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CID002505</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Global Advanced Metals Aizu</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CID002558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Global Advanced Metals Boyertown</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CID002557</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Guangdong Rising Rare Metals-EO Materials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CID000291</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Hengyang King Xing Lifeng New Materials Co.,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CID002492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Jiangxi Dinghai Tantalum &amp; Niobium Co.,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CID002512</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Jiangxi Tuohong New Raw Material</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CID002842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JiuJiang JinXin Nonferrous Metals Co.,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CID000914</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Jiujiang Tanbre Co.,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CID000917</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Jiujiang Zhongao Tantalum &amp; Niobium Co.,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CID002506</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KEMET de Mexico</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CID002539</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Materion Newton Inc.</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CID002548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Metallurgical Products India Pvt.,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CID001163</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Mineracao Taboca S.A.</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CID001175</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Mitsui Mining and Smelting Co.,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CID001192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Ningxia Orient Tantalum Industry Co.,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CID001277</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NPM Silmet AS</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CID001200</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PowerX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CID004054</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QuantumClean</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CID001508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Resind Industria e Comercio Ltda.</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CID002707</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RFH Yancheng Jinye New Material Technology Co.,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CID003583</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Solikamsk Magnesium Works OAO</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CID001769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Taki Chemical Co.,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CID001869</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TANIOBIS Co.,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CID002544</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TANIOBIS GmbH</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CID002545</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TANIOBIS Japan Co.,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CID002549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TANIOBIS Smelting GmbH &amp; Co. KG</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CID002550</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Telex Metals</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CID001891</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Ulba Metallurgical Plant JSC</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CID001969</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XIMEI RESOURCES (GUANGDONG) LIMITED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CID000616</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XinXing HaoRong Electronic Material Co.,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CID002508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Yanling Jincheng Tantalum &amp; Niobium Co.,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CID001522</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Alpha</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CID000292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An Vinh Joint Stock Mineral Processing Company</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CID002703</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Aurubis Beerse</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CID002773</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Aurubis Berango</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CID002774</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Chenzhou Yunxiang Mining and Metallurgy Co.,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CID000228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Chifeng Dajingzi Tin Industry Co.,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CID003190</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China Tin Group Co.,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CID001070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A-4</w:t>
      </w:r>
    </w:p>
    <w:p>
      <w:pPr>
        <w:sectPr>
          <w:pgSz w:w="11900" w:h="16838" w:orient="portrait"/>
          <w:cols w:equalWidth="0" w:num="1">
            <w:col w:w="11240"/>
          </w:cols>
          <w:pgMar w:left="320" w:top="1440" w:right="339" w:bottom="1440" w:gutter="0" w:footer="0" w:header="0"/>
        </w:sectPr>
      </w:pPr>
    </w:p>
    <w:bookmarkStart w:id="12" w:name="page13"/>
    <w:bookmarkEnd w:id="12"/>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Borders>
              <w:top w:val="single" w:sz="8" w:color="343A40"/>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Metal</w:t>
            </w:r>
          </w:p>
        </w:tc>
        <w:tc>
          <w:tcPr>
            <w:tcW w:w="6780" w:type="dxa"/>
            <w:vAlign w:val="bottom"/>
            <w:tcBorders>
              <w:top w:val="single" w:sz="8" w:color="343A40"/>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Smelter Name</w:t>
            </w:r>
          </w:p>
        </w:tc>
        <w:tc>
          <w:tcPr>
            <w:tcW w:w="3480" w:type="dxa"/>
            <w:vAlign w:val="bottom"/>
            <w:tcBorders>
              <w:top w:val="single" w:sz="8" w:color="343A40"/>
              <w:bottom w:val="single" w:sz="8" w:color="auto"/>
            </w:tcBorders>
          </w:tcPr>
          <w:p>
            <w:pPr>
              <w:ind w:left="1620"/>
              <w:spacing w:after="0"/>
              <w:rPr>
                <w:sz w:val="20"/>
                <w:szCs w:val="20"/>
                <w:color w:val="auto"/>
              </w:rPr>
            </w:pPr>
            <w:r>
              <w:rPr>
                <w:rFonts w:ascii="Times New Roman" w:cs="Times New Roman" w:eastAsia="Times New Roman" w:hAnsi="Times New Roman"/>
                <w:sz w:val="13"/>
                <w:szCs w:val="13"/>
                <w:b w:val="1"/>
                <w:bCs w:val="1"/>
                <w:color w:val="auto"/>
              </w:rPr>
              <w:t>Smelter ID</w:t>
            </w:r>
          </w:p>
        </w:tc>
      </w:tr>
      <w:tr>
        <w:trPr>
          <w:trHeight w:val="168"/>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CRM Fundicao De Metais E Comercio De Equipamentos Eletronicos Do Brasil Ltda</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CID003486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CRM Synergies</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CID003524</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CV Ayi Jaya</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CID002570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CV Venus Inti Perkasa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CID002455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Dongguan CiEXPO Environmental Engineering Co., Ltd.</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CID003356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Dowa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CID000402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DS Myanmar</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CID003831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Electro-Mechanical Facility of the Cao Bang Minerals &amp; Metallurgy Joint Stock Company</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CID002572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EM Vinto</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CID000438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Estanho de Rondonia S.A.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CID000448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Fabrica Auricchio Industria e Comercio Ltda.</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CID003582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Fenix Metals</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CID000468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Gejiu City Fuxiang Industry and Trade Co., Ltd.</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CID003410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Gejiu Kai Meng Industry and Trade LLC</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CID000942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Gejiu Non-Ferrous Metal Processing Co., Ltd.</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CID000538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Gejiu Yunxin Nonferrous Electrolysis Co., Ltd.</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CID001908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Gejiu Zili Mining And Metallurgy Co., Ltd.</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CID000555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Guangdong Hanhe Non-Ferrous Metal Co., Ltd.</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CID003116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HuiChang Hill Tin Industry Co., Ltd.</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CID002844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Jiangxi New Nanshan Technology Ltd.</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CID001231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Luna Smelter, Ltd.</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CID003387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Ma'anshan Weitai Tin Co., Ltd.</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CID003379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Magnu's Minerais Metais e Ligas Ltda.</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CID002468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Malaysia Smelting Corporation (MSC)</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CID001105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Malaysia Smelting Corporation Berhad (Port Klang)</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CID004434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Melt Metais e Ligas S.A.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CID002500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Metallic Resources, Inc.</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CID001142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Mineracao Taboca S.A.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CID001173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Mining Minerals Resources SARL</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CID004065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Minsur</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CID001182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Mitsubishi Materials Corporation</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CID001191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Modeltech Sdn Bhd</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CID002858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Nghe Tinh Non-Ferrous Metals Joint Stock Company</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CID002573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Novosibirsk Tin Combine</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CID001305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O.M. Manufacturing (Thailand) Co., Ltd.</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CID001314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O.M. Manufacturing Philippines, Inc.</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CID002517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Operaciones Metalurgicas S.A.</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CID001337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Pongpipat Company Limited</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CID003208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Precious Minerals and Smelting Limited</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CID003409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Aries Kencana Sejahtera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CID000309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Artha Cipta Langgeng</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CID001399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ATD Makmur Mandiri Jaya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CID002503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Babel Inti Perkasa</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CID001402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Babel Surya Alam Lestari</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CID001406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Bangka Prima Tin</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CID002776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Bangka Serumpun</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CID003205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Bangka Tin Industry</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CID001419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Belitung Industri Sejahtera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CID001421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Bukit Timah</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CID001428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Cipta Persada Mulia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CID002696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Menara Cipta Mulia</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CID002835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Mitra Stania Prima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CID001453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Mitra Sukses Globalindo</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CID003449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Panca Mega Persada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CID001457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Premium Tin Indonesia</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CID000313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Prima Timah Utama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CID001458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A-5</w:t>
      </w:r>
    </w:p>
    <w:p>
      <w:pPr>
        <w:sectPr>
          <w:pgSz w:w="11900" w:h="16838" w:orient="portrait"/>
          <w:cols w:equalWidth="0" w:num="1">
            <w:col w:w="11240"/>
          </w:cols>
          <w:pgMar w:left="320" w:top="1440" w:right="339" w:bottom="1440" w:gutter="0" w:footer="0" w:header="0"/>
        </w:sectPr>
      </w:pPr>
    </w:p>
    <w:bookmarkStart w:id="13" w:name="page14"/>
    <w:bookmarkEnd w:id="13"/>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Borders>
              <w:top w:val="single" w:sz="8" w:color="343A40"/>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Metal</w:t>
            </w:r>
          </w:p>
        </w:tc>
        <w:tc>
          <w:tcPr>
            <w:tcW w:w="7080" w:type="dxa"/>
            <w:vAlign w:val="bottom"/>
            <w:tcBorders>
              <w:top w:val="single" w:sz="8" w:color="343A40"/>
              <w:bottom w:val="single" w:sz="8" w:color="auto"/>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Smelter Name</w:t>
            </w:r>
          </w:p>
        </w:tc>
        <w:tc>
          <w:tcPr>
            <w:tcW w:w="3100" w:type="dxa"/>
            <w:vAlign w:val="bottom"/>
            <w:tcBorders>
              <w:top w:val="single" w:sz="8" w:color="343A40"/>
              <w:bottom w:val="single" w:sz="8" w:color="auto"/>
            </w:tcBorders>
          </w:tcPr>
          <w:p>
            <w:pPr>
              <w:ind w:left="1240"/>
              <w:spacing w:after="0"/>
              <w:rPr>
                <w:sz w:val="20"/>
                <w:szCs w:val="20"/>
                <w:color w:val="auto"/>
              </w:rPr>
            </w:pPr>
            <w:r>
              <w:rPr>
                <w:rFonts w:ascii="Times New Roman" w:cs="Times New Roman" w:eastAsia="Times New Roman" w:hAnsi="Times New Roman"/>
                <w:sz w:val="13"/>
                <w:szCs w:val="13"/>
                <w:b w:val="1"/>
                <w:bCs w:val="1"/>
                <w:color w:val="auto"/>
              </w:rPr>
              <w:t>Smelter ID</w:t>
            </w:r>
          </w:p>
        </w:tc>
      </w:tr>
      <w:tr>
        <w:trPr>
          <w:trHeight w:val="168"/>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PT Putera Sarana Shakti (PT PSS)</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CID003868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PT Rajawali Rimba Perkasa</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CID003381</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PT Rajehan Ariq</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CID002593</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PT Refined Bangka Tin</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CID001460</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PT Sariwiguna Binasentosa</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CID001463</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PT Stanindo Inti Perkasa</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CID001468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PT Sukses Inti Makmur</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CID002816</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PT Timah Nusantara</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CID001486</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PT Timah Tbk Kundur</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CID001477</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PT Timah Tbk Mentok</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CID001482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PT Tinindo Inter Nusa</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CID001490</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PT Tirus Putra Mandiri</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CID002478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PT Tommy Utama</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CID001493</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Resind Industria e Comercio Ltda.</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CID002706</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Rui Da Hung</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CID001539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Super Ligas</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CID002756</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Takehara PVD Materials Plant / PVD Materials Division of MITSUI MINING &amp; SMELTING CO., LTD.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CID004403</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Thaisarco</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CID001898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Tin Smelting Branch of Yunnan Tin Co., Ltd.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CID002180</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Tin Technology &amp; Refining</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CID003325</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Tuyen Quang Non-Ferrous Metals Joint Stock Company</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CID002574</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VQB Mineral and Trading Group JSC</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CID002015</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White Solder Metalurgia e Mineracao Ltda.</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CID002036</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Yunnan Chengfeng Non-ferrous Metals Co.,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CID002158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Yunnan Yunfan Non-ferrous Metals Co., Ltd.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CID003397</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A.L.M.T. Corp.</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CID000004</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ACL Metais Eireli</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CID002833</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Albasteel Industria e Comercio de Ligas Para Fundicao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CID003427</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Artek LLC</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CID003553</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Asia Tungsten Products Vietnam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CID002502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China Molybdenum Tungsten Co., Ltd.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CID002641</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Chongyi Zhangyuan Tungsten Co.,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CID000258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CNMC (Guangxi) PGMA Co., Ltd.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CID000281</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Cronimet Brasil Ltda</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CID003468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DONGKUK INDUSTRIES CO., LTD.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CID004060</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Fujian Xinlu Tungsten Co.,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CID003609</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Ganzhou Jiangwu Ferrotungsten Co., Ltd.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CID002315</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Ganzhou Seadragon W &amp; Mo Co.,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CID002494</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Global Tungsten &amp; Powders LLC</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CID000568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Guangdong Xianglu Tungsten Co.,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CID000218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H.C. Starck Tungsten GmbH</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CID002541</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HANNAE FOR T Co.,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CID003978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Hubei Green Tungsten Co., Ltd.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CID003417</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Hunan Chenzhou Mining Co.,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CID000766</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Hunan Jintai New Material Co., Ltd.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CID000769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Hunan Shizhuyuan Nonferrous Metals Co., Ltd. Chenzhou Tungsten Products Branch</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CID002513</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Hydrometallurg, JSC</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CID002649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Japan New Metals Co.,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CID000825</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Jiangwu H.C. Starck Tungsten Products Co., Ltd.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CID002551</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Jiangxi Gan Bei Tungsten Co.,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CID002321</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Jiangxi Minmetals Gao'an Non-ferrous Metals Co., Ltd.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CID002313</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Jiangxi Tonggu Non-ferrous Metallurgical &amp; Chemical Co.,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CID002318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Jiangxi Xinsheng Tungsten Industry Co., Ltd.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CID002317</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Jiangxi Yaosheng Tungsten Co.,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CID002316</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JSC "Kirovgrad Hard Alloys Plant"</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CID003408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70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Kenee Mining Corporation Vietnam</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CID004619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A-6</w:t>
      </w:r>
    </w:p>
    <w:p>
      <w:pPr>
        <w:sectPr>
          <w:pgSz w:w="11900" w:h="16838" w:orient="portrait"/>
          <w:cols w:equalWidth="0" w:num="1">
            <w:col w:w="11240"/>
          </w:cols>
          <w:pgMar w:left="320" w:top="1440" w:right="339" w:bottom="1440" w:gutter="0" w:footer="0" w:header="0"/>
        </w:sectPr>
      </w:pPr>
    </w:p>
    <w:bookmarkStart w:id="14" w:name="page15"/>
    <w:bookmarkEnd w:id="14"/>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Borders>
              <w:top w:val="single" w:sz="8" w:color="343A40"/>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Metal</w:t>
            </w:r>
          </w:p>
        </w:tc>
        <w:tc>
          <w:tcPr>
            <w:tcW w:w="5640" w:type="dxa"/>
            <w:vAlign w:val="bottom"/>
            <w:tcBorders>
              <w:top w:val="single" w:sz="8" w:color="343A40"/>
              <w:bottom w:val="single" w:sz="8" w:color="auto"/>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Smelter Name</w:t>
            </w:r>
          </w:p>
        </w:tc>
        <w:tc>
          <w:tcPr>
            <w:tcW w:w="4540" w:type="dxa"/>
            <w:vAlign w:val="bottom"/>
            <w:tcBorders>
              <w:top w:val="single" w:sz="8" w:color="343A40"/>
              <w:bottom w:val="single" w:sz="8" w:color="auto"/>
            </w:tcBorders>
          </w:tcPr>
          <w:p>
            <w:pPr>
              <w:ind w:left="2680"/>
              <w:spacing w:after="0"/>
              <w:rPr>
                <w:sz w:val="20"/>
                <w:szCs w:val="20"/>
                <w:color w:val="auto"/>
              </w:rPr>
            </w:pPr>
            <w:r>
              <w:rPr>
                <w:rFonts w:ascii="Times New Roman" w:cs="Times New Roman" w:eastAsia="Times New Roman" w:hAnsi="Times New Roman"/>
                <w:sz w:val="13"/>
                <w:szCs w:val="13"/>
                <w:b w:val="1"/>
                <w:bCs w:val="1"/>
                <w:color w:val="auto"/>
              </w:rPr>
              <w:t>Smelter ID</w:t>
            </w:r>
          </w:p>
        </w:tc>
      </w:tr>
      <w:tr>
        <w:trPr>
          <w:trHeight w:val="168"/>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Kennametal Fallon</w:t>
            </w:r>
          </w:p>
        </w:tc>
        <w:tc>
          <w:tcPr>
            <w:tcW w:w="454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CID000966</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Kennametal Huntsville</w:t>
            </w:r>
          </w:p>
        </w:tc>
        <w:tc>
          <w:tcPr>
            <w:tcW w:w="4540" w:type="dxa"/>
            <w:vAlign w:val="bottom"/>
            <w:shd w:val="clear" w:color="auto" w:fill="D9D9D9"/>
          </w:tcPr>
          <w:p>
            <w:pPr>
              <w:ind w:left="2680"/>
              <w:spacing w:after="0"/>
              <w:rPr>
                <w:sz w:val="20"/>
                <w:szCs w:val="20"/>
                <w:color w:val="auto"/>
              </w:rPr>
            </w:pPr>
            <w:r>
              <w:rPr>
                <w:rFonts w:ascii="Times New Roman" w:cs="Times New Roman" w:eastAsia="Times New Roman" w:hAnsi="Times New Roman"/>
                <w:sz w:val="13"/>
                <w:szCs w:val="13"/>
                <w:color w:val="auto"/>
              </w:rPr>
              <w:t>CID000105</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Lianyou Metals Co., Ltd.</w:t>
            </w:r>
          </w:p>
        </w:tc>
        <w:tc>
          <w:tcPr>
            <w:tcW w:w="454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CID003407</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Lianyou Resources Co., Ltd.</w:t>
            </w:r>
          </w:p>
        </w:tc>
        <w:tc>
          <w:tcPr>
            <w:tcW w:w="4540" w:type="dxa"/>
            <w:vAlign w:val="bottom"/>
            <w:shd w:val="clear" w:color="auto" w:fill="D9D9D9"/>
          </w:tcPr>
          <w:p>
            <w:pPr>
              <w:ind w:left="2680"/>
              <w:spacing w:after="0"/>
              <w:rPr>
                <w:sz w:val="20"/>
                <w:szCs w:val="20"/>
                <w:color w:val="auto"/>
              </w:rPr>
            </w:pPr>
            <w:r>
              <w:rPr>
                <w:rFonts w:ascii="Times New Roman" w:cs="Times New Roman" w:eastAsia="Times New Roman" w:hAnsi="Times New Roman"/>
                <w:sz w:val="13"/>
                <w:szCs w:val="13"/>
                <w:color w:val="auto"/>
              </w:rPr>
              <w:t>CID004397</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LLC Vostok</w:t>
            </w:r>
          </w:p>
        </w:tc>
        <w:tc>
          <w:tcPr>
            <w:tcW w:w="454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CID003643</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MALAMET SMELTING SDN. BHD.</w:t>
            </w:r>
          </w:p>
        </w:tc>
        <w:tc>
          <w:tcPr>
            <w:tcW w:w="4540" w:type="dxa"/>
            <w:vAlign w:val="bottom"/>
            <w:shd w:val="clear" w:color="auto" w:fill="D9D9D9"/>
          </w:tcPr>
          <w:p>
            <w:pPr>
              <w:ind w:left="2680"/>
              <w:spacing w:after="0"/>
              <w:rPr>
                <w:sz w:val="20"/>
                <w:szCs w:val="20"/>
                <w:color w:val="auto"/>
              </w:rPr>
            </w:pPr>
            <w:r>
              <w:rPr>
                <w:rFonts w:ascii="Times New Roman" w:cs="Times New Roman" w:eastAsia="Times New Roman" w:hAnsi="Times New Roman"/>
                <w:sz w:val="13"/>
                <w:szCs w:val="13"/>
                <w:color w:val="auto"/>
              </w:rPr>
              <w:t>CID004056</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Malipo Haiyu Tungsten Co., Ltd.</w:t>
            </w:r>
          </w:p>
        </w:tc>
        <w:tc>
          <w:tcPr>
            <w:tcW w:w="454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CID002319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Masan High-Tech Materials</w:t>
            </w:r>
          </w:p>
        </w:tc>
        <w:tc>
          <w:tcPr>
            <w:tcW w:w="4540" w:type="dxa"/>
            <w:vAlign w:val="bottom"/>
            <w:shd w:val="clear" w:color="auto" w:fill="D9D9D9"/>
          </w:tcPr>
          <w:p>
            <w:pPr>
              <w:ind w:left="2680"/>
              <w:spacing w:after="0"/>
              <w:rPr>
                <w:sz w:val="20"/>
                <w:szCs w:val="20"/>
                <w:color w:val="auto"/>
              </w:rPr>
            </w:pPr>
            <w:r>
              <w:rPr>
                <w:rFonts w:ascii="Times New Roman" w:cs="Times New Roman" w:eastAsia="Times New Roman" w:hAnsi="Times New Roman"/>
                <w:sz w:val="13"/>
                <w:szCs w:val="13"/>
                <w:color w:val="auto"/>
              </w:rPr>
              <w:t>CID002543</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Moliren Ltd.</w:t>
            </w:r>
          </w:p>
        </w:tc>
        <w:tc>
          <w:tcPr>
            <w:tcW w:w="454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CID002845</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Nam Viet Cromit Joint Stock Company</w:t>
            </w:r>
          </w:p>
        </w:tc>
        <w:tc>
          <w:tcPr>
            <w:tcW w:w="4540" w:type="dxa"/>
            <w:vAlign w:val="bottom"/>
            <w:shd w:val="clear" w:color="auto" w:fill="D9D9D9"/>
          </w:tcPr>
          <w:p>
            <w:pPr>
              <w:ind w:left="2680"/>
              <w:spacing w:after="0"/>
              <w:rPr>
                <w:sz w:val="20"/>
                <w:szCs w:val="20"/>
                <w:color w:val="auto"/>
              </w:rPr>
            </w:pPr>
            <w:r>
              <w:rPr>
                <w:rFonts w:ascii="Times New Roman" w:cs="Times New Roman" w:eastAsia="Times New Roman" w:hAnsi="Times New Roman"/>
                <w:sz w:val="13"/>
                <w:szCs w:val="13"/>
                <w:color w:val="auto"/>
              </w:rPr>
              <w:t>CID004034</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Niagara Refining LLC</w:t>
            </w:r>
          </w:p>
        </w:tc>
        <w:tc>
          <w:tcPr>
            <w:tcW w:w="454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CID002589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NPP Tyazhmetprom LLC</w:t>
            </w:r>
          </w:p>
        </w:tc>
        <w:tc>
          <w:tcPr>
            <w:tcW w:w="4540" w:type="dxa"/>
            <w:vAlign w:val="bottom"/>
            <w:shd w:val="clear" w:color="auto" w:fill="D9D9D9"/>
          </w:tcPr>
          <w:p>
            <w:pPr>
              <w:ind w:left="2680"/>
              <w:spacing w:after="0"/>
              <w:rPr>
                <w:sz w:val="20"/>
                <w:szCs w:val="20"/>
                <w:color w:val="auto"/>
              </w:rPr>
            </w:pPr>
            <w:r>
              <w:rPr>
                <w:rFonts w:ascii="Times New Roman" w:cs="Times New Roman" w:eastAsia="Times New Roman" w:hAnsi="Times New Roman"/>
                <w:sz w:val="13"/>
                <w:szCs w:val="13"/>
                <w:color w:val="auto"/>
              </w:rPr>
              <w:t>CID003416</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OOO “Technolom” 1</w:t>
            </w:r>
          </w:p>
        </w:tc>
        <w:tc>
          <w:tcPr>
            <w:tcW w:w="454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CID003614</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OOO “Technolom” 2</w:t>
            </w:r>
          </w:p>
        </w:tc>
        <w:tc>
          <w:tcPr>
            <w:tcW w:w="4540" w:type="dxa"/>
            <w:vAlign w:val="bottom"/>
            <w:shd w:val="clear" w:color="auto" w:fill="D9D9D9"/>
          </w:tcPr>
          <w:p>
            <w:pPr>
              <w:ind w:left="2680"/>
              <w:spacing w:after="0"/>
              <w:rPr>
                <w:sz w:val="20"/>
                <w:szCs w:val="20"/>
                <w:color w:val="auto"/>
              </w:rPr>
            </w:pPr>
            <w:r>
              <w:rPr>
                <w:rFonts w:ascii="Times New Roman" w:cs="Times New Roman" w:eastAsia="Times New Roman" w:hAnsi="Times New Roman"/>
                <w:sz w:val="13"/>
                <w:szCs w:val="13"/>
                <w:color w:val="auto"/>
              </w:rPr>
              <w:t>CID003612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Philippine Chuangxin Industrial Co., Inc.</w:t>
            </w:r>
          </w:p>
        </w:tc>
        <w:tc>
          <w:tcPr>
            <w:tcW w:w="454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CID002827</w:t>
            </w:r>
          </w:p>
        </w:tc>
      </w:tr>
      <w:tr>
        <w:trPr>
          <w:trHeight w:val="181"/>
        </w:trPr>
        <w:tc>
          <w:tcPr>
            <w:tcW w:w="106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shd w:val="clear" w:color="auto" w:fill="DBDBDB"/>
          </w:tcPr>
          <w:p>
            <w:pPr>
              <w:ind w:left="520"/>
              <w:spacing w:after="0"/>
              <w:rPr>
                <w:sz w:val="20"/>
                <w:szCs w:val="20"/>
                <w:color w:val="auto"/>
              </w:rPr>
            </w:pPr>
            <w:r>
              <w:rPr>
                <w:rFonts w:ascii="Times New Roman" w:cs="Times New Roman" w:eastAsia="Times New Roman" w:hAnsi="Times New Roman"/>
                <w:sz w:val="13"/>
                <w:szCs w:val="13"/>
                <w:color w:val="auto"/>
              </w:rPr>
              <w:t>Shinwon Tungsten (Fujian Shanghang) Co., Ltd.</w:t>
            </w:r>
          </w:p>
        </w:tc>
        <w:tc>
          <w:tcPr>
            <w:tcW w:w="4540" w:type="dxa"/>
            <w:vAlign w:val="bottom"/>
            <w:shd w:val="clear" w:color="auto" w:fill="DBDBDB"/>
          </w:tcPr>
          <w:p>
            <w:pPr>
              <w:ind w:left="2680"/>
              <w:spacing w:after="0"/>
              <w:rPr>
                <w:sz w:val="20"/>
                <w:szCs w:val="20"/>
                <w:color w:val="auto"/>
              </w:rPr>
            </w:pPr>
            <w:r>
              <w:rPr>
                <w:rFonts w:ascii="Times New Roman" w:cs="Times New Roman" w:eastAsia="Times New Roman" w:hAnsi="Times New Roman"/>
                <w:sz w:val="13"/>
                <w:szCs w:val="13"/>
                <w:color w:val="auto"/>
              </w:rPr>
              <w:t>CID004430</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TANIOBIS Smelting GmbH &amp; Co. KG</w:t>
            </w:r>
          </w:p>
        </w:tc>
        <w:tc>
          <w:tcPr>
            <w:tcW w:w="454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CID002542</w:t>
            </w:r>
          </w:p>
        </w:tc>
      </w:tr>
      <w:tr>
        <w:trPr>
          <w:trHeight w:val="181"/>
        </w:trPr>
        <w:tc>
          <w:tcPr>
            <w:tcW w:w="106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shd w:val="clear" w:color="auto" w:fill="DBDBDB"/>
          </w:tcPr>
          <w:p>
            <w:pPr>
              <w:ind w:left="520"/>
              <w:spacing w:after="0"/>
              <w:rPr>
                <w:sz w:val="20"/>
                <w:szCs w:val="20"/>
                <w:color w:val="auto"/>
              </w:rPr>
            </w:pPr>
            <w:r>
              <w:rPr>
                <w:rFonts w:ascii="Times New Roman" w:cs="Times New Roman" w:eastAsia="Times New Roman" w:hAnsi="Times New Roman"/>
                <w:sz w:val="13"/>
                <w:szCs w:val="13"/>
                <w:color w:val="auto"/>
              </w:rPr>
              <w:t>Tungsten Vietnam Joint Stock Company</w:t>
            </w:r>
          </w:p>
        </w:tc>
        <w:tc>
          <w:tcPr>
            <w:tcW w:w="4540" w:type="dxa"/>
            <w:vAlign w:val="bottom"/>
            <w:shd w:val="clear" w:color="auto" w:fill="DBDBDB"/>
          </w:tcPr>
          <w:p>
            <w:pPr>
              <w:ind w:left="2680"/>
              <w:spacing w:after="0"/>
              <w:rPr>
                <w:sz w:val="20"/>
                <w:szCs w:val="20"/>
                <w:color w:val="auto"/>
              </w:rPr>
            </w:pPr>
            <w:r>
              <w:rPr>
                <w:rFonts w:ascii="Times New Roman" w:cs="Times New Roman" w:eastAsia="Times New Roman" w:hAnsi="Times New Roman"/>
                <w:sz w:val="13"/>
                <w:szCs w:val="13"/>
                <w:color w:val="auto"/>
              </w:rPr>
              <w:t>CID003993</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Unecha Refractory metals plant</w:t>
            </w:r>
          </w:p>
        </w:tc>
        <w:tc>
          <w:tcPr>
            <w:tcW w:w="454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CID002724</w:t>
            </w:r>
          </w:p>
        </w:tc>
      </w:tr>
      <w:tr>
        <w:trPr>
          <w:trHeight w:val="181"/>
        </w:trPr>
        <w:tc>
          <w:tcPr>
            <w:tcW w:w="106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shd w:val="clear" w:color="auto" w:fill="DBDBDB"/>
          </w:tcPr>
          <w:p>
            <w:pPr>
              <w:ind w:left="520"/>
              <w:spacing w:after="0"/>
              <w:rPr>
                <w:sz w:val="20"/>
                <w:szCs w:val="20"/>
                <w:color w:val="auto"/>
              </w:rPr>
            </w:pPr>
            <w:r>
              <w:rPr>
                <w:rFonts w:ascii="Times New Roman" w:cs="Times New Roman" w:eastAsia="Times New Roman" w:hAnsi="Times New Roman"/>
                <w:sz w:val="13"/>
                <w:szCs w:val="13"/>
                <w:color w:val="auto"/>
              </w:rPr>
              <w:t>Wolfram Bergbau und Hutten AG</w:t>
            </w:r>
          </w:p>
        </w:tc>
        <w:tc>
          <w:tcPr>
            <w:tcW w:w="4540" w:type="dxa"/>
            <w:vAlign w:val="bottom"/>
            <w:shd w:val="clear" w:color="auto" w:fill="DBDBDB"/>
          </w:tcPr>
          <w:p>
            <w:pPr>
              <w:ind w:left="2680"/>
              <w:spacing w:after="0"/>
              <w:rPr>
                <w:sz w:val="20"/>
                <w:szCs w:val="20"/>
                <w:color w:val="auto"/>
              </w:rPr>
            </w:pPr>
            <w:r>
              <w:rPr>
                <w:rFonts w:ascii="Times New Roman" w:cs="Times New Roman" w:eastAsia="Times New Roman" w:hAnsi="Times New Roman"/>
                <w:sz w:val="13"/>
                <w:szCs w:val="13"/>
                <w:color w:val="auto"/>
              </w:rPr>
              <w:t>CID002044</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Xiamen Tungsten (H.C.) Co., Ltd.</w:t>
            </w:r>
          </w:p>
        </w:tc>
        <w:tc>
          <w:tcPr>
            <w:tcW w:w="454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CID002320</w:t>
            </w:r>
          </w:p>
        </w:tc>
      </w:tr>
      <w:tr>
        <w:trPr>
          <w:trHeight w:val="181"/>
        </w:trPr>
        <w:tc>
          <w:tcPr>
            <w:tcW w:w="106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shd w:val="clear" w:color="auto" w:fill="DBDBDB"/>
          </w:tcPr>
          <w:p>
            <w:pPr>
              <w:ind w:left="520"/>
              <w:spacing w:after="0"/>
              <w:rPr>
                <w:sz w:val="20"/>
                <w:szCs w:val="20"/>
                <w:color w:val="auto"/>
              </w:rPr>
            </w:pPr>
            <w:r>
              <w:rPr>
                <w:rFonts w:ascii="Times New Roman" w:cs="Times New Roman" w:eastAsia="Times New Roman" w:hAnsi="Times New Roman"/>
                <w:sz w:val="13"/>
                <w:szCs w:val="13"/>
                <w:color w:val="auto"/>
              </w:rPr>
              <w:t>Xiamen Tungsten Co., Ltd.</w:t>
            </w:r>
          </w:p>
        </w:tc>
        <w:tc>
          <w:tcPr>
            <w:tcW w:w="4540" w:type="dxa"/>
            <w:vAlign w:val="bottom"/>
            <w:shd w:val="clear" w:color="auto" w:fill="DBDBDB"/>
          </w:tcPr>
          <w:p>
            <w:pPr>
              <w:ind w:left="2680"/>
              <w:spacing w:after="0"/>
              <w:rPr>
                <w:sz w:val="20"/>
                <w:szCs w:val="20"/>
                <w:color w:val="auto"/>
              </w:rPr>
            </w:pPr>
            <w:r>
              <w:rPr>
                <w:rFonts w:ascii="Times New Roman" w:cs="Times New Roman" w:eastAsia="Times New Roman" w:hAnsi="Times New Roman"/>
                <w:sz w:val="13"/>
                <w:szCs w:val="13"/>
                <w:color w:val="auto"/>
              </w:rPr>
              <w:t>CID002082</w:t>
            </w:r>
          </w:p>
        </w:tc>
      </w:tr>
      <w:tr>
        <w:trPr>
          <w:trHeight w:val="164"/>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6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YUDU ANSHENG TUNGSTEN CO., LTD.</w:t>
            </w:r>
          </w:p>
        </w:tc>
        <w:tc>
          <w:tcPr>
            <w:tcW w:w="454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CID003662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A-7</w:t>
      </w:r>
    </w:p>
    <w:p>
      <w:pPr>
        <w:sectPr>
          <w:pgSz w:w="11900" w:h="16838" w:orient="portrait"/>
          <w:cols w:equalWidth="0" w:num="1">
            <w:col w:w="11240"/>
          </w:cols>
          <w:pgMar w:left="320" w:top="144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APPENDIX B</w:t>
      </w:r>
    </w:p>
    <w:p>
      <w:pPr>
        <w:spacing w:after="0" w:line="223"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Based on our Advisor’s review of the lists of smelters and refiners provided by our direct suppliers, as of May 15, 2025, the possible countries of origin of the necessary Conflict Minerals in our products include, but may not be limited to, those countries listed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Possible Countries of Origin – Tin</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Belgium</w:t>
            </w:r>
          </w:p>
        </w:tc>
        <w:tc>
          <w:tcPr>
            <w:tcW w:w="37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Japan</w:t>
            </w:r>
          </w:p>
        </w:tc>
        <w:tc>
          <w:tcPr>
            <w:tcW w:w="37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Rwanda</w:t>
            </w:r>
          </w:p>
        </w:tc>
      </w:tr>
      <w:tr>
        <w:trPr>
          <w:trHeight w:val="177"/>
        </w:trPr>
        <w:tc>
          <w:tcPr>
            <w:tcW w:w="3740" w:type="dxa"/>
            <w:vAlign w:val="bottom"/>
            <w:tcBorders>
              <w:bottom w:val="single" w:sz="8" w:color="EDEDED"/>
            </w:tcBorders>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auto"/>
              </w:rPr>
              <w:t>Bolivia</w:t>
            </w:r>
          </w:p>
        </w:tc>
        <w:tc>
          <w:tcPr>
            <w:tcW w:w="3740" w:type="dxa"/>
            <w:vAlign w:val="bottom"/>
            <w:tcBorders>
              <w:bottom w:val="single" w:sz="8" w:color="EDEDED"/>
            </w:tcBorders>
            <w:shd w:val="clear" w:color="auto" w:fill="EDEDED"/>
          </w:tcPr>
          <w:p>
            <w:pPr>
              <w:ind w:left="200"/>
              <w:spacing w:after="0"/>
              <w:rPr>
                <w:sz w:val="20"/>
                <w:szCs w:val="20"/>
                <w:color w:val="auto"/>
              </w:rPr>
            </w:pPr>
            <w:r>
              <w:rPr>
                <w:rFonts w:ascii="Times New Roman" w:cs="Times New Roman" w:eastAsia="Times New Roman" w:hAnsi="Times New Roman"/>
                <w:sz w:val="13"/>
                <w:szCs w:val="13"/>
                <w:color w:val="auto"/>
              </w:rPr>
              <w:t>Malaysia</w:t>
            </w:r>
          </w:p>
        </w:tc>
        <w:tc>
          <w:tcPr>
            <w:tcW w:w="3760" w:type="dxa"/>
            <w:vAlign w:val="bottom"/>
            <w:tcBorders>
              <w:bottom w:val="single" w:sz="8" w:color="EDEDED"/>
            </w:tcBorders>
            <w:shd w:val="clear" w:color="auto" w:fill="EDEDED"/>
          </w:tcPr>
          <w:p>
            <w:pPr>
              <w:ind w:left="160"/>
              <w:spacing w:after="0"/>
              <w:rPr>
                <w:sz w:val="20"/>
                <w:szCs w:val="20"/>
                <w:color w:val="auto"/>
              </w:rPr>
            </w:pPr>
            <w:r>
              <w:rPr>
                <w:rFonts w:ascii="Times New Roman" w:cs="Times New Roman" w:eastAsia="Times New Roman" w:hAnsi="Times New Roman"/>
                <w:sz w:val="13"/>
                <w:szCs w:val="13"/>
                <w:color w:val="auto"/>
              </w:rPr>
              <w:t>Spain</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Brazil</w:t>
            </w:r>
          </w:p>
        </w:tc>
        <w:tc>
          <w:tcPr>
            <w:tcW w:w="37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Myanmar</w:t>
            </w:r>
          </w:p>
        </w:tc>
        <w:tc>
          <w:tcPr>
            <w:tcW w:w="37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Taiwan, Province of China</w:t>
            </w:r>
          </w:p>
        </w:tc>
      </w:tr>
      <w:tr>
        <w:trPr>
          <w:trHeight w:val="175"/>
        </w:trPr>
        <w:tc>
          <w:tcPr>
            <w:tcW w:w="3740" w:type="dxa"/>
            <w:vAlign w:val="bottom"/>
            <w:tcBorders>
              <w:bottom w:val="single" w:sz="8" w:color="EDEDED"/>
            </w:tcBorders>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auto"/>
              </w:rPr>
              <w:t>Congo</w:t>
            </w:r>
          </w:p>
        </w:tc>
        <w:tc>
          <w:tcPr>
            <w:tcW w:w="3740" w:type="dxa"/>
            <w:vAlign w:val="bottom"/>
            <w:tcBorders>
              <w:bottom w:val="single" w:sz="8" w:color="EDEDED"/>
            </w:tcBorders>
            <w:shd w:val="clear" w:color="auto" w:fill="EDEDED"/>
          </w:tcPr>
          <w:p>
            <w:pPr>
              <w:ind w:left="200"/>
              <w:spacing w:after="0"/>
              <w:rPr>
                <w:sz w:val="20"/>
                <w:szCs w:val="20"/>
                <w:color w:val="auto"/>
              </w:rPr>
            </w:pPr>
            <w:r>
              <w:rPr>
                <w:rFonts w:ascii="Times New Roman" w:cs="Times New Roman" w:eastAsia="Times New Roman" w:hAnsi="Times New Roman"/>
                <w:sz w:val="13"/>
                <w:szCs w:val="13"/>
                <w:color w:val="auto"/>
              </w:rPr>
              <w:t>Peru</w:t>
            </w:r>
          </w:p>
        </w:tc>
        <w:tc>
          <w:tcPr>
            <w:tcW w:w="3760" w:type="dxa"/>
            <w:vAlign w:val="bottom"/>
            <w:tcBorders>
              <w:bottom w:val="single" w:sz="8" w:color="EDEDED"/>
            </w:tcBorders>
            <w:shd w:val="clear" w:color="auto" w:fill="EDEDED"/>
          </w:tcPr>
          <w:p>
            <w:pPr>
              <w:ind w:left="160"/>
              <w:spacing w:after="0"/>
              <w:rPr>
                <w:sz w:val="20"/>
                <w:szCs w:val="20"/>
                <w:color w:val="auto"/>
              </w:rPr>
            </w:pPr>
            <w:r>
              <w:rPr>
                <w:rFonts w:ascii="Times New Roman" w:cs="Times New Roman" w:eastAsia="Times New Roman" w:hAnsi="Times New Roman"/>
                <w:sz w:val="13"/>
                <w:szCs w:val="13"/>
                <w:color w:val="auto"/>
              </w:rPr>
              <w:t>Thailand</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China</w:t>
            </w:r>
          </w:p>
        </w:tc>
        <w:tc>
          <w:tcPr>
            <w:tcW w:w="37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Philippines</w:t>
            </w:r>
          </w:p>
        </w:tc>
        <w:tc>
          <w:tcPr>
            <w:tcW w:w="37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United States of America</w:t>
            </w:r>
          </w:p>
        </w:tc>
      </w:tr>
      <w:tr>
        <w:trPr>
          <w:trHeight w:val="181"/>
        </w:trPr>
        <w:tc>
          <w:tcPr>
            <w:tcW w:w="3740" w:type="dxa"/>
            <w:vAlign w:val="bottom"/>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auto"/>
              </w:rPr>
              <w:t>India</w:t>
            </w:r>
          </w:p>
        </w:tc>
        <w:tc>
          <w:tcPr>
            <w:tcW w:w="3740" w:type="dxa"/>
            <w:vAlign w:val="bottom"/>
            <w:shd w:val="clear" w:color="auto" w:fill="EDEDED"/>
          </w:tcPr>
          <w:p>
            <w:pPr>
              <w:ind w:left="200"/>
              <w:spacing w:after="0"/>
              <w:rPr>
                <w:sz w:val="20"/>
                <w:szCs w:val="20"/>
                <w:color w:val="auto"/>
              </w:rPr>
            </w:pPr>
            <w:r>
              <w:rPr>
                <w:rFonts w:ascii="Times New Roman" w:cs="Times New Roman" w:eastAsia="Times New Roman" w:hAnsi="Times New Roman"/>
                <w:sz w:val="13"/>
                <w:szCs w:val="13"/>
                <w:color w:val="auto"/>
              </w:rPr>
              <w:t>Poland</w:t>
            </w:r>
          </w:p>
        </w:tc>
        <w:tc>
          <w:tcPr>
            <w:tcW w:w="3760" w:type="dxa"/>
            <w:vAlign w:val="bottom"/>
            <w:shd w:val="clear" w:color="auto" w:fill="EDEDED"/>
          </w:tcPr>
          <w:p>
            <w:pPr>
              <w:ind w:left="160"/>
              <w:spacing w:after="0"/>
              <w:rPr>
                <w:sz w:val="20"/>
                <w:szCs w:val="20"/>
                <w:color w:val="auto"/>
              </w:rPr>
            </w:pPr>
            <w:r>
              <w:rPr>
                <w:rFonts w:ascii="Times New Roman" w:cs="Times New Roman" w:eastAsia="Times New Roman" w:hAnsi="Times New Roman"/>
                <w:sz w:val="13"/>
                <w:szCs w:val="13"/>
                <w:color w:val="auto"/>
              </w:rPr>
              <w:t>Vietnam</w:t>
            </w:r>
          </w:p>
        </w:tc>
      </w:tr>
      <w:tr>
        <w:trPr>
          <w:trHeight w:val="164"/>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Indonesia</w:t>
            </w:r>
          </w:p>
        </w:tc>
        <w:tc>
          <w:tcPr>
            <w:tcW w:w="37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Russian Federation</w:t>
            </w:r>
          </w:p>
        </w:tc>
        <w:tc>
          <w:tcPr>
            <w:tcW w:w="3760" w:type="dxa"/>
            <w:vAlign w:val="bottom"/>
          </w:tcPr>
          <w:p>
            <w:pPr>
              <w:spacing w:after="0"/>
              <w:rPr>
                <w:sz w:val="14"/>
                <w:szCs w:val="14"/>
                <w:color w:val="auto"/>
              </w:rPr>
            </w:pPr>
          </w:p>
        </w:tc>
      </w:tr>
      <w:tr>
        <w:trPr>
          <w:trHeight w:val="497"/>
        </w:trPr>
        <w:tc>
          <w:tcPr>
            <w:tcW w:w="2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Possible Countries of Origin – Tantalum</w:t>
            </w:r>
          </w:p>
        </w:tc>
        <w:tc>
          <w:tcPr>
            <w:tcW w:w="9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674"/>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343A40"/>
              </w:rPr>
              <w:t>Brazil</w:t>
            </w:r>
          </w:p>
        </w:tc>
        <w:tc>
          <w:tcPr>
            <w:tcW w:w="37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India</w:t>
            </w:r>
          </w:p>
        </w:tc>
        <w:tc>
          <w:tcPr>
            <w:tcW w:w="3760" w:type="dxa"/>
            <w:vAlign w:val="bottom"/>
          </w:tcPr>
          <w:p>
            <w:pPr>
              <w:ind w:left="160"/>
              <w:spacing w:after="0"/>
              <w:rPr>
                <w:sz w:val="20"/>
                <w:szCs w:val="20"/>
                <w:color w:val="auto"/>
              </w:rPr>
            </w:pPr>
            <w:r>
              <w:rPr>
                <w:rFonts w:ascii="Times New Roman" w:cs="Times New Roman" w:eastAsia="Times New Roman" w:hAnsi="Times New Roman"/>
                <w:sz w:val="13"/>
                <w:szCs w:val="13"/>
                <w:color w:val="343A40"/>
              </w:rPr>
              <w:t>Russian Federation</w:t>
            </w:r>
          </w:p>
        </w:tc>
      </w:tr>
      <w:tr>
        <w:trPr>
          <w:trHeight w:val="177"/>
        </w:trPr>
        <w:tc>
          <w:tcPr>
            <w:tcW w:w="3740" w:type="dxa"/>
            <w:vAlign w:val="bottom"/>
            <w:tcBorders>
              <w:bottom w:val="single" w:sz="8" w:color="EDEDED"/>
            </w:tcBorders>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China</w:t>
            </w:r>
          </w:p>
        </w:tc>
        <w:tc>
          <w:tcPr>
            <w:tcW w:w="3740" w:type="dxa"/>
            <w:vAlign w:val="bottom"/>
            <w:tcBorders>
              <w:bottom w:val="single" w:sz="8" w:color="EDEDED"/>
            </w:tcBorders>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Japan</w:t>
            </w:r>
          </w:p>
        </w:tc>
        <w:tc>
          <w:tcPr>
            <w:tcW w:w="3760" w:type="dxa"/>
            <w:vAlign w:val="bottom"/>
            <w:tcBorders>
              <w:bottom w:val="single" w:sz="8" w:color="EDEDED"/>
            </w:tcBorders>
            <w:shd w:val="clear" w:color="auto" w:fill="EDEDED"/>
          </w:tcPr>
          <w:p>
            <w:pPr>
              <w:ind w:left="160"/>
              <w:spacing w:after="0"/>
              <w:rPr>
                <w:sz w:val="20"/>
                <w:szCs w:val="20"/>
                <w:color w:val="auto"/>
              </w:rPr>
            </w:pPr>
            <w:r>
              <w:rPr>
                <w:rFonts w:ascii="Times New Roman" w:cs="Times New Roman" w:eastAsia="Times New Roman" w:hAnsi="Times New Roman"/>
                <w:sz w:val="13"/>
                <w:szCs w:val="13"/>
                <w:color w:val="auto"/>
              </w:rPr>
              <w:t>Rwanda</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343A40"/>
              </w:rPr>
              <w:t>Estonia</w:t>
            </w:r>
          </w:p>
        </w:tc>
        <w:tc>
          <w:tcPr>
            <w:tcW w:w="37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Kazakhstan</w:t>
            </w:r>
          </w:p>
        </w:tc>
        <w:tc>
          <w:tcPr>
            <w:tcW w:w="3760" w:type="dxa"/>
            <w:vAlign w:val="bottom"/>
          </w:tcPr>
          <w:p>
            <w:pPr>
              <w:ind w:left="160"/>
              <w:spacing w:after="0"/>
              <w:rPr>
                <w:sz w:val="20"/>
                <w:szCs w:val="20"/>
                <w:color w:val="auto"/>
              </w:rPr>
            </w:pPr>
            <w:r>
              <w:rPr>
                <w:rFonts w:ascii="Times New Roman" w:cs="Times New Roman" w:eastAsia="Times New Roman" w:hAnsi="Times New Roman"/>
                <w:sz w:val="13"/>
                <w:szCs w:val="13"/>
                <w:color w:val="343A40"/>
              </w:rPr>
              <w:t>Thailand</w:t>
            </w:r>
          </w:p>
        </w:tc>
      </w:tr>
      <w:tr>
        <w:trPr>
          <w:trHeight w:val="181"/>
        </w:trPr>
        <w:tc>
          <w:tcPr>
            <w:tcW w:w="3740" w:type="dxa"/>
            <w:vAlign w:val="bottom"/>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Germany</w:t>
            </w:r>
          </w:p>
        </w:tc>
        <w:tc>
          <w:tcPr>
            <w:tcW w:w="3740" w:type="dxa"/>
            <w:vAlign w:val="bottom"/>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Mexico</w:t>
            </w:r>
          </w:p>
        </w:tc>
        <w:tc>
          <w:tcPr>
            <w:tcW w:w="3760" w:type="dxa"/>
            <w:vAlign w:val="bottom"/>
            <w:shd w:val="clear" w:color="auto" w:fill="EDEDED"/>
          </w:tcPr>
          <w:p>
            <w:pPr>
              <w:ind w:left="160"/>
              <w:spacing w:after="0"/>
              <w:rPr>
                <w:sz w:val="20"/>
                <w:szCs w:val="20"/>
                <w:color w:val="auto"/>
              </w:rPr>
            </w:pPr>
            <w:r>
              <w:rPr>
                <w:rFonts w:ascii="Times New Roman" w:cs="Times New Roman" w:eastAsia="Times New Roman" w:hAnsi="Times New Roman"/>
                <w:sz w:val="13"/>
                <w:szCs w:val="13"/>
                <w:color w:val="343A40"/>
              </w:rPr>
              <w:t>United States of America</w:t>
            </w:r>
          </w:p>
        </w:tc>
      </w:tr>
      <w:tr>
        <w:trPr>
          <w:trHeight w:val="486"/>
        </w:trPr>
        <w:tc>
          <w:tcPr>
            <w:tcW w:w="37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Possible Countries of Origin – Tungsten</w:t>
            </w:r>
          </w:p>
        </w:tc>
        <w:tc>
          <w:tcPr>
            <w:tcW w:w="37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31"/>
        </w:trPr>
        <w:tc>
          <w:tcPr>
            <w:tcW w:w="27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343A40"/>
              </w:rPr>
              <w:t>Austria</w:t>
            </w:r>
          </w:p>
        </w:tc>
        <w:tc>
          <w:tcPr>
            <w:tcW w:w="980" w:type="dxa"/>
            <w:vAlign w:val="bottom"/>
            <w:gridSpan w:val="2"/>
          </w:tcPr>
          <w:p>
            <w:pPr>
              <w:spacing w:after="0"/>
              <w:rPr>
                <w:sz w:val="24"/>
                <w:szCs w:val="24"/>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Japan</w:t>
            </w:r>
          </w:p>
        </w:tc>
        <w:tc>
          <w:tcPr>
            <w:tcW w:w="3760" w:type="dxa"/>
            <w:vAlign w:val="bottom"/>
          </w:tcPr>
          <w:p>
            <w:pPr>
              <w:ind w:left="160"/>
              <w:spacing w:after="0"/>
              <w:rPr>
                <w:sz w:val="20"/>
                <w:szCs w:val="20"/>
                <w:color w:val="auto"/>
              </w:rPr>
            </w:pPr>
            <w:r>
              <w:rPr>
                <w:rFonts w:ascii="Times New Roman" w:cs="Times New Roman" w:eastAsia="Times New Roman" w:hAnsi="Times New Roman"/>
                <w:sz w:val="13"/>
                <w:szCs w:val="13"/>
                <w:color w:val="343A40"/>
              </w:rPr>
              <w:t>Russian Federation</w:t>
            </w:r>
          </w:p>
        </w:tc>
      </w:tr>
      <w:tr>
        <w:trPr>
          <w:trHeight w:val="183"/>
        </w:trPr>
        <w:tc>
          <w:tcPr>
            <w:tcW w:w="3740" w:type="dxa"/>
            <w:vAlign w:val="bottom"/>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Brazil</w:t>
            </w:r>
          </w:p>
        </w:tc>
        <w:tc>
          <w:tcPr>
            <w:tcW w:w="3740" w:type="dxa"/>
            <w:vAlign w:val="bottom"/>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Korea, Republic of</w:t>
            </w:r>
          </w:p>
        </w:tc>
        <w:tc>
          <w:tcPr>
            <w:tcW w:w="3760" w:type="dxa"/>
            <w:vAlign w:val="bottom"/>
            <w:shd w:val="clear" w:color="auto" w:fill="EDEDED"/>
          </w:tcPr>
          <w:p>
            <w:pPr>
              <w:ind w:left="160"/>
              <w:spacing w:after="0"/>
              <w:rPr>
                <w:sz w:val="20"/>
                <w:szCs w:val="20"/>
                <w:color w:val="auto"/>
              </w:rPr>
            </w:pPr>
            <w:r>
              <w:rPr>
                <w:rFonts w:ascii="Times New Roman" w:cs="Times New Roman" w:eastAsia="Times New Roman" w:hAnsi="Times New Roman"/>
                <w:sz w:val="13"/>
                <w:szCs w:val="13"/>
                <w:color w:val="343A40"/>
              </w:rPr>
              <w:t>Taiwan, Province of China</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343A40"/>
              </w:rPr>
              <w:t>China</w:t>
            </w:r>
          </w:p>
        </w:tc>
        <w:tc>
          <w:tcPr>
            <w:tcW w:w="37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Malaysia</w:t>
            </w:r>
          </w:p>
        </w:tc>
        <w:tc>
          <w:tcPr>
            <w:tcW w:w="3760" w:type="dxa"/>
            <w:vAlign w:val="bottom"/>
          </w:tcPr>
          <w:p>
            <w:pPr>
              <w:ind w:left="160"/>
              <w:spacing w:after="0"/>
              <w:rPr>
                <w:sz w:val="20"/>
                <w:szCs w:val="20"/>
                <w:color w:val="auto"/>
              </w:rPr>
            </w:pPr>
            <w:r>
              <w:rPr>
                <w:rFonts w:ascii="Times New Roman" w:cs="Times New Roman" w:eastAsia="Times New Roman" w:hAnsi="Times New Roman"/>
                <w:sz w:val="13"/>
                <w:szCs w:val="13"/>
                <w:color w:val="343A40"/>
              </w:rPr>
              <w:t>United States of America</w:t>
            </w:r>
          </w:p>
        </w:tc>
      </w:tr>
      <w:tr>
        <w:trPr>
          <w:trHeight w:val="181"/>
        </w:trPr>
        <w:tc>
          <w:tcPr>
            <w:tcW w:w="3740" w:type="dxa"/>
            <w:vAlign w:val="bottom"/>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Germany</w:t>
            </w:r>
          </w:p>
        </w:tc>
        <w:tc>
          <w:tcPr>
            <w:tcW w:w="3740" w:type="dxa"/>
            <w:vAlign w:val="bottom"/>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Philippines</w:t>
            </w:r>
          </w:p>
        </w:tc>
        <w:tc>
          <w:tcPr>
            <w:tcW w:w="376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3"/>
                <w:szCs w:val="13"/>
                <w:color w:val="343A40"/>
              </w:rPr>
              <w:t>Vietnam</w:t>
            </w:r>
          </w:p>
        </w:tc>
      </w:tr>
      <w:tr>
        <w:trPr>
          <w:trHeight w:val="486"/>
        </w:trPr>
        <w:tc>
          <w:tcPr>
            <w:tcW w:w="37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Possible Countries of Origin – Gold</w:t>
            </w:r>
          </w:p>
        </w:tc>
        <w:tc>
          <w:tcPr>
            <w:tcW w:w="37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31"/>
        </w:trPr>
        <w:tc>
          <w:tcPr>
            <w:tcW w:w="2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343A40"/>
              </w:rPr>
              <w:t>Andorra</w:t>
            </w:r>
          </w:p>
        </w:tc>
        <w:tc>
          <w:tcPr>
            <w:tcW w:w="1280" w:type="dxa"/>
            <w:vAlign w:val="bottom"/>
            <w:gridSpan w:val="3"/>
          </w:tcPr>
          <w:p>
            <w:pPr>
              <w:spacing w:after="0"/>
              <w:rPr>
                <w:sz w:val="24"/>
                <w:szCs w:val="24"/>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Italy</w:t>
            </w:r>
          </w:p>
        </w:tc>
        <w:tc>
          <w:tcPr>
            <w:tcW w:w="3760" w:type="dxa"/>
            <w:vAlign w:val="bottom"/>
          </w:tcPr>
          <w:p>
            <w:pPr>
              <w:ind w:left="240"/>
              <w:spacing w:after="0"/>
              <w:rPr>
                <w:sz w:val="20"/>
                <w:szCs w:val="20"/>
                <w:color w:val="auto"/>
              </w:rPr>
            </w:pPr>
            <w:r>
              <w:rPr>
                <w:rFonts w:ascii="Times New Roman" w:cs="Times New Roman" w:eastAsia="Times New Roman" w:hAnsi="Times New Roman"/>
                <w:sz w:val="13"/>
                <w:szCs w:val="13"/>
                <w:color w:val="343A40"/>
              </w:rPr>
              <w:t>Saudi Arabia</w:t>
            </w:r>
          </w:p>
        </w:tc>
      </w:tr>
      <w:tr>
        <w:trPr>
          <w:trHeight w:val="183"/>
        </w:trPr>
        <w:tc>
          <w:tcPr>
            <w:tcW w:w="3740" w:type="dxa"/>
            <w:vAlign w:val="bottom"/>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Australia</w:t>
            </w:r>
          </w:p>
        </w:tc>
        <w:tc>
          <w:tcPr>
            <w:tcW w:w="3740" w:type="dxa"/>
            <w:vAlign w:val="bottom"/>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Japan</w:t>
            </w:r>
          </w:p>
        </w:tc>
        <w:tc>
          <w:tcPr>
            <w:tcW w:w="3760" w:type="dxa"/>
            <w:vAlign w:val="bottom"/>
            <w:shd w:val="clear" w:color="auto" w:fill="EDEDED"/>
          </w:tcPr>
          <w:p>
            <w:pPr>
              <w:ind w:left="240"/>
              <w:spacing w:after="0"/>
              <w:rPr>
                <w:sz w:val="20"/>
                <w:szCs w:val="20"/>
                <w:color w:val="auto"/>
              </w:rPr>
            </w:pPr>
            <w:r>
              <w:rPr>
                <w:rFonts w:ascii="Times New Roman" w:cs="Times New Roman" w:eastAsia="Times New Roman" w:hAnsi="Times New Roman"/>
                <w:sz w:val="13"/>
                <w:szCs w:val="13"/>
                <w:color w:val="343A40"/>
              </w:rPr>
              <w:t>Singapore</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343A40"/>
              </w:rPr>
              <w:t>Austria</w:t>
            </w:r>
          </w:p>
        </w:tc>
        <w:tc>
          <w:tcPr>
            <w:tcW w:w="37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Kazakhstan</w:t>
            </w:r>
          </w:p>
        </w:tc>
        <w:tc>
          <w:tcPr>
            <w:tcW w:w="3760" w:type="dxa"/>
            <w:vAlign w:val="bottom"/>
          </w:tcPr>
          <w:p>
            <w:pPr>
              <w:ind w:left="240"/>
              <w:spacing w:after="0"/>
              <w:rPr>
                <w:sz w:val="20"/>
                <w:szCs w:val="20"/>
                <w:color w:val="auto"/>
              </w:rPr>
            </w:pPr>
            <w:r>
              <w:rPr>
                <w:rFonts w:ascii="Times New Roman" w:cs="Times New Roman" w:eastAsia="Times New Roman" w:hAnsi="Times New Roman"/>
                <w:sz w:val="13"/>
                <w:szCs w:val="13"/>
                <w:color w:val="343A40"/>
              </w:rPr>
              <w:t>South Africa</w:t>
            </w:r>
          </w:p>
        </w:tc>
      </w:tr>
      <w:tr>
        <w:trPr>
          <w:trHeight w:val="175"/>
        </w:trPr>
        <w:tc>
          <w:tcPr>
            <w:tcW w:w="3740" w:type="dxa"/>
            <w:vAlign w:val="bottom"/>
            <w:tcBorders>
              <w:bottom w:val="single" w:sz="8" w:color="EDEDED"/>
            </w:tcBorders>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Belgium</w:t>
            </w:r>
          </w:p>
        </w:tc>
        <w:tc>
          <w:tcPr>
            <w:tcW w:w="3740" w:type="dxa"/>
            <w:vAlign w:val="bottom"/>
            <w:tcBorders>
              <w:bottom w:val="single" w:sz="8" w:color="EDEDED"/>
            </w:tcBorders>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Korea, Republic Of</w:t>
            </w:r>
          </w:p>
        </w:tc>
        <w:tc>
          <w:tcPr>
            <w:tcW w:w="3760" w:type="dxa"/>
            <w:vAlign w:val="bottom"/>
            <w:tcBorders>
              <w:bottom w:val="single" w:sz="8" w:color="EDEDED"/>
            </w:tcBorders>
            <w:shd w:val="clear" w:color="auto" w:fill="EDEDED"/>
          </w:tcPr>
          <w:p>
            <w:pPr>
              <w:ind w:left="240"/>
              <w:spacing w:after="0"/>
              <w:rPr>
                <w:sz w:val="20"/>
                <w:szCs w:val="20"/>
                <w:color w:val="auto"/>
              </w:rPr>
            </w:pPr>
            <w:r>
              <w:rPr>
                <w:rFonts w:ascii="Times New Roman" w:cs="Times New Roman" w:eastAsia="Times New Roman" w:hAnsi="Times New Roman"/>
                <w:sz w:val="13"/>
                <w:szCs w:val="13"/>
                <w:color w:val="343A40"/>
              </w:rPr>
              <w:t>Spain</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343A40"/>
              </w:rPr>
              <w:t>Brazil</w:t>
            </w:r>
          </w:p>
        </w:tc>
        <w:tc>
          <w:tcPr>
            <w:tcW w:w="37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Kyrgyzstan</w:t>
            </w:r>
          </w:p>
        </w:tc>
        <w:tc>
          <w:tcPr>
            <w:tcW w:w="3760" w:type="dxa"/>
            <w:vAlign w:val="bottom"/>
          </w:tcPr>
          <w:p>
            <w:pPr>
              <w:ind w:left="240"/>
              <w:spacing w:after="0"/>
              <w:rPr>
                <w:sz w:val="20"/>
                <w:szCs w:val="20"/>
                <w:color w:val="auto"/>
              </w:rPr>
            </w:pPr>
            <w:r>
              <w:rPr>
                <w:rFonts w:ascii="Times New Roman" w:cs="Times New Roman" w:eastAsia="Times New Roman" w:hAnsi="Times New Roman"/>
                <w:sz w:val="13"/>
                <w:szCs w:val="13"/>
                <w:color w:val="343A40"/>
              </w:rPr>
              <w:t>Sudan</w:t>
            </w:r>
          </w:p>
        </w:tc>
      </w:tr>
      <w:tr>
        <w:trPr>
          <w:trHeight w:val="175"/>
        </w:trPr>
        <w:tc>
          <w:tcPr>
            <w:tcW w:w="3740" w:type="dxa"/>
            <w:vAlign w:val="bottom"/>
            <w:tcBorders>
              <w:bottom w:val="single" w:sz="8" w:color="EDEDED"/>
            </w:tcBorders>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Canada</w:t>
            </w:r>
          </w:p>
        </w:tc>
        <w:tc>
          <w:tcPr>
            <w:tcW w:w="3740" w:type="dxa"/>
            <w:vAlign w:val="bottom"/>
            <w:tcBorders>
              <w:bottom w:val="single" w:sz="8" w:color="EDEDED"/>
            </w:tcBorders>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Lithuania</w:t>
            </w:r>
          </w:p>
        </w:tc>
        <w:tc>
          <w:tcPr>
            <w:tcW w:w="3760" w:type="dxa"/>
            <w:vAlign w:val="bottom"/>
            <w:tcBorders>
              <w:bottom w:val="single" w:sz="8" w:color="EDEDED"/>
            </w:tcBorders>
            <w:shd w:val="clear" w:color="auto" w:fill="EDEDED"/>
          </w:tcPr>
          <w:p>
            <w:pPr>
              <w:ind w:left="240"/>
              <w:spacing w:after="0"/>
              <w:rPr>
                <w:sz w:val="20"/>
                <w:szCs w:val="20"/>
                <w:color w:val="auto"/>
              </w:rPr>
            </w:pPr>
            <w:r>
              <w:rPr>
                <w:rFonts w:ascii="Times New Roman" w:cs="Times New Roman" w:eastAsia="Times New Roman" w:hAnsi="Times New Roman"/>
                <w:sz w:val="13"/>
                <w:szCs w:val="13"/>
                <w:color w:val="343A40"/>
              </w:rPr>
              <w:t>Sweden</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343A40"/>
              </w:rPr>
              <w:t>Chile</w:t>
            </w:r>
          </w:p>
        </w:tc>
        <w:tc>
          <w:tcPr>
            <w:tcW w:w="37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Malaysia</w:t>
            </w:r>
          </w:p>
        </w:tc>
        <w:tc>
          <w:tcPr>
            <w:tcW w:w="3760" w:type="dxa"/>
            <w:vAlign w:val="bottom"/>
          </w:tcPr>
          <w:p>
            <w:pPr>
              <w:ind w:left="240"/>
              <w:spacing w:after="0"/>
              <w:rPr>
                <w:sz w:val="20"/>
                <w:szCs w:val="20"/>
                <w:color w:val="auto"/>
              </w:rPr>
            </w:pPr>
            <w:r>
              <w:rPr>
                <w:rFonts w:ascii="Times New Roman" w:cs="Times New Roman" w:eastAsia="Times New Roman" w:hAnsi="Times New Roman"/>
                <w:sz w:val="13"/>
                <w:szCs w:val="13"/>
                <w:color w:val="343A40"/>
              </w:rPr>
              <w:t>Switzerland</w:t>
            </w:r>
          </w:p>
        </w:tc>
      </w:tr>
      <w:tr>
        <w:trPr>
          <w:trHeight w:val="181"/>
        </w:trPr>
        <w:tc>
          <w:tcPr>
            <w:tcW w:w="3740" w:type="dxa"/>
            <w:vAlign w:val="bottom"/>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China</w:t>
            </w:r>
          </w:p>
        </w:tc>
        <w:tc>
          <w:tcPr>
            <w:tcW w:w="3740" w:type="dxa"/>
            <w:vAlign w:val="bottom"/>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Mexico</w:t>
            </w:r>
          </w:p>
        </w:tc>
        <w:tc>
          <w:tcPr>
            <w:tcW w:w="3760" w:type="dxa"/>
            <w:vAlign w:val="bottom"/>
            <w:shd w:val="clear" w:color="auto" w:fill="EDEDED"/>
          </w:tcPr>
          <w:p>
            <w:pPr>
              <w:ind w:left="240"/>
              <w:spacing w:after="0"/>
              <w:rPr>
                <w:sz w:val="20"/>
                <w:szCs w:val="20"/>
                <w:color w:val="auto"/>
              </w:rPr>
            </w:pPr>
            <w:r>
              <w:rPr>
                <w:rFonts w:ascii="Times New Roman" w:cs="Times New Roman" w:eastAsia="Times New Roman" w:hAnsi="Times New Roman"/>
                <w:sz w:val="13"/>
                <w:szCs w:val="13"/>
                <w:color w:val="343A40"/>
              </w:rPr>
              <w:t>Taiwan, Province of China</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343A40"/>
              </w:rPr>
              <w:t>Colombia</w:t>
            </w:r>
          </w:p>
        </w:tc>
        <w:tc>
          <w:tcPr>
            <w:tcW w:w="37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Netherlands</w:t>
            </w:r>
          </w:p>
        </w:tc>
        <w:tc>
          <w:tcPr>
            <w:tcW w:w="3760" w:type="dxa"/>
            <w:vAlign w:val="bottom"/>
          </w:tcPr>
          <w:p>
            <w:pPr>
              <w:ind w:left="240"/>
              <w:spacing w:after="0"/>
              <w:rPr>
                <w:sz w:val="20"/>
                <w:szCs w:val="20"/>
                <w:color w:val="auto"/>
              </w:rPr>
            </w:pPr>
            <w:r>
              <w:rPr>
                <w:rFonts w:ascii="Times New Roman" w:cs="Times New Roman" w:eastAsia="Times New Roman" w:hAnsi="Times New Roman"/>
                <w:sz w:val="13"/>
                <w:szCs w:val="13"/>
                <w:color w:val="343A40"/>
              </w:rPr>
              <w:t>Thailand</w:t>
            </w:r>
          </w:p>
        </w:tc>
      </w:tr>
      <w:tr>
        <w:trPr>
          <w:trHeight w:val="175"/>
        </w:trPr>
        <w:tc>
          <w:tcPr>
            <w:tcW w:w="3740" w:type="dxa"/>
            <w:vAlign w:val="bottom"/>
            <w:tcBorders>
              <w:bottom w:val="single" w:sz="8" w:color="EDEDED"/>
            </w:tcBorders>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Czechia</w:t>
            </w:r>
          </w:p>
        </w:tc>
        <w:tc>
          <w:tcPr>
            <w:tcW w:w="3740" w:type="dxa"/>
            <w:vAlign w:val="bottom"/>
            <w:tcBorders>
              <w:bottom w:val="single" w:sz="8" w:color="EDEDED"/>
            </w:tcBorders>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New Zealand</w:t>
            </w:r>
          </w:p>
        </w:tc>
        <w:tc>
          <w:tcPr>
            <w:tcW w:w="3760" w:type="dxa"/>
            <w:vAlign w:val="bottom"/>
            <w:tcBorders>
              <w:bottom w:val="single" w:sz="8" w:color="EDEDED"/>
            </w:tcBorders>
            <w:shd w:val="clear" w:color="auto" w:fill="EDEDED"/>
          </w:tcPr>
          <w:p>
            <w:pPr>
              <w:ind w:left="240"/>
              <w:spacing w:after="0"/>
              <w:rPr>
                <w:sz w:val="20"/>
                <w:szCs w:val="20"/>
                <w:color w:val="auto"/>
              </w:rPr>
            </w:pPr>
            <w:r>
              <w:rPr>
                <w:rFonts w:ascii="Times New Roman" w:cs="Times New Roman" w:eastAsia="Times New Roman" w:hAnsi="Times New Roman"/>
                <w:sz w:val="13"/>
                <w:szCs w:val="13"/>
                <w:color w:val="343A40"/>
              </w:rPr>
              <w:t>Turkey</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343A40"/>
              </w:rPr>
              <w:t>France</w:t>
            </w:r>
          </w:p>
        </w:tc>
        <w:tc>
          <w:tcPr>
            <w:tcW w:w="37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Norway</w:t>
            </w:r>
          </w:p>
        </w:tc>
        <w:tc>
          <w:tcPr>
            <w:tcW w:w="3760" w:type="dxa"/>
            <w:vAlign w:val="bottom"/>
          </w:tcPr>
          <w:p>
            <w:pPr>
              <w:ind w:left="240"/>
              <w:spacing w:after="0"/>
              <w:rPr>
                <w:sz w:val="20"/>
                <w:szCs w:val="20"/>
                <w:color w:val="auto"/>
              </w:rPr>
            </w:pPr>
            <w:r>
              <w:rPr>
                <w:rFonts w:ascii="Times New Roman" w:cs="Times New Roman" w:eastAsia="Times New Roman" w:hAnsi="Times New Roman"/>
                <w:sz w:val="13"/>
                <w:szCs w:val="13"/>
                <w:color w:val="343A40"/>
              </w:rPr>
              <w:t>Uganda</w:t>
            </w:r>
          </w:p>
        </w:tc>
      </w:tr>
      <w:tr>
        <w:trPr>
          <w:trHeight w:val="175"/>
        </w:trPr>
        <w:tc>
          <w:tcPr>
            <w:tcW w:w="3740" w:type="dxa"/>
            <w:vAlign w:val="bottom"/>
            <w:tcBorders>
              <w:bottom w:val="single" w:sz="8" w:color="EDEDED"/>
            </w:tcBorders>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Germany</w:t>
            </w:r>
          </w:p>
        </w:tc>
        <w:tc>
          <w:tcPr>
            <w:tcW w:w="3740" w:type="dxa"/>
            <w:vAlign w:val="bottom"/>
            <w:tcBorders>
              <w:bottom w:val="single" w:sz="8" w:color="EDEDED"/>
            </w:tcBorders>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Philippines</w:t>
            </w:r>
          </w:p>
        </w:tc>
        <w:tc>
          <w:tcPr>
            <w:tcW w:w="3760" w:type="dxa"/>
            <w:vAlign w:val="bottom"/>
            <w:tcBorders>
              <w:bottom w:val="single" w:sz="8" w:color="EDEDED"/>
            </w:tcBorders>
            <w:shd w:val="clear" w:color="auto" w:fill="EDEDED"/>
          </w:tcPr>
          <w:p>
            <w:pPr>
              <w:ind w:left="240"/>
              <w:spacing w:after="0"/>
              <w:rPr>
                <w:sz w:val="20"/>
                <w:szCs w:val="20"/>
                <w:color w:val="auto"/>
              </w:rPr>
            </w:pPr>
            <w:r>
              <w:rPr>
                <w:rFonts w:ascii="Times New Roman" w:cs="Times New Roman" w:eastAsia="Times New Roman" w:hAnsi="Times New Roman"/>
                <w:sz w:val="13"/>
                <w:szCs w:val="13"/>
                <w:color w:val="343A40"/>
              </w:rPr>
              <w:t>United Arab Emirates</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343A40"/>
              </w:rPr>
              <w:t>Ghana</w:t>
            </w:r>
          </w:p>
        </w:tc>
        <w:tc>
          <w:tcPr>
            <w:tcW w:w="37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Poland</w:t>
            </w:r>
          </w:p>
        </w:tc>
        <w:tc>
          <w:tcPr>
            <w:tcW w:w="3760" w:type="dxa"/>
            <w:vAlign w:val="bottom"/>
          </w:tcPr>
          <w:p>
            <w:pPr>
              <w:ind w:left="240"/>
              <w:spacing w:after="0"/>
              <w:rPr>
                <w:sz w:val="20"/>
                <w:szCs w:val="20"/>
                <w:color w:val="auto"/>
              </w:rPr>
            </w:pPr>
            <w:r>
              <w:rPr>
                <w:rFonts w:ascii="Times New Roman" w:cs="Times New Roman" w:eastAsia="Times New Roman" w:hAnsi="Times New Roman"/>
                <w:sz w:val="13"/>
                <w:szCs w:val="13"/>
                <w:color w:val="343A40"/>
              </w:rPr>
              <w:t>United States of America</w:t>
            </w:r>
          </w:p>
        </w:tc>
      </w:tr>
      <w:tr>
        <w:trPr>
          <w:trHeight w:val="181"/>
        </w:trPr>
        <w:tc>
          <w:tcPr>
            <w:tcW w:w="3740" w:type="dxa"/>
            <w:vAlign w:val="bottom"/>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India</w:t>
            </w:r>
          </w:p>
        </w:tc>
        <w:tc>
          <w:tcPr>
            <w:tcW w:w="3740" w:type="dxa"/>
            <w:vAlign w:val="bottom"/>
            <w:tcBorders>
              <w:bottom w:val="single" w:sz="8" w:color="EDEDED"/>
            </w:tcBorders>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Portugal</w:t>
            </w:r>
          </w:p>
        </w:tc>
        <w:tc>
          <w:tcPr>
            <w:tcW w:w="3760" w:type="dxa"/>
            <w:vAlign w:val="bottom"/>
            <w:shd w:val="clear" w:color="auto" w:fill="EDEDED"/>
          </w:tcPr>
          <w:p>
            <w:pPr>
              <w:ind w:left="240"/>
              <w:spacing w:after="0"/>
              <w:rPr>
                <w:sz w:val="20"/>
                <w:szCs w:val="20"/>
                <w:color w:val="auto"/>
              </w:rPr>
            </w:pPr>
            <w:r>
              <w:rPr>
                <w:rFonts w:ascii="Times New Roman" w:cs="Times New Roman" w:eastAsia="Times New Roman" w:hAnsi="Times New Roman"/>
                <w:sz w:val="13"/>
                <w:szCs w:val="13"/>
                <w:color w:val="343A40"/>
              </w:rPr>
              <w:t>Uzbekistan</w:t>
            </w:r>
          </w:p>
        </w:tc>
      </w:tr>
      <w:tr>
        <w:trPr>
          <w:trHeight w:val="158"/>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343A40"/>
              </w:rPr>
              <w:t>Indonesia</w:t>
            </w:r>
          </w:p>
        </w:tc>
        <w:tc>
          <w:tcPr>
            <w:tcW w:w="37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Russian Federation</w:t>
            </w:r>
          </w:p>
        </w:tc>
        <w:tc>
          <w:tcPr>
            <w:tcW w:w="3760" w:type="dxa"/>
            <w:vAlign w:val="bottom"/>
          </w:tcPr>
          <w:p>
            <w:pPr>
              <w:ind w:left="240"/>
              <w:spacing w:after="0"/>
              <w:rPr>
                <w:sz w:val="20"/>
                <w:szCs w:val="20"/>
                <w:color w:val="auto"/>
              </w:rPr>
            </w:pPr>
            <w:r>
              <w:rPr>
                <w:rFonts w:ascii="Times New Roman" w:cs="Times New Roman" w:eastAsia="Times New Roman" w:hAnsi="Times New Roman"/>
                <w:sz w:val="13"/>
                <w:szCs w:val="13"/>
                <w:color w:val="343A40"/>
              </w:rPr>
              <w:t>Zimbabwe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B-1</w:t>
      </w:r>
    </w:p>
    <w:sectPr>
      <w:pgSz w:w="11900" w:h="16838" w:orient="portrait"/>
      <w:cols w:equalWidth="0" w:num="1">
        <w:col w:w="11240"/>
      </w:cols>
      <w:pgMar w:left="320" w:top="14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2025-06-02T15:50:40Z</dcterms:created>
  <dcterms:modified xsi:type="dcterms:W3CDTF">2025-06-02T15:50:40Z</dcterms:modified>
</cp:coreProperties>
</file>