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PETRELLA VINCENT K</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05/27/2022</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HEIGHTS</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gridSpan w:val="2"/>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05/27/2022</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10,643</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25,848</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Restricted Stock Units ("RSUs") that were granted on May 27, 2022,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RSUs and 15,205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Petrella is filed as an exhibit to the Form 3 filed with the Securities and Exchange Commission on November 20, 2020, which is hereby incorporated by reference.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Matthew J. Klaben,</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05/31/2022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641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2022-05-31T16:41:47Z</dcterms:created>
  <dcterms:modified xsi:type="dcterms:W3CDTF">2022-05-31T16:41:47Z</dcterms:modified>
</cp:coreProperties>
</file>