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GTCR INVESTMENT XI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Sotera Health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09/05/2025</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1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6"/>
                <w:szCs w:val="6"/>
                <w:color w:val="auto"/>
              </w:rPr>
            </w:pPr>
          </w:p>
        </w:tc>
        <w:tc>
          <w:tcPr>
            <w:tcW w:w="5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0" w:type="dxa"/>
            <w:vAlign w:val="bottom"/>
            <w:gridSpan w:val="3"/>
          </w:tcPr>
          <w:p>
            <w:pPr>
              <w:ind w:left="60"/>
              <w:spacing w:after="0" w:line="188" w:lineRule="exact"/>
              <w:rPr>
                <w:sz w:val="20"/>
                <w:szCs w:val="20"/>
                <w:color w:val="auto"/>
              </w:rPr>
            </w:pPr>
            <w:r>
              <w:rPr>
                <w:rFonts w:ascii="Arial" w:cs="Arial" w:eastAsia="Arial" w:hAnsi="Arial"/>
                <w:sz w:val="11"/>
                <w:szCs w:val="11"/>
                <w:b w:val="1"/>
                <w:bCs w:val="1"/>
                <w:color w:val="auto"/>
              </w:rPr>
              <w:t xml:space="preserve">(A) or  </w:t>
            </w:r>
            <w:r>
              <w:rPr>
                <w:rFonts w:ascii="Arial" w:cs="Arial" w:eastAsia="Arial" w:hAnsi="Arial"/>
                <w:sz w:val="21"/>
                <w:szCs w:val="21"/>
                <w:b w:val="1"/>
                <w:bCs w:val="1"/>
                <w:color w:val="auto"/>
                <w:vertAlign w:val="subscript"/>
              </w:rPr>
              <w:t>Price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7"/>
              </w:rPr>
              <w:t>(Instr. 3 and 4)</w:t>
            </w: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09/05/2025</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Pr>
          <w:p>
            <w:pPr>
              <w:spacing w:after="0"/>
              <w:rPr>
                <w:sz w:val="21"/>
                <w:szCs w:val="21"/>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8,000,000</w:t>
            </w:r>
            <w:r>
              <w:rPr>
                <w:rFonts w:ascii="Times New Roman" w:cs="Times New Roman" w:eastAsia="Times New Roman" w:hAnsi="Times New Roman"/>
                <w:sz w:val="22"/>
                <w:szCs w:val="22"/>
                <w:color w:val="008000"/>
                <w:vertAlign w:val="superscript"/>
              </w:rPr>
              <w:t>(1)</w:t>
            </w: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15.111</w:t>
            </w:r>
          </w:p>
        </w:tc>
        <w:tc>
          <w:tcPr>
            <w:tcW w:w="40" w:type="dxa"/>
            <w:vAlign w:val="bottom"/>
          </w:tcPr>
          <w:p>
            <w:pPr>
              <w:spacing w:after="0"/>
              <w:rPr>
                <w:sz w:val="21"/>
                <w:szCs w:val="21"/>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41,215,301</w:t>
            </w:r>
            <w:r>
              <w:rPr>
                <w:rFonts w:ascii="Times New Roman" w:cs="Times New Roman" w:eastAsia="Times New Roman" w:hAnsi="Times New Roman"/>
                <w:sz w:val="22"/>
                <w:szCs w:val="22"/>
                <w:color w:val="008000"/>
                <w:vertAlign w:val="superscript"/>
              </w:rPr>
              <w:t>(2)</w:t>
            </w:r>
          </w:p>
        </w:tc>
        <w:tc>
          <w:tcPr>
            <w:tcW w:w="6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w:t>
            </w:r>
            <w:r>
              <w:rPr>
                <w:rFonts w:ascii="Times New Roman" w:cs="Times New Roman" w:eastAsia="Times New Roman" w:hAnsi="Times New Roman"/>
                <w:sz w:val="11"/>
                <w:szCs w:val="11"/>
                <w:color w:val="008000"/>
              </w:rPr>
              <w:t>(3)(4)(5)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5"/>
            <w:vMerge w:val="continue"/>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gridSpan w:val="17"/>
          </w:tcPr>
          <w:p>
            <w:pPr>
              <w:ind w:lef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20" w:type="dxa"/>
            <w:vAlign w:val="bottom"/>
            <w:gridSpan w:val="14"/>
          </w:tcPr>
          <w:p>
            <w:pPr>
              <w:ind w:left="3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ind w:left="80"/>
              <w:spacing w:after="0"/>
              <w:rPr>
                <w:sz w:val="20"/>
                <w:szCs w:val="20"/>
                <w:color w:val="auto"/>
              </w:rPr>
            </w:pPr>
            <w:r>
              <w:rPr>
                <w:rFonts w:ascii="Arial" w:cs="Arial" w:eastAsia="Arial" w:hAnsi="Arial"/>
                <w:sz w:val="12"/>
                <w:szCs w:val="12"/>
                <w:b w:val="1"/>
                <w:bCs w:val="1"/>
                <w:color w:val="auto"/>
                <w:w w:val="95"/>
              </w:rPr>
              <w:t>(A)</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GTCR INVESTMENT XI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GTCR FUND XI/A LP</w:t>
              </w:r>
            </w:hyperlink>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GTCR FUND XI/C LP</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02"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-85090</wp:posOffset>
            </wp:positionV>
            <wp:extent cx="2809240" cy="4429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42976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GTCR CO-INVEST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GTCR PARTNERS XI/A&amp;C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5, 2025, the GTCR XI Funds (as defined below) sold a total of 8,000,000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left="20" w:right="2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32,711,677 shares of Common Stock held directly by GTCR Fund XI/A LP, a Delaware limited partnership ("Fund XI/A"), (ii) 8,241,453 shares of Common Stock held directly by GTCR Fund XI/C LP, a Delaware limited partnership ("Fund XI/C"), and (iii) 262,171 shares of Common Stock held directly by GTCR Co-Invest XI LP, a Delaware limited partnership ("Co-Invest XI", and together with Fund XI/A and Fund XI/C, the "GTCR XI Funds").</w:t>
      </w:r>
    </w:p>
    <w:p>
      <w:pPr>
        <w:spacing w:after="0" w:line="20" w:lineRule="exact"/>
        <w:rPr>
          <w:rFonts w:ascii="Times New Roman" w:cs="Times New Roman" w:eastAsia="Times New Roman" w:hAnsi="Times New Roman"/>
          <w:sz w:val="13"/>
          <w:szCs w:val="13"/>
          <w:color w:val="008000"/>
        </w:rPr>
      </w:pPr>
    </w:p>
    <w:p>
      <w:pPr>
        <w:jc w:val="both"/>
        <w:ind w:left="20" w:right="8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GTCR Partners XI/A&amp;C LP ("Partners XI/A&amp;C") is the general partner of each of Fund XI/A and Fund XI/C. GTCR Investment XI LLC ("Investment XI" and together with the GTCR XI Funds and Partners XI/A&amp;C, the "GTCR Entities"),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w:t>
      </w:r>
    </w:p>
    <w:p>
      <w:pPr>
        <w:spacing w:after="0" w:line="24"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GTCR Partners XI/A&amp;C, GTCR Investment XI and the GTCR Board of Managers may be deemed to share beneficial ownership of the shares of Common Stock held of record by the GTCR XI Funds, and each of the individual members of the GTCR Board of Managers disclaims beneficial ownership of the shares of Common Stock held of record by the GTCR XI Funds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is a director-by-deputization solely for purposes of Section 16 of the Exchange Act. Information with respect to each of the GTCR Entities is given solely by such GTCR Entity, and no GTCR Entity has responsibility for the accuracy or completeness of information supplied by another GTCR Entity.</w:t>
      </w:r>
    </w:p>
    <w:p>
      <w:pPr>
        <w:sectPr>
          <w:pgSz w:w="11900" w:h="16941" w:orient="portrait"/>
          <w:cols w:equalWidth="0" w:num="1">
            <w:col w:w="10860"/>
          </w:cols>
          <w:pgMar w:left="480" w:top="125" w:right="55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8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902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3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941" w:orient="portrait"/>
          <w:cols w:equalWidth="0" w:num="2">
            <w:col w:w="8640" w:space="120"/>
            <w:col w:w="2100"/>
          </w:cols>
          <w:pgMar w:left="480" w:top="125" w:right="55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61"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41" w:orient="portrait"/>
          <w:cols w:equalWidth="0" w:num="1">
            <w:col w:w="10860"/>
          </w:cols>
          <w:pgMar w:left="480" w:top="125" w:right="55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13" Type="http://schemas.openxmlformats.org/officeDocument/2006/relationships/hyperlink" Target="http://www.sec.gov/cgi-bin/browse-edgar?action=getcompany&amp;CIK=0001827977" TargetMode="External"/><Relationship Id="rId14" Type="http://schemas.openxmlformats.org/officeDocument/2006/relationships/hyperlink" Target="http://www.sec.gov/cgi-bin/browse-edgar?action=getcompany&amp;CIK=0001822479" TargetMode="External"/><Relationship Id="rId16" Type="http://schemas.openxmlformats.org/officeDocument/2006/relationships/hyperlink" Target="http://www.sec.gov/cgi-bin/browse-edgar?action=getcompany&amp;CIK=0001591434" TargetMode="External"/><Relationship Id="rId18" Type="http://schemas.openxmlformats.org/officeDocument/2006/relationships/hyperlink" Target="http://www.sec.gov/cgi-bin/browse-edgar?action=getcompany&amp;CIK=0001591436" TargetMode="External"/><Relationship Id="rId20" Type="http://schemas.openxmlformats.org/officeDocument/2006/relationships/hyperlink" Target="http://www.sec.gov/cgi-bin/browse-edgar?action=getcompany&amp;CIK=0001591432" TargetMode="External"/><Relationship Id="rId21" Type="http://schemas.openxmlformats.org/officeDocument/2006/relationships/hyperlink" Target="http://www.sec.gov/cgi-bin/browse-edgar?action=getcompany&amp;CIK=0001828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2025-09-09T19:51:43Z</dcterms:created>
  <dcterms:modified xsi:type="dcterms:W3CDTF">2025-09-09T19:51:43Z</dcterms:modified>
</cp:coreProperties>
</file>