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WARBURG PINCUS &amp; CO.</w:t>
              </w:r>
            </w:hyperlink>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Sotera Health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0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60" w:type="dxa"/>
            <w:vAlign w:val="bottom"/>
          </w:tcPr>
          <w:p>
            <w:pPr>
              <w:spacing w:after="0"/>
              <w:rPr>
                <w:sz w:val="2"/>
                <w:szCs w:val="2"/>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450 LEXINGTON AVENUE</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gridSpan w:val="11"/>
          </w:tcPr>
          <w:p>
            <w:pPr>
              <w:ind w:left="300"/>
              <w:spacing w:after="0"/>
              <w:rPr>
                <w:sz w:val="20"/>
                <w:szCs w:val="20"/>
                <w:color w:val="auto"/>
              </w:rPr>
            </w:pPr>
            <w:r>
              <w:rPr>
                <w:rFonts w:ascii="Arial" w:cs="Arial" w:eastAsia="Arial" w:hAnsi="Arial"/>
                <w:sz w:val="17"/>
                <w:szCs w:val="17"/>
                <w:color w:val="0000FF"/>
              </w:rPr>
              <w:t>03/22/2021</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10"/>
            <w:vMerge w:val="continue"/>
          </w:tcPr>
          <w:p>
            <w:pPr>
              <w:spacing w:after="0"/>
              <w:rPr>
                <w:sz w:val="13"/>
                <w:szCs w:val="13"/>
                <w:color w:val="auto"/>
              </w:rPr>
            </w:pPr>
          </w:p>
        </w:tc>
        <w:tc>
          <w:tcPr>
            <w:tcW w:w="33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tcPr>
          <w:p>
            <w:pPr>
              <w:spacing w:after="0" w:line="120" w:lineRule="exact"/>
              <w:rPr>
                <w:sz w:val="20"/>
                <w:szCs w:val="20"/>
                <w:color w:val="auto"/>
              </w:rPr>
            </w:pPr>
            <w:r>
              <w:rPr>
                <w:rFonts w:ascii="Arial" w:cs="Arial" w:eastAsia="Arial" w:hAnsi="Arial"/>
                <w:sz w:val="13"/>
                <w:szCs w:val="13"/>
                <w:color w:val="auto"/>
              </w:rPr>
              <w:t>Line)</w:t>
            </w: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NY</w:t>
            </w:r>
          </w:p>
        </w:tc>
        <w:tc>
          <w:tcPr>
            <w:tcW w:w="1680" w:type="dxa"/>
            <w:vAlign w:val="bottom"/>
            <w:gridSpan w:val="2"/>
          </w:tcPr>
          <w:p>
            <w:pPr>
              <w:ind w:left="600"/>
              <w:spacing w:after="0"/>
              <w:rPr>
                <w:sz w:val="20"/>
                <w:szCs w:val="20"/>
                <w:color w:val="auto"/>
              </w:rPr>
            </w:pPr>
            <w:r>
              <w:rPr>
                <w:rFonts w:ascii="Arial" w:cs="Arial" w:eastAsia="Arial" w:hAnsi="Arial"/>
                <w:sz w:val="17"/>
                <w:szCs w:val="17"/>
                <w:color w:val="0000FF"/>
              </w:rPr>
              <w:t>NY</w:t>
            </w:r>
          </w:p>
        </w:tc>
        <w:tc>
          <w:tcPr>
            <w:tcW w:w="1200" w:type="dxa"/>
            <w:vAlign w:val="bottom"/>
            <w:gridSpan w:val="3"/>
          </w:tcPr>
          <w:p>
            <w:pPr>
              <w:ind w:left="140"/>
              <w:spacing w:after="0"/>
              <w:rPr>
                <w:sz w:val="20"/>
                <w:szCs w:val="20"/>
                <w:color w:val="auto"/>
              </w:rPr>
            </w:pPr>
            <w:r>
              <w:rPr>
                <w:rFonts w:ascii="Arial" w:cs="Arial" w:eastAsia="Arial" w:hAnsi="Arial"/>
                <w:sz w:val="17"/>
                <w:szCs w:val="17"/>
                <w:color w:val="0000FF"/>
              </w:rPr>
              <w:t>100173147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98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9"/>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320" w:type="dxa"/>
            <w:vAlign w:val="bottom"/>
          </w:tcPr>
          <w:p>
            <w:pPr>
              <w:spacing w:after="0"/>
              <w:rPr>
                <w:sz w:val="15"/>
                <w:szCs w:val="15"/>
                <w:color w:val="auto"/>
              </w:rPr>
            </w:pP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9"/>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30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5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320" w:type="dxa"/>
            <w:vAlign w:val="bottom"/>
          </w:tcPr>
          <w:p>
            <w:pPr>
              <w:spacing w:after="0"/>
              <w:rPr>
                <w:sz w:val="11"/>
                <w:szCs w:val="11"/>
                <w:color w:val="auto"/>
              </w:rPr>
            </w:pP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8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5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26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(Instr. 3 and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4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4"/>
          </w:tcPr>
          <w:p>
            <w:pPr>
              <w:ind w:left="60"/>
              <w:spacing w:after="0"/>
              <w:rPr>
                <w:sz w:val="20"/>
                <w:szCs w:val="20"/>
                <w:color w:val="auto"/>
              </w:rPr>
            </w:pPr>
            <w:r>
              <w:rPr>
                <w:rFonts w:ascii="Arial" w:cs="Arial" w:eastAsia="Arial" w:hAnsi="Arial"/>
                <w:sz w:val="17"/>
                <w:szCs w:val="17"/>
                <w:color w:val="0000FF"/>
                <w:w w:val="95"/>
              </w:rPr>
              <w:t>Common Stock, $0.01 par value</w:t>
            </w:r>
          </w:p>
        </w:tc>
        <w:tc>
          <w:tcPr>
            <w:tcW w:w="1200" w:type="dxa"/>
            <w:vAlign w:val="bottom"/>
            <w:gridSpan w:val="3"/>
            <w:vMerge w:val="restart"/>
          </w:tcPr>
          <w:p>
            <w:pPr>
              <w:ind w:left="200"/>
              <w:spacing w:after="0"/>
              <w:rPr>
                <w:sz w:val="20"/>
                <w:szCs w:val="20"/>
                <w:color w:val="auto"/>
              </w:rPr>
            </w:pPr>
            <w:r>
              <w:rPr>
                <w:rFonts w:ascii="Arial" w:cs="Arial" w:eastAsia="Arial" w:hAnsi="Arial"/>
                <w:sz w:val="17"/>
                <w:szCs w:val="17"/>
                <w:color w:val="0000FF"/>
              </w:rPr>
              <w:t>03/22/2021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150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6"/>
              </w:rPr>
              <w:t>13,512,582</w:t>
            </w:r>
            <w:r>
              <w:rPr>
                <w:rFonts w:ascii="Arial" w:cs="Arial" w:eastAsia="Arial" w:hAnsi="Arial"/>
                <w:sz w:val="22"/>
                <w:szCs w:val="22"/>
                <w:color w:val="008000"/>
                <w:w w:val="96"/>
                <w:vertAlign w:val="superscript"/>
              </w:rPr>
              <w:t>(1)</w:t>
            </w:r>
            <w:r>
              <w:rPr>
                <w:rFonts w:ascii="Arial" w:cs="Arial" w:eastAsia="Arial" w:hAnsi="Arial"/>
                <w:sz w:val="17"/>
                <w:szCs w:val="17"/>
                <w:color w:val="0000FF"/>
                <w:w w:val="96"/>
              </w:rPr>
              <w:t xml:space="preserve">    D</w:t>
            </w:r>
          </w:p>
        </w:tc>
        <w:tc>
          <w:tcPr>
            <w:tcW w:w="860" w:type="dxa"/>
            <w:vAlign w:val="bottom"/>
            <w:gridSpan w:val="2"/>
            <w:vMerge w:val="restart"/>
          </w:tcPr>
          <w:p>
            <w:pPr>
              <w:ind w:left="1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26.1225</w:t>
            </w:r>
          </w:p>
        </w:tc>
        <w:tc>
          <w:tcPr>
            <w:tcW w:w="1180" w:type="dxa"/>
            <w:vAlign w:val="bottom"/>
            <w:gridSpan w:val="5"/>
            <w:vMerge w:val="restart"/>
          </w:tcPr>
          <w:p>
            <w:pPr>
              <w:ind w:left="120"/>
              <w:spacing w:after="0"/>
              <w:rPr>
                <w:sz w:val="20"/>
                <w:szCs w:val="20"/>
                <w:color w:val="auto"/>
              </w:rPr>
            </w:pPr>
            <w:r>
              <w:rPr>
                <w:rFonts w:ascii="Arial" w:cs="Arial" w:eastAsia="Arial" w:hAnsi="Arial"/>
                <w:sz w:val="17"/>
                <w:szCs w:val="17"/>
                <w:color w:val="0000FF"/>
                <w:w w:val="92"/>
              </w:rPr>
              <w:t>105,417,315</w:t>
            </w:r>
            <w:r>
              <w:rPr>
                <w:rFonts w:ascii="Arial" w:cs="Arial" w:eastAsia="Arial" w:hAnsi="Arial"/>
                <w:sz w:val="22"/>
                <w:szCs w:val="22"/>
                <w:color w:val="008000"/>
                <w:w w:val="92"/>
                <w:vertAlign w:val="superscript"/>
              </w:rPr>
              <w:t>(2)</w:t>
            </w:r>
          </w:p>
        </w:tc>
        <w:tc>
          <w:tcPr>
            <w:tcW w:w="56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4"/>
            <w:vMerge w:val="restart"/>
          </w:tcPr>
          <w:p>
            <w:pPr>
              <w:ind w:left="60"/>
              <w:spacing w:after="0"/>
              <w:rPr>
                <w:sz w:val="20"/>
                <w:szCs w:val="20"/>
                <w:color w:val="auto"/>
              </w:rPr>
            </w:pPr>
            <w:r>
              <w:rPr>
                <w:rFonts w:ascii="Arial" w:cs="Arial" w:eastAsia="Arial" w:hAnsi="Arial"/>
                <w:sz w:val="17"/>
                <w:szCs w:val="17"/>
                <w:color w:val="0000FF"/>
              </w:rPr>
              <w:t>per share ("Common Stock")</w:t>
            </w: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5"/>
                <w:vertAlign w:val="subscript"/>
              </w:rPr>
              <w:t>Footnote</w:t>
            </w:r>
            <w:r>
              <w:rPr>
                <w:rFonts w:ascii="Arial" w:cs="Arial" w:eastAsia="Arial" w:hAnsi="Arial"/>
                <w:sz w:val="11"/>
                <w:szCs w:val="11"/>
                <w:color w:val="008000"/>
                <w:w w:val="95"/>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400" w:type="dxa"/>
            <w:vAlign w:val="bottom"/>
            <w:tcBorders>
              <w:bottom w:val="single" w:sz="8" w:color="2C2C2C"/>
            </w:tcBorders>
            <w:gridSpan w:val="4"/>
            <w:vMerge w:val="continue"/>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500" w:type="dxa"/>
            <w:vAlign w:val="bottom"/>
            <w:gridSpan w:val="23"/>
          </w:tcPr>
          <w:p>
            <w:pPr>
              <w:jc w:val="center"/>
              <w:ind w:right="2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60" w:type="dxa"/>
            <w:vAlign w:val="bottom"/>
            <w:gridSpan w:val="19"/>
          </w:tcPr>
          <w:p>
            <w:pPr>
              <w:jc w:val="center"/>
              <w:ind w:right="9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6"/>
          </w:tcPr>
          <w:p>
            <w:pPr>
              <w:ind w:left="2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10.</w:t>
            </w:r>
          </w:p>
        </w:tc>
        <w:tc>
          <w:tcPr>
            <w:tcW w:w="54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11"/>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0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WARBURG PINCUS &amp; CO.</w:t>
              </w:r>
            </w:hyperlink>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450 LEXINGTON AVENUE</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5"/>
          </w:tcPr>
          <w:p>
            <w:pPr>
              <w:ind w:left="500"/>
              <w:spacing w:after="0"/>
              <w:rPr>
                <w:sz w:val="20"/>
                <w:szCs w:val="20"/>
                <w:color w:val="auto"/>
              </w:rPr>
            </w:pPr>
            <w:r>
              <w:rPr>
                <w:rFonts w:ascii="Arial" w:cs="Arial" w:eastAsia="Arial" w:hAnsi="Arial"/>
                <w:sz w:val="17"/>
                <w:szCs w:val="17"/>
                <w:color w:val="0000FF"/>
                <w:w w:val="96"/>
              </w:rPr>
              <w:t>100173147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Warburg Pincus Private Equity XI-C, L.P.</w:t>
              </w:r>
            </w:hyperlink>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w w:val="99"/>
              </w:rPr>
              <w:t>C/O WARBURG PINCUS LLC</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450 LEXINGTON AVENUE</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200" w:type="dxa"/>
            <w:vAlign w:val="bottom"/>
            <w:gridSpan w:val="3"/>
          </w:tcPr>
          <w:p>
            <w:pPr>
              <w:ind w:left="500"/>
              <w:spacing w:after="0"/>
              <w:rPr>
                <w:sz w:val="20"/>
                <w:szCs w:val="20"/>
                <w:color w:val="auto"/>
              </w:rPr>
            </w:pPr>
            <w:r>
              <w:rPr>
                <w:rFonts w:ascii="Arial" w:cs="Arial" w:eastAsia="Arial" w:hAnsi="Arial"/>
                <w:sz w:val="17"/>
                <w:szCs w:val="17"/>
                <w:color w:val="0000FF"/>
              </w:rPr>
              <w:t>10017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Warburg Pincus (Cayman) XI, L.P.</w:t>
              </w:r>
            </w:hyperlink>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WARBURG PINCUS LLC</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135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8135620"/>
                    </a:xfrm>
                    <a:prstGeom prst="rect">
                      <a:avLst/>
                    </a:prstGeom>
                    <a:noFill/>
                  </pic:spPr>
                </pic:pic>
              </a:graphicData>
            </a:graphic>
          </wp:anchor>
        </w:drawing>
        <w:t>450 LEXINGTON AVENUE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Warburg Pincus XI-C,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Warburg Pincus Partners II (Cayman),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450 LEXINGTON AVENUE</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C/O WARBURG PINCUS LLC</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340" w:type="dxa"/>
            <w:vAlign w:val="bottom"/>
          </w:tcPr>
          <w:p>
            <w:pPr>
              <w:ind w:left="220"/>
              <w:spacing w:after="0"/>
              <w:rPr>
                <w:sz w:val="20"/>
                <w:szCs w:val="20"/>
                <w:color w:val="auto"/>
              </w:rPr>
            </w:pPr>
            <w:r>
              <w:rPr>
                <w:rFonts w:ascii="Arial" w:cs="Arial" w:eastAsia="Arial" w:hAnsi="Arial"/>
                <w:sz w:val="17"/>
                <w:szCs w:val="17"/>
                <w:color w:val="0000FF"/>
              </w:rPr>
              <w:t>NY</w:t>
            </w:r>
          </w:p>
        </w:tc>
        <w:tc>
          <w:tcPr>
            <w:tcW w:w="1640" w:type="dxa"/>
            <w:vAlign w:val="bottom"/>
          </w:tcPr>
          <w:p>
            <w:pPr>
              <w:ind w:left="28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Warburg Pincus (Bermuda) Private Equity GP</w:t>
        </w:r>
      </w:hyperlink>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Ltd.</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WARBURG PINCUS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450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22, 2021, certain of the Warburg Pincus Entities (as defined below) sold a total of 13,512,582 shares of Common Stock of Sotera Health Company (the "Issuer") in an underwritten public secondary offering (the "Offering").</w:t>
      </w:r>
    </w:p>
    <w:p>
      <w:pPr>
        <w:spacing w:after="0" w:line="1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Offering, consists of (i) 84,093,443 shares of Common Stock of the Issuer held by Warburg Pincus Private Equity XI, L.P., Warburg Pincus XI Partners, L.P., WP XI Partners, L.P., Warburg Pincus Private Equity XI-B, L.P. (collectively, the "WP XI Funds"), (ii) 269,963 shares of Common Stock of the Issuer held by Warburg Pincus Private Equity XI-C, L.P. ("WP XI-C") and (iii) 21,053,909 shares of Common Stock of the Issuer held by Bull Co-Invest L.P., a Delaware limited partnership ("Bull Co-Invest").</w:t>
      </w:r>
    </w:p>
    <w:p>
      <w:pPr>
        <w:spacing w:after="0" w:line="25" w:lineRule="exact"/>
        <w:rPr>
          <w:rFonts w:ascii="Arial" w:cs="Arial" w:eastAsia="Arial" w:hAnsi="Arial"/>
          <w:sz w:val="13"/>
          <w:szCs w:val="13"/>
          <w:color w:val="008000"/>
        </w:rPr>
      </w:pPr>
    </w:p>
    <w:p>
      <w:pPr>
        <w:ind w:left="20" w:right="40" w:firstLine="7"/>
        <w:spacing w:after="0" w:line="26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Warburg Pincus XI, L.P., a Delaware limited partnership ("WP XI LP"), is the general partner of the WP XI Funds. WP Global LLC ("WP Global"), is the general partner of WP XI LP. Warburg Pincus Partners II, L.P. ("WPP II") is the managing member of WP Global. Warburg Pincus Partners GP LLC ("WPP GP LLC") is the general partner of WPP II. Warburg Pincus &amp; Co. ("WP") is the managing member of WPP GP LLC. Warburg Pincus (Cayman) XI, L.P. ("WP Cayman") is the general partner of WP XI-C. Warburg Pincus XI-C, LLC ("Warburg Pincus XI-C") is the general partner of WP Cayman. Warburg Pincus Partners II (Cayman), L.P. ("WPP II Cayman") is the managing member of Warburg Pincus XI-C. Warburg Pincus (Bermuda) Private Equity GP Ltd. ("Warburg Pincus (Bermuda)") is the general partner of WPP II Cayman. WP Bull Manager, LLC ("WP Bull Manager") is the general partner of Bull Co-Invest. WP is the managing member of WP Bull Manager, LLC.</w:t>
      </w:r>
    </w:p>
    <w:p>
      <w:pPr>
        <w:spacing w:after="0" w:line="15" w:lineRule="exact"/>
        <w:rPr>
          <w:rFonts w:ascii="Arial" w:cs="Arial" w:eastAsia="Arial" w:hAnsi="Arial"/>
          <w:sz w:val="12"/>
          <w:szCs w:val="12"/>
          <w:color w:val="008000"/>
        </w:rPr>
      </w:pPr>
    </w:p>
    <w:p>
      <w:pPr>
        <w:ind w:left="20" w:right="4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Warburg Pincus LLC ("WP LLC") is the manager of the WP XI Funds and WP XI-C. The WP XI Funds, Bull Co-Invest, WP XI-C, WP XI LP, WP Global, WPP II, WPP GP LLC, WP Cayman, Warburg Pincus XI-C, WPP II Cayman, Warburg Pincus (Bermuda), WP Bull Manager, WP LLC and WP are collectively referred to herein as the "Warburg Pincus Entities."</w:t>
      </w:r>
    </w:p>
    <w:p>
      <w:pPr>
        <w:spacing w:after="0" w:line="15" w:lineRule="exact"/>
        <w:rPr>
          <w:rFonts w:ascii="Arial" w:cs="Arial" w:eastAsia="Arial" w:hAnsi="Arial"/>
          <w:sz w:val="13"/>
          <w:szCs w:val="13"/>
          <w:color w:val="008000"/>
        </w:rPr>
      </w:pPr>
    </w:p>
    <w:p>
      <w:pPr>
        <w:ind w:left="20" w:right="10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Warburg Pincus Entity disclaims beneficial ownership with respect to any shares of Common Stock of the Issuer, except to the extent of its pecuniary interest in such shares of Common Stock, if any. The WP XI Funds, WP XI-C, Bull Co-Invest, WP XI LP, WP Global, WPP II, WPP GP LLC, WP, WP Cayman, WPP II Cayman, Warburg Pincus (Bermuda), Warburg Pincus XI-C and WP Bull Manager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00"/>
          </w:cols>
          <w:pgMar w:left="480" w:top="171" w:right="519" w:bottom="0" w:gutter="0" w:footer="0" w:header="0"/>
        </w:sectPr>
      </w:pPr>
    </w:p>
    <w:p>
      <w:pPr>
        <w:spacing w:after="0" w:line="68" w:lineRule="exact"/>
        <w:rPr>
          <w:sz w:val="20"/>
          <w:szCs w:val="20"/>
          <w:color w:val="auto"/>
        </w:rPr>
      </w:pPr>
    </w:p>
    <w:p>
      <w:pPr>
        <w:ind w:left="20"/>
        <w:spacing w:after="0" w:line="250" w:lineRule="auto"/>
        <w:rPr>
          <w:sz w:val="20"/>
          <w:szCs w:val="20"/>
          <w:color w:val="auto"/>
        </w:rPr>
      </w:pPr>
      <w:r>
        <w:rPr>
          <w:rFonts w:ascii="Arial" w:cs="Arial" w:eastAsia="Arial" w:hAnsi="Arial"/>
          <w:sz w:val="13"/>
          <w:szCs w:val="13"/>
          <w:color w:val="008000"/>
        </w:rPr>
        <w:t>Form 2 of 2. Two reports are filed that relate to the same transactions. See Form 1 of 2 for additional reporting entities. Note: File three copies of this Form, one of which must be manually signed. If space is insufficient, see Instruction 6 for procedure. Potential persons who are to respond to the collection of information contained in this form are not required to respond unless the form displays a currently valid OMB number.</w:t>
      </w:r>
    </w:p>
    <w:p>
      <w:pPr>
        <w:sectPr>
          <w:pgSz w:w="11900" w:h="16838" w:orient="portrait"/>
          <w:cols w:equalWidth="0" w:num="1">
            <w:col w:w="10900"/>
          </w:cols>
          <w:pgMar w:left="480" w:top="171"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6"/>
          <w:szCs w:val="16"/>
          <w:color w:val="0000FF"/>
        </w:rPr>
        <w:t>/s/ Harsha Marti, as Partner of 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Warburg Pincus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7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ectPr>
          <w:pgSz w:w="11900" w:h="16838" w:orient="portrait"/>
          <w:cols w:equalWidth="0" w:num="1">
            <w:col w:w="10180"/>
          </w:cols>
          <w:pgMar w:left="500" w:top="131" w:right="1219" w:bottom="1440" w:gutter="0" w:footer="0" w:header="0"/>
        </w:sectPr>
      </w:pPr>
    </w:p>
    <w:p>
      <w:pPr>
        <w:spacing w:after="0" w:line="6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Harsha Marti,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1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Authorised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the general partner of WPP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Cayman, the sole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7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Warburg Pincus XI-C,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3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of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3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Pincus Cayman,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Private Equity XI-C,LP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Harsha Marti,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1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Authorised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2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the general partner of WPP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Cayman, the sole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74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Warburg Pincus XI-C,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3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of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Pincus (Cayman)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Harsha Marti,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10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Authorised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2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the general partner of WPP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Cayman, the sole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7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Warburg Pincus XI-C,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72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Harsha Marti,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10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Authorised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2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the general partner of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1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Pincus Partners 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6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Harsha Marti,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1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Authorised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4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Private Equity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8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9" w:lineRule="exact"/>
        <w:rPr>
          <w:sz w:val="20"/>
          <w:szCs w:val="20"/>
          <w:color w:val="auto"/>
        </w:rPr>
      </w:pPr>
    </w:p>
    <w:p>
      <w:pPr>
        <w:sectPr>
          <w:pgSz w:w="11900" w:h="16838" w:orient="portrait"/>
          <w:cols w:equalWidth="0" w:num="2">
            <w:col w:w="8680" w:space="60"/>
            <w:col w:w="1440"/>
          </w:cols>
          <w:pgMar w:left="500" w:top="131" w:right="121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Harsha Marti, Managing</w:t>
            </w:r>
          </w:p>
        </w:tc>
        <w:tc>
          <w:tcPr>
            <w:tcW w:w="2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03/24/2021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5"/>
              </w:rPr>
              <w:t>Director, Warburg Pincus LLC</w:t>
            </w:r>
          </w:p>
        </w:tc>
        <w:tc>
          <w:tcPr>
            <w:tcW w:w="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12" Type="http://schemas.openxmlformats.org/officeDocument/2006/relationships/hyperlink" Target="http://www.sec.gov/cgi-bin/browse-edgar?action=getcompany&amp;CIK=0000929408" TargetMode="External"/><Relationship Id="rId13" Type="http://schemas.openxmlformats.org/officeDocument/2006/relationships/hyperlink" Target="http://www.sec.gov/cgi-bin/browse-edgar?action=getcompany&amp;CIK=0001822479" TargetMode="External"/><Relationship Id="rId14" Type="http://schemas.openxmlformats.org/officeDocument/2006/relationships/hyperlink" Target="http://www.sec.gov/cgi-bin/browse-edgar?action=getcompany&amp;CIK=0001550877" TargetMode="External"/><Relationship Id="rId15" Type="http://schemas.openxmlformats.org/officeDocument/2006/relationships/hyperlink" Target="http://www.sec.gov/cgi-bin/browse-edgar?action=getcompany&amp;CIK=0001554853" TargetMode="External"/><Relationship Id="rId18" Type="http://schemas.openxmlformats.org/officeDocument/2006/relationships/hyperlink" Target="http://www.sec.gov/cgi-bin/browse-edgar?action=getcompany&amp;CIK=0001554852" TargetMode="External"/><Relationship Id="rId19" Type="http://schemas.openxmlformats.org/officeDocument/2006/relationships/hyperlink" Target="http://www.sec.gov/cgi-bin/browse-edgar?action=getcompany&amp;CIK=0001658820" TargetMode="External"/><Relationship Id="rId20" Type="http://schemas.openxmlformats.org/officeDocument/2006/relationships/hyperlink" Target="http://www.sec.gov/cgi-bin/browse-edgar?action=getcompany&amp;CIK=0001555729" TargetMode="External"/><Relationship Id="rId21" Type="http://schemas.openxmlformats.org/officeDocument/2006/relationships/hyperlink" Target="http://www.sec.gov/cgi-bin/browse-edgar?action=getcompany&amp;CIK=00011628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2021-03-25T20:03:51Z</dcterms:created>
  <dcterms:modified xsi:type="dcterms:W3CDTF">2021-03-25T20:03:51Z</dcterms:modified>
</cp:coreProperties>
</file>