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 2023</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2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6"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86"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7"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13"/>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5"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November 1, 2023, Sotera Health Company (the “Company”) issued a press release (the “Press Release”) announcing its financial results for the quarter ended September 30, 2023. The Company will hold its previously announced conference call on November 1, 2023, at 9:00 a.m. Eastern Time to discuss its financial results for the quarter. A copy of the Press Release is attached hereto as Exhibit 99.1 and is incorporated herein by reference.</w:t>
      </w:r>
    </w:p>
    <w:p>
      <w:pPr>
        <w:spacing w:after="0" w:line="8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Exhibit Number</w:t>
            </w:r>
          </w:p>
        </w:tc>
        <w:tc>
          <w:tcPr>
            <w:tcW w:w="20" w:type="dxa"/>
            <w:vAlign w:val="bottom"/>
          </w:tcPr>
          <w:p>
            <w:pPr>
              <w:spacing w:after="0"/>
              <w:rPr>
                <w:sz w:val="15"/>
                <w:szCs w:val="15"/>
                <w:color w:val="auto"/>
              </w:rPr>
            </w:pPr>
          </w:p>
        </w:tc>
        <w:tc>
          <w:tcPr>
            <w:tcW w:w="98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39"/>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Arial" w:cs="Arial" w:eastAsia="Arial" w:hAnsi="Arial"/>
                <w:sz w:val="18"/>
                <w:szCs w:val="18"/>
                <w:color w:val="0000FF"/>
              </w:rPr>
              <w:t>Press Release, dated November 1, 2023</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top w:val="single" w:sz="8" w:color="0000FF"/>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0720"/>
          </w:cols>
          <w:pgMar w:left="320" w:top="1012" w:right="859" w:bottom="1440" w:gutter="0" w:footer="0" w:header="0"/>
        </w:sectPr>
      </w:pPr>
    </w:p>
    <w:bookmarkStart w:id="3" w:name="page4"/>
    <w:bookmarkEnd w:id="3"/>
    <w:p>
      <w:pPr>
        <w:ind w:left="9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Sotera Health Reports Third-Quarter and Year-to-Date 2023 Results</w:t>
      </w:r>
    </w:p>
    <w:p>
      <w:pPr>
        <w:spacing w:after="0" w:line="33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2023 net revenues of $263 million increased 6%, compared to Q3 2022</w:t>
      </w:r>
    </w:p>
    <w:p>
      <w:pPr>
        <w:spacing w:after="0" w:line="25" w:lineRule="exact"/>
        <w:rPr>
          <w:rFonts w:ascii="Arial" w:cs="Arial" w:eastAsia="Arial" w:hAnsi="Arial"/>
          <w:sz w:val="22"/>
          <w:szCs w:val="22"/>
          <w:b w:val="1"/>
          <w:bCs w:val="1"/>
          <w:i w:val="1"/>
          <w:iCs w:val="1"/>
          <w:color w:val="auto"/>
        </w:rPr>
      </w:pPr>
    </w:p>
    <w:p>
      <w:pPr>
        <w:ind w:left="660" w:right="120" w:hanging="328"/>
        <w:spacing w:after="0" w:line="249"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2023 net loss of $14 million or $0.05 per diluted share, compared to net income of $25 million or $0.09 per diluted share in Q3 2022</w:t>
      </w:r>
    </w:p>
    <w:p>
      <w:pPr>
        <w:spacing w:after="0" w:line="1" w:lineRule="exact"/>
        <w:rPr>
          <w:rFonts w:ascii="Arial" w:cs="Arial" w:eastAsia="Arial" w:hAnsi="Arial"/>
          <w:sz w:val="22"/>
          <w:szCs w:val="22"/>
          <w:b w:val="1"/>
          <w:bCs w:val="1"/>
          <w:i w:val="1"/>
          <w:iCs w:val="1"/>
          <w:color w:val="auto"/>
        </w:rPr>
      </w:pPr>
    </w:p>
    <w:p>
      <w:pPr>
        <w:ind w:left="660" w:hanging="328"/>
        <w:spacing w:after="0"/>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2023 Adjusted EBITDA of $134 million increased 7%, compared to Q3 2022</w:t>
      </w:r>
    </w:p>
    <w:p>
      <w:pPr>
        <w:spacing w:after="0" w:line="3" w:lineRule="exact"/>
        <w:rPr>
          <w:rFonts w:ascii="Arial" w:cs="Arial" w:eastAsia="Arial" w:hAnsi="Arial"/>
          <w:sz w:val="22"/>
          <w:szCs w:val="22"/>
          <w:b w:val="1"/>
          <w:bCs w:val="1"/>
          <w:i w:val="1"/>
          <w:iCs w:val="1"/>
          <w:color w:val="auto"/>
        </w:rPr>
      </w:pPr>
    </w:p>
    <w:p>
      <w:pPr>
        <w:ind w:left="660" w:right="500" w:hanging="328"/>
        <w:spacing w:after="0" w:line="243"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2023 Adjusted EPS of $0.21 decreased $0.02 per diluted share, compared to Q3 2022 driven by higher interest expense</w:t>
      </w:r>
    </w:p>
    <w:p>
      <w:pPr>
        <w:ind w:left="660" w:hanging="328"/>
        <w:spacing w:after="0"/>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reafrms 2023 outlook, antcipates results at the lower end of the range</w:t>
      </w:r>
    </w:p>
    <w:p>
      <w:pPr>
        <w:spacing w:after="0" w:line="200" w:lineRule="exact"/>
        <w:rPr>
          <w:sz w:val="20"/>
          <w:szCs w:val="20"/>
          <w:color w:val="auto"/>
        </w:rPr>
      </w:pPr>
    </w:p>
    <w:p>
      <w:pPr>
        <w:spacing w:after="0" w:line="234"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b w:val="1"/>
          <w:bCs w:val="1"/>
          <w:color w:val="auto"/>
        </w:rPr>
        <w:t xml:space="preserve">CLEVELAND, OH, November 1, 2023 </w:t>
      </w:r>
      <w:r>
        <w:rPr>
          <w:rFonts w:ascii="Arial" w:cs="Arial" w:eastAsia="Arial" w:hAnsi="Arial"/>
          <w:sz w:val="20"/>
          <w:szCs w:val="20"/>
          <w:color w:val="auto"/>
        </w:rPr>
        <w:t>– Sotera Health Company (“Sotera Health” or the “Company”) (Nasdaq: SHC), a leading global provider</w:t>
      </w:r>
      <w:r>
        <w:rPr>
          <w:rFonts w:ascii="Arial" w:cs="Arial" w:eastAsia="Arial" w:hAnsi="Arial"/>
          <w:sz w:val="20"/>
          <w:szCs w:val="20"/>
          <w:b w:val="1"/>
          <w:bCs w:val="1"/>
          <w:color w:val="auto"/>
        </w:rPr>
        <w:t xml:space="preserve"> </w:t>
      </w:r>
      <w:r>
        <w:rPr>
          <w:rFonts w:ascii="Arial" w:cs="Arial" w:eastAsia="Arial" w:hAnsi="Arial"/>
          <w:sz w:val="20"/>
          <w:szCs w:val="20"/>
          <w:color w:val="auto"/>
        </w:rPr>
        <w:t>of mission-critcal end-to-end sterilizaton solutons, lab testng and advisory services for the healthcare industry, today announced fnancial results for the three and nine months ended September 30, 2023.</w:t>
      </w:r>
    </w:p>
    <w:p>
      <w:pPr>
        <w:spacing w:after="0" w:line="179" w:lineRule="exact"/>
        <w:rPr>
          <w:sz w:val="20"/>
          <w:szCs w:val="20"/>
          <w:color w:val="auto"/>
        </w:rPr>
      </w:pPr>
    </w:p>
    <w:p>
      <w:pPr>
        <w:ind w:right="160"/>
        <w:spacing w:after="0" w:line="252" w:lineRule="auto"/>
        <w:rPr>
          <w:sz w:val="20"/>
          <w:szCs w:val="20"/>
          <w:color w:val="auto"/>
        </w:rPr>
      </w:pPr>
      <w:r>
        <w:rPr>
          <w:rFonts w:ascii="Arial" w:cs="Arial" w:eastAsia="Arial" w:hAnsi="Arial"/>
          <w:sz w:val="20"/>
          <w:szCs w:val="20"/>
          <w:color w:val="auto"/>
        </w:rPr>
        <w:t>Third-quarter 2023 net revenues increased 5.8% to $263 million, compared with $249 million in the third-quarter 2022. Net loss was $14 million, or $0.05 per diluted share, including a previously disclosed legal setlement of $35 million. This compares with net income of $25 million, or $0.09 per diluted share in the third-quarter of 2022. Adjusted EBITDA for the third-quarter 2023 increased 7.3% to $134 million compared to $125 million in the third-quarter 2022. Third-quarter 2023 Adjusted Earnings Per Diluted Share (“Adjusted EPS”) was $0.21, compared to $0.23 in the third-quarter of 2022 driven by higher interest expense. Please refer to the secton “Non-GAAP Financial Measures” provided later in this release.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For the frst nine-months of 2023, net revenues decreased 1.7% to $739 million, compared to $752 million for the same period in 2022. Net revenues also decreased approximately 1.7% on a constant currency basis. Net income was $13 million, or $0.04 per diluted share for the nine-months ended September 30, 2023, compared with net income of $86 million, or $0.31 per diluted share, for the same period last year. Adjusted EBITDA for the frst nine-months of 2023 decreased 4.1% to $361 million and Adjusted EPS decreased by $0.17 to $0.55 compared to the frst nine-months of 2022. Please refer to the secton “Non-GAAP Financial Measures” provided later in this release.</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“Today I am pleased to report both top and botom-line growth for the third quarter-2023,” said Chairman and Chief Executve Ofcer, Michael B. Petras, Jr. “Our ability to grow revenue, improve margin performance and generate cash in a challenging market is a testament to the resilience of our business model. Our team remains focused on serving our customers and executng our strategy while delivering on our mission of Safeguarding Global Health®.”</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and Year-to-Date 2023 Highlights by Business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94"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color w:val="auto"/>
        </w:rPr>
        <w:t>For the third-quarter 2023, Sterigenics’ net revenues were $168 million, an increase of 6.7% compared to the third-quarter a year ago. Third-quarter 2023 segment income was $93 million, an increase of 8.9%. For the frst nine-months of 2023, Sterigenics’ net revenues were $495 million, an increase of 6.4% compared to the same period in 2022. Segment income increased 6.9% to $267 million.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62" w:right="359" w:bottom="1440" w:gutter="0" w:footer="0" w:header="0"/>
        </w:sectPr>
      </w:pPr>
    </w:p>
    <w:bookmarkStart w:id="4" w:name="page5"/>
    <w:bookmarkEnd w:id="4"/>
    <w:p>
      <w:pPr>
        <w:ind w:right="380"/>
        <w:spacing w:after="0" w:line="260" w:lineRule="auto"/>
        <w:rPr>
          <w:sz w:val="20"/>
          <w:szCs w:val="20"/>
          <w:color w:val="auto"/>
        </w:rPr>
      </w:pPr>
      <w:r>
        <w:rPr>
          <w:rFonts w:ascii="Arial" w:cs="Arial" w:eastAsia="Arial" w:hAnsi="Arial"/>
          <w:sz w:val="20"/>
          <w:szCs w:val="20"/>
          <w:color w:val="auto"/>
        </w:rPr>
        <w:t>Net revenue growth for the third-quarter 2023 was driven by favorable pricing and changes in foreign currency exchange rates, partally ofset by an unfavorable impact from volume and mix.</w:t>
      </w:r>
    </w:p>
    <w:p>
      <w:pPr>
        <w:spacing w:after="0" w:line="190"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Segment income and segment income margin increases for the third-quarter 2023 were driven by favorable customer pricing, partally ofset by unfavorable volume and mix, as well as infaton.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For the third-quarter of 2023, Nordion net revenues were $40 million, an increase of 14.3% compared to the third-quarter a year ago. Third-quarter 2023 segment income increased 18.5% to $24 million. For the frst nine-months of 2023, Nordion net revenues were $81 million, a decrease of 32.6% compared to the same period in 2022. Segment income decreased 37.3% to $43 million.</w:t>
      </w:r>
    </w:p>
    <w:p>
      <w:pPr>
        <w:spacing w:after="0" w:line="175"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Net revenue increase for the third-quarter 2023 was driven by favorable pricing and volume and mix, partally ofset by an unfavorable impact from changes in foreign currency exchange rates.</w:t>
      </w:r>
    </w:p>
    <w:p>
      <w:pPr>
        <w:spacing w:after="0" w:line="190" w:lineRule="exact"/>
        <w:rPr>
          <w:sz w:val="20"/>
          <w:szCs w:val="20"/>
          <w:color w:val="auto"/>
        </w:rPr>
      </w:pPr>
    </w:p>
    <w:p>
      <w:pPr>
        <w:ind w:right="480"/>
        <w:spacing w:after="0" w:line="274" w:lineRule="auto"/>
        <w:rPr>
          <w:sz w:val="20"/>
          <w:szCs w:val="20"/>
          <w:color w:val="auto"/>
        </w:rPr>
      </w:pPr>
      <w:r>
        <w:rPr>
          <w:rFonts w:ascii="Arial" w:cs="Arial" w:eastAsia="Arial" w:hAnsi="Arial"/>
          <w:sz w:val="20"/>
          <w:szCs w:val="20"/>
          <w:color w:val="auto"/>
        </w:rPr>
        <w:t>Segment income and segment income margin growth for the third-quarter 2023 were driven by favorable pricing and volume and mix, partally ofset by infaton.</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For the third-quarter 2023, Nelson Labs net revenues were $55 million, a decrease of 2.1% compared to the third-quarter a year ago. Third-quarter 2023 segment income decreased by 11.2% to $17 million. For the frst nine-months of 2023, Nelson Labs net revenues were $163 million, a decrease of 2.4% compared to the same period in 2022. Segment income decreased 12.0% to $50 million.</w:t>
      </w:r>
    </w:p>
    <w:p>
      <w:pPr>
        <w:spacing w:after="0" w:line="161" w:lineRule="exact"/>
        <w:rPr>
          <w:sz w:val="20"/>
          <w:szCs w:val="20"/>
          <w:color w:val="auto"/>
        </w:rPr>
      </w:pPr>
    </w:p>
    <w:p>
      <w:pPr>
        <w:ind w:right="560"/>
        <w:spacing w:after="0" w:line="274" w:lineRule="auto"/>
        <w:rPr>
          <w:sz w:val="20"/>
          <w:szCs w:val="20"/>
          <w:color w:val="auto"/>
        </w:rPr>
      </w:pPr>
      <w:r>
        <w:rPr>
          <w:rFonts w:ascii="Arial" w:cs="Arial" w:eastAsia="Arial" w:hAnsi="Arial"/>
          <w:sz w:val="20"/>
          <w:szCs w:val="20"/>
          <w:color w:val="auto"/>
        </w:rPr>
        <w:t>Net revenue decline for the third-quarter 2023 was driven by unfavorable volume and mix, partally ofset by a favorable impact from pricing and changes in foreign currency exchange rates.</w:t>
      </w:r>
    </w:p>
    <w:p>
      <w:pPr>
        <w:spacing w:after="0" w:line="20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Segment income and segment income margin declines for the third-quarter 2023 were impacted by unfavorable volume and mix as well as infaton, partally ofset by favorable pricing.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As of September 30, 2023, Sotera Health had $2.3 billion of total debt and $245 million of unrestricted cash and cash equivalents, compared to $2.0 billion in total debt and $395 million of unrestricted cash and cash equivalents as of December 31, 2022. As of September 30, 2023, the Company had no balance outstanding on its revolving credit facility. Sotera Health’s net leverage rato as of September 30, 2023 was 4.2x. Please refer to the secton “Non-GAAP Financial Measures” provided later in this release.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2023 Outlook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Based on ongoing market sofness, Sotera Health antcipates 2023 results will be at the lower end of its previously announced outlook 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August 3, 2023. That outlook is:</w:t>
      </w:r>
    </w:p>
    <w:p>
      <w:pPr>
        <w:spacing w:after="0" w:line="8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revenues in the range of $1.035 to $1.055 billion, representng growth of approximately 3% to 5%, compared to the prior year,</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 the range of $520 to $535 million, representng growth of approximately 3% to 6%, compared to the prior year,</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tax rate applicable to Adjusted Net Income in the range of 30% to 32%,</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in the range of $0.78 to $0.86,</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0" w:right="339" w:bottom="1440" w:gutter="0" w:footer="0" w:header="0"/>
        </w:sectPr>
      </w:pPr>
    </w:p>
    <w:bookmarkStart w:id="5" w:name="page6"/>
    <w:bookmarkEnd w:id="5"/>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fully diluted share count remains in the range of 283 million to 285 million shares on a weighted-average basis,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Capital expenditures in the range of $200 to $215 million, and</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2023 year-end Net Leverage Rato expected to end the year at or below 4.0x.</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184"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The outlook provided above contains a number of assumptons, including, among others, the Company’s current expectatons regarding supply chain contnuity, partcularly for the supply of EO and Cobalt-60, the impact of infatonary trends including their impact on energy prices and the supply of labor, and the expectaton that exchange rates as of September 30, 2023 remain constant for the remainder of 2023. Our outlook is based on current plans and expectatons and is subject to several known and unknown risks and uncertaintes, including those set forth below under “Cautonary Note Regarding Forward-Looking Statements.”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Presentaton &amp; Events | Sotera Health. </w:t>
      </w:r>
      <w:r>
        <w:rPr>
          <w:rFonts w:ascii="Arial" w:cs="Arial" w:eastAsia="Arial" w:hAnsi="Arial"/>
          <w:sz w:val="20"/>
          <w:szCs w:val="20"/>
          <w:color w:val="3A383A"/>
        </w:rPr>
        <w:t>A replay of the webcast will be archived on</w:t>
      </w:r>
      <w:r>
        <w:rPr>
          <w:rFonts w:ascii="Arial" w:cs="Arial" w:eastAsia="Arial" w:hAnsi="Arial"/>
          <w:sz w:val="20"/>
          <w:szCs w:val="20"/>
          <w:color w:val="auto"/>
        </w:rPr>
        <w:t xml:space="preserve"> </w:t>
      </w:r>
      <w:r>
        <w:rPr>
          <w:rFonts w:ascii="Arial" w:cs="Arial" w:eastAsia="Arial" w:hAnsi="Arial"/>
          <w:sz w:val="20"/>
          <w:szCs w:val="20"/>
          <w:color w:val="3A383A"/>
        </w:rPr>
        <w:t>the Company's website.</w:t>
      </w:r>
    </w:p>
    <w:p>
      <w:pPr>
        <w:spacing w:after="0" w:line="182" w:lineRule="exact"/>
        <w:rPr>
          <w:sz w:val="20"/>
          <w:szCs w:val="20"/>
          <w:color w:val="auto"/>
        </w:rPr>
      </w:pPr>
    </w:p>
    <w:p>
      <w:pPr>
        <w:ind w:right="280"/>
        <w:spacing w:after="0" w:line="332" w:lineRule="auto"/>
        <w:rPr>
          <w:sz w:val="20"/>
          <w:szCs w:val="20"/>
          <w:color w:val="auto"/>
        </w:rPr>
      </w:pPr>
      <w:r>
        <w:rPr>
          <w:rFonts w:ascii="Arial" w:cs="Arial" w:eastAsia="Arial" w:hAnsi="Arial"/>
          <w:sz w:val="18"/>
          <w:szCs w:val="18"/>
          <w:color w:val="auto"/>
        </w:rPr>
        <w:t>Updates on recent developments in maters relevant to investors can be found on the Investor Relatons secton of the Sotera Health website at Investor Relatons | Sotera Health. For developments related to EO, updates can be found at Ethylene Oxide | Sotera Health.</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0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Wolfe Research Conference at 8:45a.m. Eastern Time, November 14, 2023</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1"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925" w:right="4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Cautonary Note Regarding Forward-Looking Statements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EO or Cobalt-60 (“Co-60”), or our other direct materials, services and supplies, including as a result of geopolitcal instability and/or sanctons arising from US, Canadian, UK or European Union relatons with Russia; foreign currency exchange rates and changes in those rates; adverse changes in industry trends, environmental, health and safety regulatons or preferences, or general economic, social and business conditons; the impact and outcome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our ability to increase capacity at existng facilites, renew leases for our leased facilites and build new facilites in a tmely and cost-efectve manner; competton for qualifed employees in the industries in which we operate; the risks of doing business internatonally, including global and regional economic and politcal instability and compliance with numerous laws and regulatons in multple jurisdictons; and any inability to pursue strategic transactons or fnd suitable acquisiton targets.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To supplement our consolidated fnancial statements presented in accordance with GAAP, we consider Adjusted EBITDA, Adjusted EBITDA margin, Adjusted Net Income, Adjusted EPS, Segment income margin, Net Debt and Net Leverage Rato and constant currency fnancial measures that are not based on any standardized methodology prescribed by GAAP.</w:t>
      </w:r>
    </w:p>
    <w:p>
      <w:pPr>
        <w:spacing w:after="0" w:line="193"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90"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equal to Adjusted EBITDA divided by net revenues.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Segment income margin is equal to segment income divided by net segment revenues.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76"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We defne Adjusted EPS as Adjusted Net Income divided by the weighted average number of diluted shares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Our Net Debt is equal to our total debt, plus unamortzed debt issuance costs and debt discounts, less cash and cash equivalents.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Rato is equal to Net Debt divided by Adjusted EBITDA.</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GAAP.</w:t>
      </w:r>
    </w:p>
    <w:p>
      <w:pPr>
        <w:spacing w:after="0" w:line="189" w:lineRule="exact"/>
        <w:rPr>
          <w:sz w:val="20"/>
          <w:szCs w:val="20"/>
          <w:color w:val="auto"/>
        </w:rPr>
      </w:pPr>
    </w:p>
    <w:p>
      <w:pPr>
        <w:ind w:right="220"/>
        <w:spacing w:after="0" w:line="265" w:lineRule="auto"/>
        <w:rPr>
          <w:sz w:val="20"/>
          <w:szCs w:val="20"/>
          <w:color w:val="auto"/>
        </w:rPr>
      </w:pPr>
      <w:r>
        <w:rPr>
          <w:rFonts w:ascii="Arial" w:cs="Arial" w:eastAsia="Arial" w:hAnsi="Arial"/>
          <w:sz w:val="19"/>
          <w:szCs w:val="19"/>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&amp; Treasurer, Sotera Health</w:t>
      </w:r>
    </w:p>
    <w:p>
      <w:pPr>
        <w:spacing w:after="0"/>
        <w:rPr>
          <w:sz w:val="20"/>
          <w:szCs w:val="20"/>
          <w:color w:val="auto"/>
        </w:rPr>
      </w:pPr>
      <w:r>
        <w:rPr>
          <w:rFonts w:ascii="Arial" w:cs="Arial" w:eastAsia="Arial" w:hAnsi="Arial"/>
          <w:sz w:val="18"/>
          <w:szCs w:val="18"/>
          <w:u w:val="single" w:color="auto"/>
          <w:color w:val="0563C1"/>
        </w:rPr>
        <w:t>IR@soterahealth.com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Kristn Gibbs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Chief Marketng Ofcer, Sotera Health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6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12"/>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r>
      <w:tr>
        <w:trPr>
          <w:trHeight w:val="20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72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227,120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216,704</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667,680</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644,451</w:t>
            </w:r>
          </w:p>
        </w:tc>
      </w:tr>
      <w:tr>
        <w:trPr>
          <w:trHeight w:val="229"/>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36,057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71,369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107,646</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263,177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739,049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752,097</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103,580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311,690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292,755</w:t>
            </w: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30,284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44,058</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117,193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341,974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336,813</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145,984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397,075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415,284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176,309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179,765</w:t>
            </w:r>
          </w:p>
        </w:tc>
      </w:tr>
      <w:tr>
        <w:trPr>
          <w:trHeight w:val="229"/>
        </w:trPr>
        <w:tc>
          <w:tcPr>
            <w:tcW w:w="57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48,098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47,337</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69,886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224,407</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227,102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76,098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172,668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188,182</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100,225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Georgia EO litigation settlement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investment in unconsolidated affiliate</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40,357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135,391</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14,130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27,662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(13,660)</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12,695</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86,149</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720" w:type="dxa"/>
            <w:vAlign w:val="bottom"/>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281,105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280,898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279,988</w:t>
            </w: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281,105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283,190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Segment Data</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168,347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157,723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494,934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464,977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119,551</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163,491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167,569</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752,097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250,088</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69,179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57,369</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376,636</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30,464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82,275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53,974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109,092</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24,135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Gain (loss) on foreign currency and derivatives not designated as hedging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instruments, net</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23"/>
                <w:szCs w:val="23"/>
                <w:color w:val="auto"/>
                <w:vertAlign w:val="superscript"/>
              </w:rPr>
              <w:t>(h)</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w w:val="92"/>
              </w:rPr>
              <w:t>Professional services and other expenses relating to EO sterilization facilities</w:t>
            </w:r>
            <w:r>
              <w:rPr>
                <w:rFonts w:ascii="Arial" w:cs="Arial" w:eastAsia="Arial" w:hAnsi="Arial"/>
                <w:sz w:val="23"/>
                <w:szCs w:val="23"/>
                <w:color w:val="auto"/>
                <w:w w:val="92"/>
                <w:vertAlign w:val="superscript"/>
              </w:rPr>
              <w:t>(i)</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18,518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51,900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50,238</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 EO litigation settlement</w:t>
            </w:r>
            <w:r>
              <w:rPr>
                <w:rFonts w:ascii="Arial" w:cs="Arial" w:eastAsia="Arial" w:hAnsi="Arial"/>
                <w:sz w:val="23"/>
                <w:szCs w:val="23"/>
                <w:color w:val="auto"/>
                <w:vertAlign w:val="superscript"/>
              </w:rPr>
              <w:t>(j)</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(k)</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(l)</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before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135,391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right="140" w:hanging="492"/>
        <w:spacing w:after="0" w:line="256" w:lineRule="auto"/>
        <w:tabs>
          <w:tab w:leader="none" w:pos="49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three and nine months ended September 30, 2023 exclude $10.2 million and $18.0 million respectively, of interest expense, net on Term Loan B attributable to the loan proceeds that were used to fund the $408.0 million Illinois EO litigation settlement. The three and nine months ended September 30, 2022 exclude $3.3 million of unrealized loss and $6.1 million of unrealized gain, respectively, on interest rate derivatives not designated as hedging instruments.</w:t>
      </w:r>
    </w:p>
    <w:p>
      <w:pPr>
        <w:ind w:left="500" w:hanging="492"/>
        <w:spacing w:after="0"/>
        <w:tabs>
          <w:tab w:leader="none" w:pos="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depreciation of Co-60 held at gamma irradiation sites.</w:t>
      </w:r>
    </w:p>
    <w:p>
      <w:pPr>
        <w:spacing w:after="0" w:line="3" w:lineRule="exact"/>
        <w:rPr>
          <w:rFonts w:ascii="Arial" w:cs="Arial" w:eastAsia="Arial" w:hAnsi="Arial"/>
          <w:sz w:val="15"/>
          <w:szCs w:val="15"/>
          <w:color w:val="auto"/>
        </w:rPr>
      </w:pPr>
    </w:p>
    <w:p>
      <w:pPr>
        <w:ind w:left="480" w:hanging="472"/>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share-based compensation expense to employees and non-employee directors.</w:t>
      </w:r>
    </w:p>
    <w:p>
      <w:pPr>
        <w:spacing w:after="0" w:line="4" w:lineRule="exact"/>
        <w:rPr>
          <w:rFonts w:ascii="Arial" w:cs="Arial" w:eastAsia="Arial" w:hAnsi="Arial"/>
          <w:sz w:val="15"/>
          <w:szCs w:val="15"/>
          <w:color w:val="auto"/>
        </w:rPr>
      </w:pPr>
    </w:p>
    <w:p>
      <w:pPr>
        <w:ind w:left="500" w:right="440" w:hanging="492"/>
        <w:spacing w:after="0" w:line="252" w:lineRule="auto"/>
        <w:tabs>
          <w:tab w:leader="none" w:pos="498"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480" w:hanging="472"/>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(i) certain direct and incremental costs related to the acquisitions of RCA and BioScience Labs and certain related integration efforts as a result of those acquisitions,</w:t>
      </w:r>
    </w:p>
    <w:p>
      <w:pPr>
        <w:spacing w:after="0" w:line="26" w:lineRule="exact"/>
        <w:rPr>
          <w:rFonts w:ascii="Arial" w:cs="Arial" w:eastAsia="Arial" w:hAnsi="Arial"/>
          <w:sz w:val="13"/>
          <w:szCs w:val="13"/>
          <w:color w:val="auto"/>
        </w:rPr>
      </w:pPr>
    </w:p>
    <w:p>
      <w:pPr>
        <w:ind w:left="720" w:hanging="226"/>
        <w:spacing w:after="0"/>
        <w:tabs>
          <w:tab w:leader="none" w:pos="720" w:val="left"/>
        </w:tabs>
        <w:numPr>
          <w:ilvl w:val="1"/>
          <w:numId w:val="6"/>
        </w:numPr>
        <w:rPr>
          <w:rFonts w:ascii="Arial" w:cs="Arial" w:eastAsia="Arial" w:hAnsi="Arial"/>
          <w:sz w:val="14"/>
          <w:szCs w:val="14"/>
          <w:color w:val="auto"/>
        </w:rPr>
      </w:pPr>
      <w:r>
        <w:rPr>
          <w:rFonts w:ascii="Arial" w:cs="Arial" w:eastAsia="Arial" w:hAnsi="Arial"/>
          <w:sz w:val="14"/>
          <w:szCs w:val="14"/>
          <w:color w:val="auto"/>
        </w:rPr>
        <w:t>the earnings impact of fair value adjustments (excluding those recognized within amortization expense) resulting from the businesses acquired, and (iii) transition services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income and non-cash deferred lease income associated with the terms of the divestiture of the Medical Isotopes business in 2018.</w:t>
      </w:r>
    </w:p>
    <w:p>
      <w:pPr>
        <w:spacing w:after="0" w:line="15" w:lineRule="exact"/>
        <w:rPr>
          <w:sz w:val="20"/>
          <w:szCs w:val="20"/>
          <w:color w:val="auto"/>
        </w:rPr>
      </w:pPr>
    </w:p>
    <w:p>
      <w:pPr>
        <w:ind w:left="500" w:right="40" w:hanging="492"/>
        <w:spacing w:after="0" w:line="244" w:lineRule="auto"/>
        <w:tabs>
          <w:tab w:leader="none" w:pos="487"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ind w:left="500" w:right="320" w:hanging="492"/>
        <w:spacing w:after="0" w:line="250" w:lineRule="auto"/>
        <w:tabs>
          <w:tab w:leader="none" w:pos="498"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 The nine months ended September 30, 2023 also includes a $1.0 million cancellation fee received from a tenant in connection with the termination of an office space lease at the Nordion facility.</w:t>
      </w:r>
    </w:p>
    <w:p>
      <w:pPr>
        <w:ind w:left="500" w:hanging="492"/>
        <w:spacing w:after="0"/>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an impairment charge on our equity method investment in a joint venture.</w:t>
      </w:r>
    </w:p>
    <w:p>
      <w:pPr>
        <w:spacing w:after="0" w:line="4" w:lineRule="exact"/>
        <w:rPr>
          <w:rFonts w:ascii="Arial" w:cs="Arial" w:eastAsia="Arial" w:hAnsi="Arial"/>
          <w:sz w:val="15"/>
          <w:szCs w:val="15"/>
          <w:color w:val="auto"/>
        </w:rPr>
      </w:pPr>
    </w:p>
    <w:p>
      <w:pPr>
        <w:ind w:left="500" w:right="100" w:hanging="492"/>
        <w:spacing w:after="0" w:line="288" w:lineRule="auto"/>
        <w:tabs>
          <w:tab w:leader="none" w:pos="492"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litigation and other professional fees associated with our EO sterilization facilities. This includes $10.2 million and $18.0 million of interest expense, net for the three and nine months ended September 30, 2023, respectively, associated with Term Loan B that was issued to finance the $408.0 million cost to settle approximately 880 pending and threatened EO claims against Sterigenics U.S., LLC and Sotera Health LLC (“the Settling Defendants”) in Illinois under Settlement Agreements entered into on March 28, 2023.</w:t>
      </w:r>
    </w:p>
    <w:p>
      <w:pPr>
        <w:ind w:left="480" w:hanging="472"/>
        <w:spacing w:after="0"/>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the cost to settle 79 pending EO claims against the Settling Defendants in Georgia under a settlement term sheet entered into on October 16, 2023.</w:t>
      </w:r>
    </w:p>
    <w:p>
      <w:pPr>
        <w:spacing w:after="0" w:line="4" w:lineRule="exact"/>
        <w:rPr>
          <w:rFonts w:ascii="Arial" w:cs="Arial" w:eastAsia="Arial" w:hAnsi="Arial"/>
          <w:sz w:val="15"/>
          <w:szCs w:val="15"/>
          <w:color w:val="auto"/>
        </w:rPr>
      </w:pPr>
    </w:p>
    <w:p>
      <w:pPr>
        <w:ind w:left="500" w:right="120" w:hanging="492"/>
        <w:spacing w:after="0" w:line="249" w:lineRule="auto"/>
        <w:tabs>
          <w:tab w:leader="none" w:pos="498"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342"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As of December 31,</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including restricted cash</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252,534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396,294</w:t>
            </w:r>
          </w:p>
        </w:tc>
        <w:tc>
          <w:tcPr>
            <w:tcW w:w="0" w:type="dxa"/>
            <w:vAlign w:val="bottom"/>
          </w:tcPr>
          <w:p>
            <w:pPr>
              <w:spacing w:after="0"/>
              <w:rPr>
                <w:sz w:val="1"/>
                <w:szCs w:val="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118,396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118,482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93,089</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519,646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645,010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884,385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774,527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429,112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491,265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1,100,811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1,101,768</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77,948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78,654</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3,036,574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3,117,705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200,594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791,567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2,222,789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166,894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160,761</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68,826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68,024</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2,659,103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2,767,467</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377,471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350,238</w:t>
            </w:r>
          </w:p>
        </w:tc>
        <w:tc>
          <w:tcPr>
            <w:tcW w:w="0" w:type="dxa"/>
            <w:vAlign w:val="bottom"/>
          </w:tcPr>
          <w:p>
            <w:pPr>
              <w:spacing w:after="0"/>
              <w:rPr>
                <w:sz w:val="1"/>
                <w:szCs w:val="1"/>
                <w:color w:val="auto"/>
              </w:rPr>
            </w:pPr>
          </w:p>
        </w:tc>
      </w:tr>
      <w:tr>
        <w:trPr>
          <w:trHeight w:val="28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3,036,574</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3,117,705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48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73"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12,695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86,149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140,675</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(426,315)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(260,855)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176,035</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(110,642)</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Adjustment to purchase of Regulatory Compliance Associates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(150,080)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(110,158)</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Proceeds from long-term borrowings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revolving credit facility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Payment of long-term borrowings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269,752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including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58,037</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396,294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106,924</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252,534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right="2160"/>
        <w:spacing w:after="0" w:line="358" w:lineRule="auto"/>
        <w:rPr>
          <w:sz w:val="20"/>
          <w:szCs w:val="20"/>
          <w:color w:val="auto"/>
        </w:rPr>
      </w:pPr>
      <w:r>
        <w:rPr>
          <w:rFonts w:ascii="Arial" w:cs="Arial" w:eastAsia="Arial" w:hAnsi="Arial"/>
          <w:sz w:val="16"/>
          <w:szCs w:val="16"/>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150,696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65,045</w:t>
            </w:r>
          </w:p>
        </w:tc>
      </w:tr>
      <w:tr>
        <w:trPr>
          <w:trHeight w:val="230"/>
        </w:trPr>
        <w:tc>
          <w:tcPr>
            <w:tcW w:w="3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42,587</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56,474</w:t>
            </w:r>
          </w:p>
        </w:tc>
      </w:tr>
      <w:tr>
        <w:trPr>
          <w:trHeight w:val="234"/>
        </w:trPr>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16,383</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18,583</w:t>
            </w:r>
          </w:p>
        </w:tc>
      </w:tr>
    </w:tbl>
    <w:p>
      <w:pPr>
        <w:spacing w:after="0" w:line="289" w:lineRule="exact"/>
        <w:rPr>
          <w:sz w:val="20"/>
          <w:szCs w:val="20"/>
          <w:color w:val="auto"/>
        </w:rPr>
      </w:pPr>
    </w:p>
    <w:p>
      <w:pPr>
        <w:sectPr>
          <w:pgSz w:w="11900" w:h="16838" w:orient="portrait"/>
          <w:cols w:equalWidth="0" w:num="2">
            <w:col w:w="7760" w:space="720"/>
            <w:col w:w="2760"/>
          </w:cols>
          <w:pgMar w:left="320" w:top="126" w:right="3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ind w:right="-3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ind w:left="4152"/>
        <w:spacing w:after="0"/>
        <w:rPr>
          <w:sz w:val="20"/>
          <w:szCs w:val="20"/>
          <w:color w:val="auto"/>
        </w:rPr>
      </w:pPr>
      <w:r>
        <w:rPr>
          <w:rFonts w:ascii="Arial" w:cs="Arial" w:eastAsia="Arial" w:hAnsi="Arial"/>
          <w:sz w:val="22"/>
          <w:szCs w:val="22"/>
          <w:b w:val="1"/>
          <w:bCs w:val="1"/>
          <w:color w:val="auto"/>
        </w:rPr>
        <w:t>Non-GAAP Financial Measures</w:t>
      </w:r>
    </w:p>
    <w:p>
      <w:pPr>
        <w:ind w:left="4132"/>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(unaudited)</w:t>
      </w:r>
    </w:p>
    <w:p>
      <w:pPr>
        <w:spacing w:after="0" w:line="383" w:lineRule="exact"/>
        <w:rPr>
          <w:sz w:val="20"/>
          <w:szCs w:val="20"/>
          <w:color w:val="auto"/>
        </w:rPr>
      </w:pPr>
    </w:p>
    <w:tbl>
      <w:tblPr>
        <w:tblLayout w:type="fixed"/>
        <w:tblInd w:w="92"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680" w:type="dxa"/>
            <w:vAlign w:val="bottom"/>
            <w:gridSpan w:val="4"/>
          </w:tcPr>
          <w:p>
            <w:pPr>
              <w:jc w:val="right"/>
              <w:ind w:right="219"/>
              <w:spacing w:after="0"/>
              <w:rPr>
                <w:sz w:val="20"/>
                <w:szCs w:val="20"/>
                <w:color w:val="auto"/>
              </w:rPr>
            </w:pPr>
            <w:r>
              <w:rPr>
                <w:rFonts w:ascii="Arial" w:cs="Arial" w:eastAsia="Arial" w:hAnsi="Arial"/>
                <w:sz w:val="15"/>
                <w:szCs w:val="15"/>
                <w:b w:val="1"/>
                <w:bCs w:val="1"/>
                <w:color w:val="auto"/>
                <w:w w:val="95"/>
              </w:rPr>
              <w:t>Nine Months Ended September 30,</w:t>
            </w:r>
          </w:p>
        </w:tc>
        <w:tc>
          <w:tcPr>
            <w:tcW w:w="0" w:type="dxa"/>
            <w:vAlign w:val="bottom"/>
          </w:tcPr>
          <w:p>
            <w:pPr>
              <w:spacing w:after="0"/>
              <w:rPr>
                <w:sz w:val="1"/>
                <w:szCs w:val="1"/>
                <w:color w:val="auto"/>
              </w:rPr>
            </w:pPr>
          </w:p>
        </w:tc>
      </w:tr>
      <w:tr>
        <w:trPr>
          <w:trHeight w:val="211"/>
        </w:trPr>
        <w:tc>
          <w:tcPr>
            <w:tcW w:w="5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(13,660)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12,695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86,149</w:t>
            </w:r>
          </w:p>
        </w:tc>
        <w:tc>
          <w:tcPr>
            <w:tcW w:w="0" w:type="dxa"/>
            <w:vAlign w:val="bottom"/>
          </w:tcPr>
          <w:p>
            <w:pPr>
              <w:spacing w:after="0"/>
              <w:rPr>
                <w:sz w:val="1"/>
                <w:szCs w:val="1"/>
                <w:color w:val="auto"/>
              </w:rPr>
            </w:pPr>
          </w:p>
        </w:tc>
      </w:tr>
      <w:tr>
        <w:trPr>
          <w:trHeight w:val="213"/>
        </w:trPr>
        <w:tc>
          <w:tcPr>
            <w:tcW w:w="514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20,181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20,219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61,290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61,596</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8,378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14,955</w:t>
            </w:r>
          </w:p>
        </w:tc>
        <w:tc>
          <w:tcPr>
            <w:tcW w:w="0" w:type="dxa"/>
            <w:vAlign w:val="bottom"/>
          </w:tcPr>
          <w:p>
            <w:pPr>
              <w:spacing w:after="0"/>
              <w:rPr>
                <w:sz w:val="1"/>
                <w:szCs w:val="1"/>
                <w:color w:val="auto"/>
              </w:rPr>
            </w:pPr>
          </w:p>
        </w:tc>
      </w:tr>
      <w:tr>
        <w:trPr>
          <w:trHeight w:val="166"/>
        </w:trPr>
        <w:tc>
          <w:tcPr>
            <w:tcW w:w="5140" w:type="dxa"/>
            <w:vAlign w:val="bottom"/>
          </w:tcPr>
          <w:p>
            <w:pPr>
              <w:ind w:left="240"/>
              <w:spacing w:after="0" w:line="166" w:lineRule="exact"/>
              <w:rPr>
                <w:sz w:val="20"/>
                <w:szCs w:val="20"/>
                <w:color w:val="auto"/>
              </w:rPr>
            </w:pPr>
            <w:r>
              <w:rPr>
                <w:rFonts w:ascii="Arial" w:cs="Arial" w:eastAsia="Arial" w:hAnsi="Arial"/>
                <w:sz w:val="16"/>
                <w:szCs w:val="16"/>
                <w:color w:val="auto"/>
                <w:w w:val="93"/>
              </w:rPr>
              <w:t>Gain (loss) on foreign currency and derivatives not designated as hedging</w:t>
            </w:r>
          </w:p>
        </w:tc>
        <w:tc>
          <w:tcPr>
            <w:tcW w:w="180" w:type="dxa"/>
            <w:vAlign w:val="bottom"/>
          </w:tcPr>
          <w:p>
            <w:pPr>
              <w:spacing w:after="0"/>
              <w:rPr>
                <w:sz w:val="14"/>
                <w:szCs w:val="14"/>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1,333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3,194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1,459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(4,788)</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line="213" w:lineRule="exact"/>
              <w:rPr>
                <w:sz w:val="20"/>
                <w:szCs w:val="20"/>
                <w:color w:val="auto"/>
              </w:rPr>
            </w:pPr>
            <w:r>
              <w:rPr>
                <w:rFonts w:ascii="Arial" w:cs="Arial" w:eastAsia="Arial" w:hAnsi="Arial"/>
                <w:sz w:val="16"/>
                <w:szCs w:val="16"/>
                <w:color w:val="auto"/>
              </w:rPr>
              <w:t>instruments, net</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1,237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7,093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166"/>
        </w:trPr>
        <w:tc>
          <w:tcPr>
            <w:tcW w:w="5140" w:type="dxa"/>
            <w:vAlign w:val="bottom"/>
            <w:shd w:val="clear" w:color="auto" w:fill="CCEEFF"/>
          </w:tcPr>
          <w:p>
            <w:pPr>
              <w:ind w:left="240"/>
              <w:spacing w:after="0" w:line="166" w:lineRule="exact"/>
              <w:rPr>
                <w:sz w:val="20"/>
                <w:szCs w:val="20"/>
                <w:color w:val="auto"/>
              </w:rPr>
            </w:pPr>
            <w:r>
              <w:rPr>
                <w:rFonts w:ascii="Arial" w:cs="Arial" w:eastAsia="Arial" w:hAnsi="Arial"/>
                <w:sz w:val="16"/>
                <w:szCs w:val="16"/>
                <w:color w:val="auto"/>
              </w:rPr>
              <w:t>Professional services and other expenses relating to EO sterilization</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18,518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14,501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51,900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50,238</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facilities</w:t>
            </w:r>
            <w:r>
              <w:rPr>
                <w:rFonts w:ascii="Arial" w:cs="Arial" w:eastAsia="Arial" w:hAnsi="Arial"/>
                <w:sz w:val="21"/>
                <w:szCs w:val="21"/>
                <w:color w:val="auto"/>
                <w:vertAlign w:val="superscript"/>
              </w:rPr>
              <w:t>(g)</w:t>
            </w: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Arial" w:cs="Arial" w:eastAsia="Arial" w:hAnsi="Arial"/>
                <w:sz w:val="16"/>
                <w:szCs w:val="16"/>
                <w:color w:val="auto"/>
              </w:rPr>
              <w:t>Georgia EO litigation settlement</w:t>
            </w:r>
            <w:r>
              <w:rPr>
                <w:rFonts w:ascii="Arial" w:cs="Arial" w:eastAsia="Arial" w:hAnsi="Arial"/>
                <w:sz w:val="21"/>
                <w:szCs w:val="21"/>
                <w:color w:val="auto"/>
                <w:vertAlign w:val="superscript"/>
              </w:rPr>
              <w:t>(h)</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35,000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35,000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(i)</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(13,100)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(7,753)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(39,451)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(25,337)</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58,640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64,508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155,980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200,587</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(l)</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30,464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82,275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53,974</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(m)</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17,994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15,885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55,913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47,496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(n)</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27,230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24,679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67,113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74,579</w:t>
            </w: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(o)</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134,328</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125,152</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361,281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376,636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263,177</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248,704</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739,049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752,097</w:t>
            </w:r>
          </w:p>
        </w:tc>
        <w:tc>
          <w:tcPr>
            <w:tcW w:w="0" w:type="dxa"/>
            <w:vAlign w:val="bottom"/>
          </w:tcPr>
          <w:p>
            <w:pPr>
              <w:spacing w:after="0"/>
              <w:rPr>
                <w:sz w:val="1"/>
                <w:szCs w:val="1"/>
                <w:color w:val="auto"/>
              </w:rPr>
            </w:pPr>
          </w:p>
        </w:tc>
      </w:t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281,105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280,142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280,898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279,988</w:t>
            </w:r>
          </w:p>
        </w:tc>
        <w:tc>
          <w:tcPr>
            <w:tcW w:w="0" w:type="dxa"/>
            <w:vAlign w:val="bottom"/>
          </w:tcPr>
          <w:p>
            <w:pPr>
              <w:spacing w:after="0"/>
              <w:rPr>
                <w:sz w:val="1"/>
                <w:szCs w:val="1"/>
                <w:color w:val="auto"/>
              </w:rPr>
            </w:pPr>
          </w:p>
        </w:tc>
      </w:tr>
      <w:tr>
        <w:trPr>
          <w:trHeight w:val="213"/>
        </w:trPr>
        <w:tc>
          <w:tcPr>
            <w:tcW w:w="514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281,105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280,172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283,190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280,093</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(0.05)</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(0.05)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10"/>
        </w:trPr>
        <w:tc>
          <w:tcPr>
            <w:tcW w:w="514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0.21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32" w:hanging="332"/>
        <w:spacing w:after="0"/>
        <w:tabs>
          <w:tab w:leader="none" w:pos="332"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share-based compensation expense to employees and non-employee directors.</w:t>
      </w:r>
    </w:p>
    <w:p>
      <w:pPr>
        <w:spacing w:after="0" w:line="57" w:lineRule="exact"/>
        <w:rPr>
          <w:rFonts w:ascii="Arial" w:cs="Arial" w:eastAsia="Arial" w:hAnsi="Arial"/>
          <w:sz w:val="15"/>
          <w:szCs w:val="15"/>
          <w:color w:val="auto"/>
        </w:rPr>
      </w:pPr>
    </w:p>
    <w:p>
      <w:pPr>
        <w:ind w:left="652" w:right="280" w:hanging="652"/>
        <w:spacing w:after="0" w:line="272" w:lineRule="auto"/>
        <w:tabs>
          <w:tab w:leader="none" w:pos="335"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652" w:right="80" w:hanging="652"/>
        <w:spacing w:after="0" w:line="29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652" w:right="580" w:hanging="652"/>
        <w:spacing w:after="0" w:line="274" w:lineRule="auto"/>
        <w:tabs>
          <w:tab w:leader="none" w:pos="335"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1" w:lineRule="exact"/>
        <w:rPr>
          <w:rFonts w:ascii="Arial" w:cs="Arial" w:eastAsia="Arial" w:hAnsi="Arial"/>
          <w:sz w:val="15"/>
          <w:szCs w:val="15"/>
          <w:color w:val="auto"/>
        </w:rPr>
      </w:pPr>
    </w:p>
    <w:p>
      <w:pPr>
        <w:ind w:left="652" w:right="240" w:hanging="652"/>
        <w:spacing w:after="0" w:line="268" w:lineRule="auto"/>
        <w:tabs>
          <w:tab w:leader="none" w:pos="327"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 The nine months ended September 30, 2023 also includes a $1.0 million cancellation fee received from a tenant in connection with the termination of an office space lease at the Nordion facility.</w:t>
      </w:r>
    </w:p>
    <w:p>
      <w:pPr>
        <w:spacing w:after="0" w:line="2" w:lineRule="exact"/>
        <w:rPr>
          <w:rFonts w:ascii="Arial" w:cs="Arial" w:eastAsia="Arial" w:hAnsi="Arial"/>
          <w:sz w:val="15"/>
          <w:szCs w:val="15"/>
          <w:color w:val="auto"/>
        </w:rPr>
      </w:pPr>
    </w:p>
    <w:p>
      <w:pPr>
        <w:ind w:left="312" w:hanging="312"/>
        <w:spacing w:after="0"/>
        <w:tabs>
          <w:tab w:leader="none" w:pos="312"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an impairment charge on our equity method investment in a joint venture.</w:t>
      </w:r>
    </w:p>
    <w:p>
      <w:pPr>
        <w:spacing w:after="0" w:line="43" w:lineRule="exact"/>
        <w:rPr>
          <w:rFonts w:ascii="Arial" w:cs="Arial" w:eastAsia="Arial" w:hAnsi="Arial"/>
          <w:sz w:val="15"/>
          <w:szCs w:val="15"/>
          <w:color w:val="auto"/>
        </w:rPr>
      </w:pPr>
    </w:p>
    <w:p>
      <w:pPr>
        <w:ind w:left="652" w:right="20" w:hanging="652"/>
        <w:spacing w:after="0" w:line="295" w:lineRule="auto"/>
        <w:tabs>
          <w:tab w:leader="none" w:pos="335"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litigation and other professional fees associated with our EO sterilization facilities. This includes $10.2 million and $18.0 million of interest expense, net for the three and nine months ended September 30, 2023, respectively, associated with Term Loan B that was issued to finance the $408.0 million cost to settle approximately 880 pending and threatened EO claims against the Settling Defendants in Illinois under Settlement Agreements entered into on March 28, 2023.</w:t>
      </w:r>
    </w:p>
    <w:p>
      <w:pPr>
        <w:spacing w:after="0" w:line="3" w:lineRule="exact"/>
        <w:rPr>
          <w:rFonts w:ascii="Arial" w:cs="Arial" w:eastAsia="Arial" w:hAnsi="Arial"/>
          <w:sz w:val="14"/>
          <w:szCs w:val="14"/>
          <w:color w:val="auto"/>
        </w:rPr>
      </w:pPr>
    </w:p>
    <w:p>
      <w:pPr>
        <w:ind w:left="332" w:hanging="332"/>
        <w:spacing w:after="0"/>
        <w:tabs>
          <w:tab w:leader="none" w:pos="332"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the cost to settle 79 pending EO claims against the Settling Defendants in Georgia under a settlement term sheet entered into on October 16, 2023.</w:t>
      </w:r>
    </w:p>
    <w:p>
      <w:pPr>
        <w:spacing w:after="0" w:line="40" w:lineRule="exact"/>
        <w:rPr>
          <w:rFonts w:ascii="Arial" w:cs="Arial" w:eastAsia="Arial" w:hAnsi="Arial"/>
          <w:sz w:val="15"/>
          <w:szCs w:val="15"/>
          <w:color w:val="auto"/>
        </w:rPr>
      </w:pPr>
    </w:p>
    <w:p>
      <w:pPr>
        <w:ind w:left="652" w:hanging="652"/>
        <w:spacing w:after="0" w:line="268" w:lineRule="auto"/>
        <w:tabs>
          <w:tab w:leader="none" w:pos="301"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3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92"/>
          </w:cols>
          <w:pgMar w:left="328" w:top="126" w:right="379" w:bottom="1440" w:gutter="0" w:footer="0" w:header="0"/>
        </w:sectPr>
      </w:pPr>
    </w:p>
    <w:bookmarkStart w:id="13" w:name="page14"/>
    <w:bookmarkEnd w:id="13"/>
    <w:p>
      <w:pPr>
        <w:spacing w:after="0" w:line="23" w:lineRule="exact"/>
        <w:rPr>
          <w:sz w:val="20"/>
          <w:szCs w:val="20"/>
          <w:color w:val="auto"/>
        </w:rPr>
      </w:pPr>
    </w:p>
    <w:p>
      <w:pPr>
        <w:ind w:left="292" w:hanging="292"/>
        <w:spacing w:after="0"/>
        <w:tabs>
          <w:tab w:leader="none" w:pos="292"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15" w:lineRule="exact"/>
        <w:rPr>
          <w:rFonts w:ascii="Arial" w:cs="Arial" w:eastAsia="Arial" w:hAnsi="Arial"/>
          <w:sz w:val="15"/>
          <w:szCs w:val="15"/>
          <w:color w:val="231F20"/>
        </w:rPr>
      </w:pPr>
    </w:p>
    <w:p>
      <w:pPr>
        <w:ind w:left="332" w:hanging="332"/>
        <w:spacing w:after="0"/>
        <w:tabs>
          <w:tab w:leader="none" w:pos="332" w:val="left"/>
        </w:tabs>
        <w:numPr>
          <w:ilvl w:val="0"/>
          <w:numId w:val="9"/>
        </w:numPr>
        <w:rPr>
          <w:rFonts w:ascii="Arial" w:cs="Arial" w:eastAsia="Arial" w:hAnsi="Arial"/>
          <w:sz w:val="13"/>
          <w:szCs w:val="13"/>
          <w:color w:val="231F20"/>
        </w:rPr>
      </w:pPr>
      <w:r>
        <w:rPr>
          <w:rFonts w:ascii="Arial" w:cs="Arial" w:eastAsia="Arial" w:hAnsi="Arial"/>
          <w:sz w:val="13"/>
          <w:szCs w:val="13"/>
          <w:color w:val="auto"/>
        </w:rPr>
        <w:t>Represents the income tax impact of adjustments calculated based on the tax rate applicable to each item. We eliminate the effect of tax rate changes as applied to tax assets and</w:t>
      </w:r>
    </w:p>
    <w:p>
      <w:pPr>
        <w:spacing w:after="0" w:line="33" w:lineRule="exact"/>
        <w:rPr>
          <w:sz w:val="20"/>
          <w:szCs w:val="20"/>
          <w:color w:val="auto"/>
        </w:rPr>
      </w:pPr>
    </w:p>
    <w:p>
      <w:pPr>
        <w:ind w:left="652"/>
        <w:spacing w:after="0"/>
        <w:rPr>
          <w:sz w:val="20"/>
          <w:szCs w:val="20"/>
          <w:color w:val="auto"/>
        </w:rPr>
      </w:pPr>
      <w:r>
        <w:rPr>
          <w:rFonts w:ascii="Arial" w:cs="Arial" w:eastAsia="Arial" w:hAnsi="Arial"/>
          <w:sz w:val="15"/>
          <w:szCs w:val="15"/>
          <w:color w:val="auto"/>
        </w:rPr>
        <w:t>liabilities and unusual items from our presentation of adjusted net income.</w:t>
      </w:r>
    </w:p>
    <w:p>
      <w:pPr>
        <w:spacing w:after="0" w:line="38" w:lineRule="exact"/>
        <w:rPr>
          <w:sz w:val="20"/>
          <w:szCs w:val="20"/>
          <w:color w:val="auto"/>
        </w:rPr>
      </w:pPr>
    </w:p>
    <w:p>
      <w:pPr>
        <w:ind w:left="652" w:right="380" w:hanging="652"/>
        <w:spacing w:after="0" w:line="295" w:lineRule="auto"/>
        <w:tabs>
          <w:tab w:leader="none" w:pos="3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three and nine months ended September 30, 2023 exclude $10.2 million and $18.0 million respectively, of interest expense, net, on Term Loan B attributable to the loan proceeds that were used to fund the $408.0 million Illinois EO litigation settlement. The three and nine months ended September 30, 2022 exclude $3.3 million of unrealized loss and $6.1 million of unrealized gain, respectively, on interest rate derivatives not designated as hedging instruments.</w:t>
      </w:r>
    </w:p>
    <w:p>
      <w:pPr>
        <w:ind w:left="372" w:hanging="372"/>
        <w:spacing w:after="0"/>
        <w:tabs>
          <w:tab w:leader="none" w:pos="372"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depreciation of Co-60 held at gamma irradiation sites.</w:t>
      </w:r>
    </w:p>
    <w:p>
      <w:pPr>
        <w:spacing w:after="0" w:line="57" w:lineRule="exact"/>
        <w:rPr>
          <w:sz w:val="20"/>
          <w:szCs w:val="20"/>
          <w:color w:val="auto"/>
        </w:rPr>
      </w:pPr>
    </w:p>
    <w:p>
      <w:pPr>
        <w:ind w:left="332" w:right="540" w:hanging="647"/>
        <w:spacing w:after="0" w:line="281" w:lineRule="auto"/>
        <w:tabs>
          <w:tab w:leader="none" w:pos="312" w:val="left"/>
        </w:tabs>
        <w:rPr>
          <w:sz w:val="20"/>
          <w:szCs w:val="20"/>
          <w:color w:val="auto"/>
        </w:rPr>
      </w:pPr>
      <w:r>
        <w:rPr>
          <w:rFonts w:ascii="Arial" w:cs="Arial" w:eastAsia="Arial" w:hAnsi="Arial"/>
          <w:sz w:val="15"/>
          <w:szCs w:val="15"/>
          <w:color w:val="231F20"/>
        </w:rPr>
        <w:t>(n</w:t>
      </w:r>
      <w:r>
        <w:rPr>
          <w:rFonts w:ascii="Arial" w:cs="Arial" w:eastAsia="Arial" w:hAnsi="Arial"/>
          <w:sz w:val="15"/>
          <w:szCs w:val="15"/>
          <w:color w:val="000000"/>
        </w:rPr>
        <w:t>)</w:t>
      </w:r>
      <w:r>
        <w:rPr>
          <w:rFonts w:ascii="Arial" w:cs="Arial" w:eastAsia="Arial" w:hAnsi="Arial"/>
          <w:sz w:val="15"/>
          <w:szCs w:val="15"/>
          <w:color w:val="auto"/>
        </w:rPr>
        <w:tab/>
        <w:t>Represents the difference between the income tax provision as determined under U.S. GAAP and the income tax benefit associated with pre-tax adjustments described in footnote (k).</w:t>
      </w:r>
    </w:p>
    <w:p>
      <w:pPr>
        <w:spacing w:after="0" w:line="1" w:lineRule="exact"/>
        <w:rPr>
          <w:sz w:val="20"/>
          <w:szCs w:val="20"/>
          <w:color w:val="auto"/>
        </w:rPr>
      </w:pPr>
    </w:p>
    <w:p>
      <w:pPr>
        <w:ind w:left="652" w:hanging="652"/>
        <w:spacing w:after="0" w:line="268" w:lineRule="auto"/>
        <w:tabs>
          <w:tab w:leader="none" w:pos="3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$22.4 million and $22.1 million of the adjustments for the three months ended September 30, 2023 and 2022, respectively, and $69.7 million and $62.8 million of the adjustments for the nine months ended September 30, 2023 and 2022, respectively, are included in cost of revenues, primarily consisting of amortization of intangible assets, depreciation, and accretion of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32"/>
          </w:cols>
          <w:pgMar w:left="328" w:top="1440"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Non-GAAP Financial Measures</w:t>
      </w:r>
    </w:p>
    <w:p>
      <w:pPr>
        <w:jc w:val="center"/>
        <w:ind w:right="-19"/>
        <w:spacing w:after="0"/>
        <w:rPr>
          <w:sz w:val="20"/>
          <w:szCs w:val="20"/>
          <w:color w:val="auto"/>
        </w:rPr>
      </w:pPr>
      <w:r>
        <w:rPr>
          <w:rFonts w:ascii="Arial" w:cs="Arial" w:eastAsia="Arial" w:hAnsi="Arial"/>
          <w:sz w:val="18"/>
          <w:szCs w:val="18"/>
          <w:i w:val="1"/>
          <w:iCs w:val="1"/>
          <w:color w:val="auto"/>
        </w:rPr>
        <w:t>($’s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As of December 31,</w:t>
            </w:r>
          </w:p>
        </w:tc>
      </w:tr>
      <w:tr>
        <w:trPr>
          <w:trHeight w:val="234"/>
        </w:trPr>
        <w:tc>
          <w:tcPr>
            <w:tcW w:w="20" w:type="dxa"/>
            <w:vAlign w:val="bottom"/>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r>
      <w:tr>
        <w:trPr>
          <w:trHeight w:val="223"/>
        </w:trPr>
        <w:tc>
          <w:tcPr>
            <w:tcW w:w="2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197,119</w:t>
            </w:r>
          </w:p>
        </w:tc>
      </w:tr>
      <w:tr>
        <w:trPr>
          <w:trHeight w:val="230"/>
        </w:trPr>
        <w:tc>
          <w:tcPr>
            <w:tcW w:w="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2,222,789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1,747,115</w:t>
            </w:r>
          </w:p>
        </w:tc>
      </w:tr>
      <w:tr>
        <w:trPr>
          <w:trHeight w:val="229"/>
        </w:trPr>
        <w:tc>
          <w:tcPr>
            <w:tcW w:w="2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finance leases</w:t>
            </w:r>
          </w:p>
        </w:tc>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29"/>
        </w:trPr>
        <w:tc>
          <w:tcPr>
            <w:tcW w:w="2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less current portion</w:t>
            </w:r>
          </w:p>
        </w:tc>
        <w:tc>
          <w:tcPr>
            <w:tcW w:w="30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56,955</w:t>
            </w:r>
          </w:p>
        </w:tc>
      </w:tr>
      <w:tr>
        <w:trPr>
          <w:trHeight w:val="223"/>
        </w:trPr>
        <w:tc>
          <w:tcPr>
            <w:tcW w:w="2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30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2,299,641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2,002,911</w:t>
            </w: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30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(395,214)</w:t>
            </w:r>
          </w:p>
        </w:tc>
      </w:tr>
      <w:tr>
        <w:trPr>
          <w:trHeight w:val="248"/>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Debt</w:t>
            </w:r>
          </w:p>
        </w:tc>
        <w:tc>
          <w:tcPr>
            <w:tcW w:w="3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2,054,682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1,607,697</w:t>
            </w: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(a)</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490,894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506,249</w:t>
            </w:r>
          </w:p>
        </w:tc>
      </w:tr>
      <w:tr>
        <w:trPr>
          <w:trHeight w:val="234"/>
        </w:trPr>
        <w:tc>
          <w:tcPr>
            <w:tcW w:w="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Net Leverage</w:t>
            </w: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4.2x</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3.2x</w:t>
            </w:r>
          </w:p>
        </w:tc>
      </w:tr>
      <w:tr>
        <w:trPr>
          <w:trHeight w:val="562"/>
        </w:trPr>
        <w:tc>
          <w:tcPr>
            <w:tcW w:w="9180" w:type="dxa"/>
            <w:vAlign w:val="bottom"/>
            <w:gridSpan w:val="6"/>
          </w:tcPr>
          <w:p>
            <w:pPr>
              <w:spacing w:after="0"/>
              <w:rPr>
                <w:sz w:val="20"/>
                <w:szCs w:val="20"/>
                <w:color w:val="auto"/>
              </w:rPr>
            </w:pPr>
            <w:r>
              <w:rPr>
                <w:rFonts w:ascii="Arial" w:cs="Arial" w:eastAsia="Arial" w:hAnsi="Arial"/>
                <w:sz w:val="15"/>
                <w:szCs w:val="15"/>
                <w:color w:val="auto"/>
                <w:w w:val="95"/>
              </w:rPr>
              <w:t xml:space="preserve">(a)   </w:t>
            </w:r>
            <w:r>
              <w:rPr>
                <w:rFonts w:ascii="Arial" w:cs="Arial" w:eastAsia="Arial" w:hAnsi="Arial"/>
                <w:sz w:val="15"/>
                <w:szCs w:val="15"/>
                <w:color w:val="231F20"/>
                <w:w w:val="95"/>
              </w:rPr>
              <w:t>Represents Adjusted EBITDA for the twelve months ended September 30, 2023 and December 31, 2022, respectively. Refer to the Adjusted</w:t>
            </w:r>
          </w:p>
        </w:tc>
        <w:tc>
          <w:tcPr>
            <w:tcW w:w="2040" w:type="dxa"/>
            <w:vAlign w:val="bottom"/>
            <w:gridSpan w:val="2"/>
          </w:tcPr>
          <w:p>
            <w:pPr>
              <w:ind w:left="20"/>
              <w:spacing w:after="0"/>
              <w:rPr>
                <w:sz w:val="20"/>
                <w:szCs w:val="20"/>
                <w:color w:val="auto"/>
              </w:rPr>
            </w:pPr>
            <w:r>
              <w:rPr>
                <w:rFonts w:ascii="Arial" w:cs="Arial" w:eastAsia="Arial" w:hAnsi="Arial"/>
                <w:sz w:val="15"/>
                <w:szCs w:val="15"/>
                <w:color w:val="231F20"/>
              </w:rPr>
              <w:t>EBITDA reconciliations for</w:t>
            </w:r>
          </w:p>
        </w:tc>
      </w:tr>
      <w:tr>
        <w:trPr>
          <w:trHeight w:val="194"/>
        </w:trPr>
        <w:tc>
          <w:tcPr>
            <w:tcW w:w="20" w:type="dxa"/>
            <w:vAlign w:val="bottom"/>
          </w:tcPr>
          <w:p>
            <w:pPr>
              <w:spacing w:after="0"/>
              <w:rPr>
                <w:sz w:val="16"/>
                <w:szCs w:val="16"/>
                <w:color w:val="auto"/>
              </w:rPr>
            </w:pPr>
          </w:p>
        </w:tc>
        <w:tc>
          <w:tcPr>
            <w:tcW w:w="4000" w:type="dxa"/>
            <w:vAlign w:val="bottom"/>
          </w:tcPr>
          <w:p>
            <w:pPr>
              <w:ind w:left="480"/>
              <w:spacing w:after="0"/>
              <w:rPr>
                <w:sz w:val="20"/>
                <w:szCs w:val="20"/>
                <w:color w:val="auto"/>
              </w:rPr>
            </w:pPr>
            <w:r>
              <w:rPr>
                <w:rFonts w:ascii="Arial" w:cs="Arial" w:eastAsia="Arial" w:hAnsi="Arial"/>
                <w:sz w:val="15"/>
                <w:szCs w:val="15"/>
                <w:color w:val="231F20"/>
              </w:rPr>
              <w:t>detail.</w:t>
            </w: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47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00" w:type="dxa"/>
            <w:vAlign w:val="bottom"/>
          </w:tcPr>
          <w:p>
            <w:pPr>
              <w:jc w:val="right"/>
              <w:ind w:right="12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20"/>
          </w:cols>
          <w:pgMar w:left="320" w:top="126" w:right="359" w:bottom="1440" w:gutter="0" w:footer="0" w:header="0"/>
        </w:sectPr>
      </w:pPr>
    </w:p>
    <w:bookmarkStart w:id="15" w:name="page16"/>
    <w:bookmarkEnd w:id="15"/>
    <w:p>
      <w:pPr>
        <w:jc w:val="center"/>
        <w:ind w:right="-1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Non-GAAP Financial Measures</w:t>
      </w:r>
    </w:p>
    <w:p>
      <w:pPr>
        <w:jc w:val="center"/>
        <w:ind w:right="-11"/>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Twelve Months Ended</w:t>
            </w:r>
          </w:p>
        </w:tc>
        <w:tc>
          <w:tcPr>
            <w:tcW w:w="180" w:type="dxa"/>
            <w:vAlign w:val="bottom"/>
          </w:tcPr>
          <w:p>
            <w:pPr>
              <w:spacing w:after="0"/>
              <w:rPr>
                <w:sz w:val="14"/>
                <w:szCs w:val="14"/>
                <w:color w:val="auto"/>
              </w:rPr>
            </w:pPr>
          </w:p>
        </w:tc>
        <w:tc>
          <w:tcPr>
            <w:tcW w:w="1780" w:type="dxa"/>
            <w:vAlign w:val="bottom"/>
          </w:tcPr>
          <w:p>
            <w:pPr>
              <w:jc w:val="center"/>
              <w:ind w:right="119"/>
              <w:spacing w:after="0"/>
              <w:rPr>
                <w:sz w:val="20"/>
                <w:szCs w:val="20"/>
                <w:color w:val="auto"/>
              </w:rPr>
            </w:pPr>
            <w:r>
              <w:rPr>
                <w:rFonts w:ascii="Arial" w:cs="Arial" w:eastAsia="Arial" w:hAnsi="Arial"/>
                <w:sz w:val="15"/>
                <w:szCs w:val="15"/>
                <w:b w:val="1"/>
                <w:bCs w:val="1"/>
                <w:color w:val="auto"/>
                <w:w w:val="92"/>
              </w:rPr>
              <w:t>Twelve Months Ended</w:t>
            </w:r>
          </w:p>
        </w:tc>
      </w:tr>
      <w:tr>
        <w:trPr>
          <w:trHeight w:val="210"/>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September 30,</w:t>
            </w:r>
          </w:p>
        </w:tc>
        <w:tc>
          <w:tcPr>
            <w:tcW w:w="18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5"/>
                <w:szCs w:val="15"/>
                <w:b w:val="1"/>
                <w:bCs w:val="1"/>
                <w:color w:val="auto"/>
                <w:w w:val="92"/>
              </w:rPr>
              <w:t>December 31,</w:t>
            </w:r>
          </w:p>
        </w:tc>
      </w:tr>
      <w:tr>
        <w:trPr>
          <w:trHeight w:val="213"/>
        </w:trPr>
        <w:tc>
          <w:tcPr>
            <w:tcW w:w="7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(307,024)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(233,570)</w:t>
            </w:r>
          </w:p>
        </w:tc>
      </w:tr>
      <w:tr>
        <w:trPr>
          <w:trHeight w:val="213"/>
        </w:trPr>
        <w:tc>
          <w:tcPr>
            <w:tcW w:w="720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auto"/>
              </w:rPr>
              <w:t>81,248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81,554</w:t>
            </w:r>
          </w:p>
        </w:tc>
      </w:tr>
      <w:tr>
        <w:trPr>
          <w:trHeight w:val="232"/>
        </w:trPr>
        <w:tc>
          <w:tcPr>
            <w:tcW w:w="7200" w:type="dxa"/>
            <w:vAlign w:val="bottom"/>
            <w:shd w:val="clear" w:color="auto" w:fill="CCEEFF"/>
          </w:tcPr>
          <w:p>
            <w:pPr>
              <w:ind w:left="240"/>
              <w:spacing w:after="0" w:line="232"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30,391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21,211</w:t>
            </w:r>
          </w:p>
        </w:tc>
      </w:tr>
      <w:tr>
        <w:trPr>
          <w:trHeight w:val="216"/>
        </w:trPr>
        <w:tc>
          <w:tcPr>
            <w:tcW w:w="7200" w:type="dxa"/>
            <w:vAlign w:val="bottom"/>
          </w:tcPr>
          <w:p>
            <w:pPr>
              <w:ind w:left="240"/>
              <w:spacing w:after="0" w:line="216" w:lineRule="exact"/>
              <w:rPr>
                <w:sz w:val="20"/>
                <w:szCs w:val="20"/>
                <w:color w:val="auto"/>
              </w:rPr>
            </w:pPr>
            <w:r>
              <w:rPr>
                <w:rFonts w:ascii="Arial" w:cs="Arial" w:eastAsia="Arial" w:hAnsi="Arial"/>
                <w:sz w:val="16"/>
                <w:szCs w:val="16"/>
                <w:color w:val="auto"/>
              </w:rPr>
              <w:t>Gain on foreign currency and derivatives not designated as hedging instruments</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auto"/>
              </w:rPr>
              <w:t>9,397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3,150</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1,398</w:t>
            </w:r>
          </w:p>
        </w:tc>
      </w:tr>
      <w:tr>
        <w:trPr>
          <w:trHeight w:val="216"/>
        </w:trPr>
        <w:tc>
          <w:tcPr>
            <w:tcW w:w="720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auto"/>
              </w:rPr>
              <w:t>7,710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2,226</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4,730</w:t>
            </w:r>
          </w:p>
        </w:tc>
      </w:tr>
      <w:tr>
        <w:trPr>
          <w:trHeight w:val="216"/>
        </w:trPr>
        <w:tc>
          <w:tcPr>
            <w:tcW w:w="7200" w:type="dxa"/>
            <w:vAlign w:val="bottom"/>
          </w:tcPr>
          <w:p>
            <w:pPr>
              <w:ind w:left="240"/>
              <w:spacing w:after="0" w:line="216" w:lineRule="exact"/>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16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9,613</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Professional services and other expenses relating to EO sterilization facilities</w:t>
            </w:r>
            <w:r>
              <w:rPr>
                <w:rFonts w:ascii="Arial" w:cs="Arial" w:eastAsia="Arial" w:hAnsi="Arial"/>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74,301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72,639</w:t>
            </w:r>
          </w:p>
        </w:tc>
      </w:tr>
      <w:tr>
        <w:trPr>
          <w:trHeight w:val="216"/>
        </w:trPr>
        <w:tc>
          <w:tcPr>
            <w:tcW w:w="7200" w:type="dxa"/>
            <w:vAlign w:val="bottom"/>
          </w:tcPr>
          <w:p>
            <w:pPr>
              <w:ind w:left="240"/>
              <w:spacing w:after="0" w:line="216" w:lineRule="exact"/>
              <w:rPr>
                <w:sz w:val="20"/>
                <w:szCs w:val="20"/>
                <w:color w:val="auto"/>
              </w:rPr>
            </w:pPr>
            <w:r>
              <w:rPr>
                <w:rFonts w:ascii="Arial" w:cs="Arial" w:eastAsia="Arial" w:hAnsi="Arial"/>
                <w:sz w:val="16"/>
                <w:szCs w:val="16"/>
                <w:color w:val="auto"/>
              </w:rPr>
              <w:t>Illinois EO litigation settlement</w:t>
            </w:r>
            <w:r>
              <w:rPr>
                <w:rFonts w:ascii="Arial" w:cs="Arial" w:eastAsia="Arial" w:hAnsi="Arial"/>
                <w:sz w:val="21"/>
                <w:szCs w:val="21"/>
                <w:color w:val="auto"/>
                <w:vertAlign w:val="superscript"/>
              </w:rPr>
              <w:t>(h)</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auto"/>
              </w:rPr>
              <w:t>408,000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408,000</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Georgia EO litigation settlement</w:t>
            </w:r>
            <w:r>
              <w:rPr>
                <w:rFonts w:ascii="Arial" w:cs="Arial" w:eastAsia="Arial" w:hAnsi="Arial"/>
                <w:sz w:val="21"/>
                <w:szCs w:val="21"/>
                <w:color w:val="auto"/>
                <w:vertAlign w:val="superscript"/>
              </w:rPr>
              <w:t>(i)</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(j)</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auto"/>
              </w:rPr>
              <w:t>2,232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2,194</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(k)</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r>
      <w:tr>
        <w:trPr>
          <w:trHeight w:val="216"/>
        </w:trPr>
        <w:tc>
          <w:tcPr>
            <w:tcW w:w="72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(l)</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(117,195)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(103,081)</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225,612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270,219</w:t>
            </w:r>
          </w:p>
        </w:tc>
      </w:tr>
      <w:tr>
        <w:trPr>
          <w:trHeight w:val="210"/>
        </w:trPr>
        <w:tc>
          <w:tcPr>
            <w:tcW w:w="7200" w:type="dxa"/>
            <w:vAlign w:val="bottom"/>
          </w:tcPr>
          <w:p>
            <w:pPr>
              <w:ind w:left="240"/>
              <w:spacing w:after="0" w:line="210"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(m)</w:t>
            </w: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auto"/>
              </w:rPr>
              <w:t>106,791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78,490</w:t>
            </w:r>
          </w:p>
        </w:tc>
      </w:tr>
      <w:tr>
        <w:trPr>
          <w:trHeight w:val="216"/>
        </w:trPr>
        <w:tc>
          <w:tcPr>
            <w:tcW w:w="72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(n)</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72,417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64,000</w:t>
            </w:r>
          </w:p>
        </w:tc>
      </w:tr>
      <w:tr>
        <w:trPr>
          <w:trHeight w:val="216"/>
        </w:trPr>
        <w:tc>
          <w:tcPr>
            <w:tcW w:w="720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(o)</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86,074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93,540</w:t>
            </w:r>
          </w:p>
        </w:tc>
      </w:tr>
      <w:tr>
        <w:trPr>
          <w:trHeight w:val="234"/>
        </w:trPr>
        <w:tc>
          <w:tcPr>
            <w:tcW w:w="72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(p)</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490,894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506,249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990,639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1,003,687</w:t>
            </w:r>
          </w:p>
        </w:tc>
      </w:tr>
      <w:tr>
        <w:trPr>
          <w:trHeight w:val="230"/>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49.6 %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50.4 %</w:t>
            </w:r>
          </w:p>
        </w:tc>
      </w:tr>
    </w:tbl>
    <w:p>
      <w:pPr>
        <w:spacing w:after="0" w:line="175" w:lineRule="exact"/>
        <w:rPr>
          <w:sz w:val="20"/>
          <w:szCs w:val="20"/>
          <w:color w:val="auto"/>
        </w:rPr>
      </w:pPr>
    </w:p>
    <w:p>
      <w:pPr>
        <w:ind w:left="332" w:hanging="332"/>
        <w:spacing w:after="0"/>
        <w:tabs>
          <w:tab w:leader="none" w:pos="3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Represents share-based compensation expense to employees and non-employee directors.</w:t>
      </w:r>
    </w:p>
    <w:p>
      <w:pPr>
        <w:spacing w:after="0" w:line="30" w:lineRule="exact"/>
        <w:rPr>
          <w:rFonts w:ascii="Arial" w:cs="Arial" w:eastAsia="Arial" w:hAnsi="Arial"/>
          <w:sz w:val="15"/>
          <w:szCs w:val="15"/>
          <w:color w:val="auto"/>
        </w:rPr>
      </w:pPr>
    </w:p>
    <w:p>
      <w:pPr>
        <w:ind w:left="652" w:right="300" w:hanging="652"/>
        <w:spacing w:after="0" w:line="272" w:lineRule="auto"/>
        <w:tabs>
          <w:tab w:leader="none" w:pos="335"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332" w:hanging="332"/>
        <w:spacing w:after="0"/>
        <w:tabs>
          <w:tab w:leader="none" w:pos="332"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(i) certain direct and incremental costs related to the acquisitions of RCA and BioScience Labs and certain related integration efforts as a result of those acquisitions,</w:t>
      </w:r>
    </w:p>
    <w:p>
      <w:pPr>
        <w:spacing w:after="0" w:line="38" w:lineRule="exact"/>
        <w:rPr>
          <w:rFonts w:ascii="Arial" w:cs="Arial" w:eastAsia="Arial" w:hAnsi="Arial"/>
          <w:sz w:val="13"/>
          <w:szCs w:val="13"/>
          <w:color w:val="auto"/>
        </w:rPr>
      </w:pPr>
    </w:p>
    <w:p>
      <w:pPr>
        <w:ind w:left="872" w:hanging="224"/>
        <w:spacing w:after="0"/>
        <w:tabs>
          <w:tab w:leader="none" w:pos="87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earnings impact of fair value adjustments (excluding those recognized within amortization expense) resulting from the businesses acquired, and (iii) transition</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5"/>
          <w:szCs w:val="15"/>
          <w:color w:val="auto"/>
        </w:rPr>
        <w:t>services income and non-cash deferred lease income associated with the terms of the divestiture of the Medical Isotopes business in 2018.</w:t>
      </w:r>
    </w:p>
    <w:p>
      <w:pPr>
        <w:spacing w:after="0" w:line="25" w:lineRule="exact"/>
        <w:rPr>
          <w:sz w:val="20"/>
          <w:szCs w:val="20"/>
          <w:color w:val="auto"/>
        </w:rPr>
      </w:pPr>
    </w:p>
    <w:p>
      <w:pPr>
        <w:ind w:left="652" w:right="600" w:hanging="652"/>
        <w:spacing w:after="0" w:line="262" w:lineRule="auto"/>
        <w:tabs>
          <w:tab w:leader="none" w:pos="3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 w:lineRule="exact"/>
        <w:rPr>
          <w:rFonts w:ascii="Arial" w:cs="Arial" w:eastAsia="Arial" w:hAnsi="Arial"/>
          <w:sz w:val="15"/>
          <w:szCs w:val="15"/>
          <w:color w:val="auto"/>
        </w:rPr>
      </w:pPr>
    </w:p>
    <w:p>
      <w:pPr>
        <w:ind w:left="652" w:right="120" w:hanging="652"/>
        <w:spacing w:after="0" w:line="265" w:lineRule="auto"/>
        <w:tabs>
          <w:tab w:leader="none" w:pos="327"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 The twelve months ended September 30, 2023 also includes a $1.0 million cancellation fee received from a tenant in connection with the termination of an office space lease at the Nordion facility.</w:t>
      </w:r>
    </w:p>
    <w:p>
      <w:pPr>
        <w:ind w:left="312" w:hanging="312"/>
        <w:spacing w:after="0"/>
        <w:tabs>
          <w:tab w:leader="none" w:pos="312"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an impairment charge on our equity method investment in a joint venture.</w:t>
      </w:r>
    </w:p>
    <w:p>
      <w:pPr>
        <w:spacing w:after="0" w:line="24" w:lineRule="exact"/>
        <w:rPr>
          <w:rFonts w:ascii="Arial" w:cs="Arial" w:eastAsia="Arial" w:hAnsi="Arial"/>
          <w:sz w:val="15"/>
          <w:szCs w:val="15"/>
          <w:color w:val="auto"/>
        </w:rPr>
      </w:pPr>
    </w:p>
    <w:p>
      <w:pPr>
        <w:ind w:left="652" w:right="120" w:hanging="652"/>
        <w:spacing w:after="0" w:line="265" w:lineRule="auto"/>
        <w:tabs>
          <w:tab w:leader="none" w:pos="335"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litigation and other professional fees associated with our EO sterilization facilities. This includes $18.0 million of interest expense, net for the twelve months ended September 30, 2023 associated with Term Loan B that was issued to finance the $408.0 million cost to settle approximately 880 pending and threatened EO claims against the Settling Defendants in Illinois under Settlement Agreements entered into on March 28, 2023.</w:t>
      </w:r>
    </w:p>
    <w:p>
      <w:pPr>
        <w:ind w:left="652" w:right="60" w:hanging="652"/>
        <w:spacing w:after="0" w:line="268" w:lineRule="auto"/>
        <w:tabs>
          <w:tab w:leader="none" w:pos="335" w:val="left"/>
        </w:tabs>
        <w:numPr>
          <w:ilvl w:val="0"/>
          <w:numId w:val="13"/>
        </w:numPr>
        <w:rPr>
          <w:rFonts w:ascii="Arial" w:cs="Arial" w:eastAsia="Arial" w:hAnsi="Arial"/>
          <w:sz w:val="15"/>
          <w:szCs w:val="15"/>
          <w:color w:val="auto"/>
        </w:rPr>
      </w:pPr>
      <w:r>
        <w:rPr>
          <w:rFonts w:ascii="Arial" w:cs="Arial" w:eastAsia="Arial" w:hAnsi="Arial"/>
          <w:sz w:val="15"/>
          <w:szCs w:val="15"/>
          <w:color w:val="231F20"/>
        </w:rPr>
        <w:t>Represents the cost to settle approximately 880 pending and threatened EO claims against the Settling Defendants in Illinois under settlement Agreements entered into on March 28, 2023.</w:t>
      </w:r>
    </w:p>
    <w:p>
      <w:pPr>
        <w:spacing w:after="0" w:line="1" w:lineRule="exact"/>
        <w:rPr>
          <w:rFonts w:ascii="Arial" w:cs="Arial" w:eastAsia="Arial" w:hAnsi="Arial"/>
          <w:sz w:val="15"/>
          <w:szCs w:val="15"/>
          <w:color w:val="auto"/>
        </w:rPr>
      </w:pPr>
    </w:p>
    <w:p>
      <w:pPr>
        <w:ind w:left="292" w:hanging="292"/>
        <w:spacing w:after="0"/>
        <w:tabs>
          <w:tab w:leader="none" w:pos="292"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the cost to settle 79 pending EO claims against the Settling Defendants in Georgia under a settlement term sheet entered into on October 16, 2023.</w:t>
      </w:r>
    </w:p>
    <w:p>
      <w:pPr>
        <w:spacing w:after="0" w:line="30" w:lineRule="exact"/>
        <w:rPr>
          <w:rFonts w:ascii="Arial" w:cs="Arial" w:eastAsia="Arial" w:hAnsi="Arial"/>
          <w:sz w:val="15"/>
          <w:szCs w:val="15"/>
          <w:color w:val="auto"/>
        </w:rPr>
      </w:pPr>
    </w:p>
    <w:p>
      <w:pPr>
        <w:ind w:left="652" w:right="20" w:hanging="652"/>
        <w:spacing w:after="0" w:line="262" w:lineRule="auto"/>
        <w:tabs>
          <w:tab w:leader="none" w:pos="301"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 w:lineRule="exact"/>
        <w:rPr>
          <w:rFonts w:ascii="Arial" w:cs="Arial" w:eastAsia="Arial" w:hAnsi="Arial"/>
          <w:sz w:val="15"/>
          <w:szCs w:val="15"/>
          <w:color w:val="auto"/>
        </w:rPr>
      </w:pPr>
    </w:p>
    <w:p>
      <w:pPr>
        <w:ind w:left="332" w:hanging="332"/>
        <w:spacing w:after="0"/>
        <w:tabs>
          <w:tab w:leader="none" w:pos="332" w:val="left"/>
        </w:tabs>
        <w:numPr>
          <w:ilvl w:val="0"/>
          <w:numId w:val="13"/>
        </w:numPr>
        <w:rPr>
          <w:rFonts w:ascii="Arial" w:cs="Arial" w:eastAsia="Arial" w:hAnsi="Arial"/>
          <w:sz w:val="15"/>
          <w:szCs w:val="15"/>
          <w:color w:val="231F20"/>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30" w:lineRule="exact"/>
        <w:rPr>
          <w:rFonts w:ascii="Arial" w:cs="Arial" w:eastAsia="Arial" w:hAnsi="Arial"/>
          <w:sz w:val="15"/>
          <w:szCs w:val="15"/>
          <w:color w:val="231F20"/>
        </w:rPr>
      </w:pPr>
    </w:p>
    <w:p>
      <w:pPr>
        <w:ind w:left="652" w:right="140" w:hanging="652"/>
        <w:spacing w:after="0" w:line="293" w:lineRule="auto"/>
        <w:tabs>
          <w:tab w:leader="none" w:pos="301" w:val="left"/>
        </w:tabs>
        <w:numPr>
          <w:ilvl w:val="0"/>
          <w:numId w:val="13"/>
        </w:numPr>
        <w:rPr>
          <w:rFonts w:ascii="Arial" w:cs="Arial" w:eastAsia="Arial" w:hAnsi="Arial"/>
          <w:sz w:val="15"/>
          <w:szCs w:val="15"/>
          <w:color w:val="231F20"/>
        </w:rPr>
      </w:pPr>
      <w:r>
        <w:rPr>
          <w:rFonts w:ascii="Arial" w:cs="Arial" w:eastAsia="Arial" w:hAnsi="Arial"/>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12"/>
          </w:cols>
          <w:pgMar w:left="328" w:top="126" w:right="359" w:bottom="1440" w:gutter="0" w:footer="0" w:header="0"/>
        </w:sectPr>
      </w:pPr>
    </w:p>
    <w:bookmarkStart w:id="16" w:name="page17"/>
    <w:bookmarkEnd w:id="16"/>
    <w:p>
      <w:pPr>
        <w:jc w:val="center"/>
        <w:ind w:right="-7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71"/>
        <w:spacing w:after="0"/>
        <w:rPr>
          <w:sz w:val="20"/>
          <w:szCs w:val="20"/>
          <w:color w:val="auto"/>
        </w:rPr>
      </w:pPr>
      <w:r>
        <w:rPr>
          <w:rFonts w:ascii="Arial" w:cs="Arial" w:eastAsia="Arial" w:hAnsi="Arial"/>
          <w:sz w:val="22"/>
          <w:szCs w:val="22"/>
          <w:b w:val="1"/>
          <w:bCs w:val="1"/>
          <w:color w:val="auto"/>
        </w:rPr>
        <w:t>Non-GAAP Financial Measures</w:t>
      </w:r>
    </w:p>
    <w:p>
      <w:pPr>
        <w:jc w:val="center"/>
        <w:ind w:right="-71"/>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71"/>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95" w:lineRule="exact"/>
        <w:rPr>
          <w:sz w:val="20"/>
          <w:szCs w:val="20"/>
          <w:color w:val="auto"/>
        </w:rPr>
      </w:pPr>
    </w:p>
    <w:p>
      <w:pPr>
        <w:ind w:left="372" w:hanging="372"/>
        <w:spacing w:after="0"/>
        <w:tabs>
          <w:tab w:leader="none" w:pos="372" w:val="left"/>
        </w:tabs>
        <w:numPr>
          <w:ilvl w:val="0"/>
          <w:numId w:val="14"/>
        </w:numPr>
        <w:rPr>
          <w:rFonts w:ascii="Arial" w:cs="Arial" w:eastAsia="Arial" w:hAnsi="Arial"/>
          <w:sz w:val="13"/>
          <w:szCs w:val="13"/>
          <w:color w:val="auto"/>
        </w:rPr>
      </w:pPr>
      <w:r>
        <w:rPr>
          <w:rFonts w:ascii="Arial" w:cs="Arial" w:eastAsia="Arial" w:hAnsi="Arial"/>
          <w:sz w:val="13"/>
          <w:szCs w:val="13"/>
          <w:color w:val="231F20"/>
        </w:rPr>
        <w:t xml:space="preserve">The twelve months ended September 30, 2023 exclude </w:t>
      </w:r>
      <w:r>
        <w:rPr>
          <w:rFonts w:ascii="Arial" w:cs="Arial" w:eastAsia="Arial" w:hAnsi="Arial"/>
          <w:sz w:val="13"/>
          <w:szCs w:val="13"/>
          <w:color w:val="000000"/>
        </w:rPr>
        <w:t>$18.0 million</w:t>
      </w:r>
      <w:r>
        <w:rPr>
          <w:rFonts w:ascii="Arial" w:cs="Arial" w:eastAsia="Arial" w:hAnsi="Arial"/>
          <w:sz w:val="13"/>
          <w:szCs w:val="13"/>
          <w:color w:val="231F20"/>
        </w:rPr>
        <w:t xml:space="preserve"> of interest expense, net on Term Loan B attributable to the loan proceeds that were used to fund the $408.0</w:t>
      </w:r>
    </w:p>
    <w:p>
      <w:pPr>
        <w:spacing w:after="0" w:line="44" w:lineRule="exact"/>
        <w:rPr>
          <w:rFonts w:ascii="Arial" w:cs="Arial" w:eastAsia="Arial" w:hAnsi="Arial"/>
          <w:sz w:val="13"/>
          <w:szCs w:val="13"/>
          <w:color w:val="auto"/>
        </w:rPr>
      </w:pPr>
    </w:p>
    <w:p>
      <w:pPr>
        <w:ind w:left="652" w:right="280"/>
        <w:spacing w:after="0" w:line="259" w:lineRule="auto"/>
        <w:rPr>
          <w:rFonts w:ascii="Arial" w:cs="Arial" w:eastAsia="Arial" w:hAnsi="Arial"/>
          <w:sz w:val="13"/>
          <w:szCs w:val="13"/>
          <w:color w:val="auto"/>
        </w:rPr>
      </w:pPr>
      <w:r>
        <w:rPr>
          <w:rFonts w:ascii="Arial" w:cs="Arial" w:eastAsia="Arial" w:hAnsi="Arial"/>
          <w:sz w:val="15"/>
          <w:szCs w:val="15"/>
          <w:color w:val="231F20"/>
        </w:rPr>
        <w:t xml:space="preserve">million Illinois EO litigation settlement. The twelve months ended September 30, 2023 and December 31, 2022 exclude </w:t>
      </w:r>
      <w:r>
        <w:rPr>
          <w:rFonts w:ascii="Arial" w:cs="Arial" w:eastAsia="Arial" w:hAnsi="Arial"/>
          <w:sz w:val="15"/>
          <w:szCs w:val="15"/>
          <w:color w:val="000000"/>
        </w:rPr>
        <w:t>$7.8 million</w:t>
      </w:r>
      <w:r>
        <w:rPr>
          <w:rFonts w:ascii="Arial" w:cs="Arial" w:eastAsia="Arial" w:hAnsi="Arial"/>
          <w:sz w:val="15"/>
          <w:szCs w:val="15"/>
          <w:color w:val="231F20"/>
        </w:rPr>
        <w:t xml:space="preserve"> and </w:t>
      </w:r>
      <w:r>
        <w:rPr>
          <w:rFonts w:ascii="Arial" w:cs="Arial" w:eastAsia="Arial" w:hAnsi="Arial"/>
          <w:sz w:val="15"/>
          <w:szCs w:val="15"/>
          <w:color w:val="000000"/>
        </w:rPr>
        <w:t>$1.7 million</w:t>
      </w:r>
      <w:r>
        <w:rPr>
          <w:rFonts w:ascii="Arial" w:cs="Arial" w:eastAsia="Arial" w:hAnsi="Arial"/>
          <w:sz w:val="15"/>
          <w:szCs w:val="15"/>
          <w:color w:val="231F20"/>
        </w:rPr>
        <w:t>, respectively, net decrease in the fair value of interest rate derivatives not designated as hedging instruments recorded to interest expense.</w:t>
      </w:r>
    </w:p>
    <w:p>
      <w:pPr>
        <w:ind w:left="332" w:hanging="332"/>
        <w:spacing w:after="0"/>
        <w:tabs>
          <w:tab w:leader="none" w:pos="3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depreciation of Co-60 held at gamma irradiation sites.</w:t>
      </w:r>
    </w:p>
    <w:p>
      <w:pPr>
        <w:spacing w:after="0" w:line="22" w:lineRule="exact"/>
        <w:rPr>
          <w:sz w:val="20"/>
          <w:szCs w:val="20"/>
          <w:color w:val="auto"/>
        </w:rPr>
      </w:pPr>
    </w:p>
    <w:p>
      <w:pPr>
        <w:ind w:left="332" w:right="480" w:hanging="647"/>
        <w:spacing w:after="0" w:line="253" w:lineRule="auto"/>
        <w:tabs>
          <w:tab w:leader="none" w:pos="312" w:val="left"/>
        </w:tabs>
        <w:rPr>
          <w:sz w:val="20"/>
          <w:szCs w:val="20"/>
          <w:color w:val="auto"/>
        </w:rPr>
      </w:pPr>
      <w:r>
        <w:rPr>
          <w:rFonts w:ascii="Arial" w:cs="Arial" w:eastAsia="Arial" w:hAnsi="Arial"/>
          <w:sz w:val="15"/>
          <w:szCs w:val="15"/>
          <w:color w:val="231F20"/>
        </w:rPr>
        <w:t>(o</w:t>
      </w:r>
      <w:r>
        <w:rPr>
          <w:rFonts w:ascii="Arial" w:cs="Arial" w:eastAsia="Arial" w:hAnsi="Arial"/>
          <w:sz w:val="15"/>
          <w:szCs w:val="15"/>
          <w:color w:val="000000"/>
        </w:rPr>
        <w:t>)</w:t>
      </w:r>
      <w:r>
        <w:rPr>
          <w:rFonts w:ascii="Arial" w:cs="Arial" w:eastAsia="Arial" w:hAnsi="Arial"/>
          <w:sz w:val="15"/>
          <w:szCs w:val="15"/>
          <w:color w:val="auto"/>
        </w:rPr>
        <w:tab/>
        <w:t>Represents the difference between the income tax provision as determined under U.S. GAAP and the income tax benefit associated with pre-tax adjustments described in footnote (l).</w:t>
      </w:r>
    </w:p>
    <w:p>
      <w:pPr>
        <w:spacing w:after="0" w:line="1" w:lineRule="exact"/>
        <w:rPr>
          <w:sz w:val="20"/>
          <w:szCs w:val="20"/>
          <w:color w:val="auto"/>
        </w:rPr>
      </w:pPr>
    </w:p>
    <w:p>
      <w:pPr>
        <w:ind w:left="652" w:right="80" w:hanging="652"/>
        <w:spacing w:after="0" w:line="267" w:lineRule="auto"/>
        <w:tabs>
          <w:tab w:leader="none" w:pos="3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$90.5 million </w:t>
      </w:r>
      <w:r>
        <w:rPr>
          <w:rFonts w:ascii="Arial" w:cs="Arial" w:eastAsia="Arial" w:hAnsi="Arial"/>
          <w:sz w:val="15"/>
          <w:szCs w:val="15"/>
          <w:color w:val="231F20"/>
        </w:rPr>
        <w:t>and</w:t>
      </w:r>
      <w:r>
        <w:rPr>
          <w:rFonts w:ascii="Arial" w:cs="Arial" w:eastAsia="Arial" w:hAnsi="Arial"/>
          <w:sz w:val="15"/>
          <w:szCs w:val="15"/>
          <w:color w:val="auto"/>
        </w:rPr>
        <w:t xml:space="preserve"> $83.6 million </w:t>
      </w:r>
      <w:r>
        <w:rPr>
          <w:rFonts w:ascii="Arial" w:cs="Arial" w:eastAsia="Arial" w:hAnsi="Arial"/>
          <w:sz w:val="15"/>
          <w:szCs w:val="15"/>
          <w:color w:val="231F20"/>
        </w:rPr>
        <w:t>and of the adjustments for the twelve months ended</w:t>
      </w:r>
      <w:r>
        <w:rPr>
          <w:rFonts w:ascii="Arial" w:cs="Arial" w:eastAsia="Arial" w:hAnsi="Arial"/>
          <w:sz w:val="15"/>
          <w:szCs w:val="15"/>
          <w:color w:val="auto"/>
        </w:rPr>
        <w:t xml:space="preserve"> September 30, 2023 </w:t>
      </w:r>
      <w:r>
        <w:rPr>
          <w:rFonts w:ascii="Arial" w:cs="Arial" w:eastAsia="Arial" w:hAnsi="Arial"/>
          <w:sz w:val="15"/>
          <w:szCs w:val="15"/>
          <w:color w:val="231F20"/>
        </w:rPr>
        <w:t>and December 31, 2022, respectively, are included in cost of revenues,</w:t>
      </w:r>
      <w:r>
        <w:rPr>
          <w:rFonts w:ascii="Arial" w:cs="Arial" w:eastAsia="Arial" w:hAnsi="Arial"/>
          <w:sz w:val="15"/>
          <w:szCs w:val="15"/>
          <w:color w:val="auto"/>
        </w:rPr>
        <w:t xml:space="preserve"> </w:t>
      </w:r>
      <w:r>
        <w:rPr>
          <w:rFonts w:ascii="Arial" w:cs="Arial" w:eastAsia="Arial" w:hAnsi="Arial"/>
          <w:sz w:val="15"/>
          <w:szCs w:val="15"/>
          <w:color w:val="231F20"/>
        </w:rPr>
        <w:t>primarily consisting of amortization of intangible assets, depreciation, and accretion of asset retirement obligations.</w:t>
      </w:r>
    </w:p>
    <w:p>
      <w:pPr>
        <w:spacing w:after="0" w:line="38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14</w:t>
      </w:r>
    </w:p>
    <w:sectPr>
      <w:pgSz w:w="11900" w:h="16838" w:orient="portrait"/>
      <w:cols w:equalWidth="0" w:num="1">
        <w:col w:w="11172"/>
      </w:cols>
      <w:pgMar w:left="328"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lvl w:ilvl="1">
      <w:lvlJc w:val="left"/>
      <w:lvlText w:val="(%2)"/>
      <w:numFmt w:val="lowerLetter"/>
      <w:start w:val="35"/>
    </w:lvl>
  </w:abstractNum>
  <w:abstractNum w:abstractNumId="6">
    <w:nsid w:val="1F16E9E8"/>
    <w:multiLevelType w:val="hybridMultilevel"/>
    <w:lvl w:ilvl="0">
      <w:lvlJc w:val="left"/>
      <w:lvlText w:val="(%1)"/>
      <w:numFmt w:val="lowerLetter"/>
      <w:start w:val="6"/>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0"/>
    </w:lvl>
  </w:abstractNum>
  <w:abstractNum w:abstractNumId="9">
    <w:nsid w:val="140E0F76"/>
    <w:multiLevelType w:val="hybridMultilevel"/>
    <w:lvl w:ilvl="0">
      <w:lvlJc w:val="left"/>
      <w:lvlText w:val="(%1)"/>
      <w:numFmt w:val="lowerLetter"/>
      <w:start w:val="12"/>
    </w:lvl>
  </w:abstractNum>
  <w:abstractNum w:abstractNumId="10">
    <w:nsid w:val="3352255A"/>
    <w:multiLevelType w:val="hybridMultilevel"/>
    <w:lvl w:ilvl="0">
      <w:lvlJc w:val="left"/>
      <w:lvlText w:val="(%1)"/>
      <w:numFmt w:val="lowerLetter"/>
      <w:start w:val="15"/>
    </w:lvl>
  </w:abstractNum>
  <w:abstractNum w:abstractNumId="11">
    <w:nsid w:val="109CF92E"/>
    <w:multiLevelType w:val="hybridMultilevel"/>
    <w:lvl w:ilvl="0">
      <w:lvlJc w:val="left"/>
      <w:lvlText w:val="(%1)"/>
      <w:numFmt w:val="lowerLetter"/>
      <w:start w:val="1"/>
    </w:lvl>
    <w:lvl w:ilvl="1">
      <w:lvlJc w:val="left"/>
      <w:lvlText w:val="(%2)"/>
      <w:numFmt w:val="lowerLetter"/>
      <w:start w:val="35"/>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lowerLetter"/>
      <w:start w:val="13"/>
    </w:lvl>
  </w:abstractNum>
  <w:abstractNum w:abstractNumId="14">
    <w:nsid w:val="1BEFD79F"/>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2023-11-01T06:15:19Z</dcterms:created>
  <dcterms:modified xsi:type="dcterms:W3CDTF">2023-11-01T06:15:19Z</dcterms:modified>
</cp:coreProperties>
</file>