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8"/>
        <w:gridCol w:w="903"/>
        <w:gridCol w:w="776"/>
        <w:gridCol w:w="599"/>
        <w:gridCol w:w="331"/>
        <w:gridCol w:w="1281"/>
        <w:gridCol w:w="403"/>
        <w:gridCol w:w="828"/>
        <w:gridCol w:w="1077"/>
        <w:gridCol w:w="935"/>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19,102,952</w:t>
            </w:r>
            <w:r>
              <w:rPr>
                <w:rFonts w:ascii="Times;serif" w:hAnsi="Times;serif"/>
                <w:color w:val="008000"/>
                <w:position w:val="7"/>
                <w:sz w:val="16"/>
                <w:sz w:val="20"/>
                <w:shd w:fill="FFFFFF" w:val="clear"/>
              </w:rPr>
              <w:t>(1)</w:t>
            </w:r>
            <w:r>
              <w:rPr/>
              <w:t xml:space="preserve"> </w:t>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15.168</w:t>
            </w:r>
            <w:r>
              <w:rPr/>
              <w:t xml:space="preserve"> </w:t>
            </w:r>
          </w:p>
        </w:tc>
        <w:tc>
          <w:tcPr>
            <w:tcW w:w="10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WARBURG PINCUS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Bull Co-Invest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Warburg Pincus Private Equity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Bull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Warburg Pincus Partners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Warburg Pincus Private Equity XI-B,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Warburg Pincus XI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Warburg Pincus XI,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WP Global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8">
                    <w:r>
                      <w:rPr>
                        <w:rStyle w:val="InternetLink"/>
                      </w:rPr>
                      <w:t>WP XI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WARBURG PINCUS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 LEXINGTON AVENUE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13, 2026, certain of the Warburg Pincus Entities (as defined below) sold a total of 19,102,952 shares of Common Stock of Sotera Health Company (the "Issuer") in an underwritten public secondary offering (the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WP XI Funds, Bull Co-Invest L.P. ("Bull Co-Invest"), Bull Holdco L.P. ("Bull Holdco"), WP Global, WPP II, WPP GP LLC, WP XI Cayman GP, WP XI-C LLC, WPP II Cayman, WP Bermuda GP, WP Bull Manager, WP LLC and WP are collectively referred to herein as the "Warburg Pincus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Form 1 of 2. Two reports are filed that relate to the same transactions. See Form 2 of 2 for additional reporting entities.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Reporting Owners and Signature Page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designated filer: </w:t>
      </w:r>
      <w:r>
        <w:rPr>
          <w:rFonts w:ascii="Times New Roman;Times;Serif" w:hAnsi="Times New Roman;Times;Serif"/>
          <w:b w:val="false"/>
          <w:i w:val="false"/>
          <w:caps/>
          <w:sz w:val="20"/>
        </w:rPr>
        <w:t>Warburg Pincus &amp; Co.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joint filers: Warburg Pincus Private Equity XI-C, L.P., Warburg Pincus (Cayman) XI, L.P., Warburg Pincus XI-C, LLC, Warburg Pincus Partners II (Cayman), L.P., Warburg Pincus (Bermuda) Private Equity GP Ltd., Warburg Pincus LLC, Warburg Pincus Partners GP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each joint filer is: c/o Warburg Pincus &amp; Co., 450 Lexington Avenue, New York, New York 10017</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 Sotera Health Co [SHC]</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665"/>
        <w:gridCol w:w="6665"/>
        <w:gridCol w:w="1115"/>
      </w:tblGrid>
      <w:tr>
        <w:trPr/>
        <w:tc>
          <w:tcPr>
            <w:tcW w:w="7330" w:type="dxa"/>
            <w:gridSpan w:val="2"/>
            <w:tcBorders/>
            <w:vAlign w:val="center"/>
          </w:tcPr>
          <w:p>
            <w:pPr>
              <w:pStyle w:val="TableContents"/>
              <w:bidi w:val="0"/>
              <w:spacing w:before="0" w:after="283"/>
              <w:jc w:val="left"/>
              <w:rPr>
                <w:b/>
              </w:rPr>
            </w:pPr>
            <w:r>
              <w:rPr>
                <w:b/>
              </w:rPr>
              <w:t>WARBURG PINCUS &amp; CO.</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PRIVATE EQUITY XI-C, L.P.</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(Cayman) XI, L.P.,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XI-C, LLC,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Partners II (Cayman), L.P., its managing member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(Bermuda) Private Equity GP Ltd.,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Authorised Signatory</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WARBURG PINCUS (CAYMAN) XI, L.P.</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XI-C, LLC,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Partners II (Cayman), L.P., its managing member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(Bermuda) Private Equity GP Ltd.,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Authorised Signatory</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spacing w:before="0" w:after="283"/>
              <w:jc w:val="left"/>
              <w:rPr>
                <w:b/>
              </w:rPr>
            </w:pPr>
            <w:r>
              <w:rPr>
                <w:b/>
              </w:rPr>
              <w:t>WARBURG PINCUS XI-C, LLC</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Partners II (Cayman), L.P., its managing member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(Bermuda) Private Equity GP Ltd.,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Authorised Signatory</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spacing w:before="0" w:after="283"/>
              <w:jc w:val="left"/>
              <w:rPr>
                <w:b/>
              </w:rPr>
            </w:pPr>
            <w:r>
              <w:rPr>
                <w:b/>
              </w:rPr>
              <w:t>WARBURG PINCUS PARTNERS II (CAYMAN), L.P.</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(Bermuda) Private Equity GP Ltd., its general 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Authorised Signatory</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spacing w:before="0" w:after="283"/>
              <w:jc w:val="left"/>
              <w:rPr>
                <w:b/>
              </w:rPr>
            </w:pPr>
            <w:r>
              <w:rPr>
                <w:b/>
              </w:rPr>
              <w:t>WARBURG PINCUS (BERMUDA) PRIVATE EQUITY GP LTD.</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Authorised Signatory</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spacing w:before="0" w:after="283"/>
              <w:jc w:val="left"/>
              <w:rPr>
                <w:b/>
              </w:rPr>
            </w:pPr>
            <w:r>
              <w:rPr>
                <w:b/>
              </w:rPr>
              <w:t>WARBURG PINCUS LLC</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Managing Director, Chief Legal Officer and Head of New Solutions</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7330" w:type="dxa"/>
            <w:gridSpan w:val="2"/>
            <w:tcBorders/>
            <w:vAlign w:val="center"/>
          </w:tcPr>
          <w:p>
            <w:pPr>
              <w:pStyle w:val="TableContents"/>
              <w:bidi w:val="0"/>
              <w:spacing w:before="0" w:after="283"/>
              <w:jc w:val="left"/>
              <w:rPr>
                <w:b/>
              </w:rPr>
            </w:pPr>
            <w:r>
              <w:rPr>
                <w:b/>
              </w:rPr>
              <w:t>WARBURG PINCUS PARTNERS GP LLC</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pPr>
            <w:r>
              <w:rPr/>
              <w:t>Warburg Pincus &amp; Co., its managing member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6665" w:type="dxa"/>
            <w:tcBorders/>
            <w:vAlign w:val="center"/>
          </w:tcPr>
          <w:p>
            <w:pPr>
              <w:pStyle w:val="TableContents"/>
              <w:bidi w:val="0"/>
              <w:spacing w:before="0" w:after="283"/>
              <w:jc w:val="left"/>
              <w:rPr>
                <w:u w:val="single"/>
              </w:rPr>
            </w:pPr>
            <w:r>
              <w:rPr>
                <w:u w:val="single"/>
              </w:rPr>
              <w:t>/s/ Harsha G. Marti</w:t>
            </w:r>
          </w:p>
        </w:tc>
        <w:tc>
          <w:tcPr>
            <w:tcW w:w="1115" w:type="dxa"/>
            <w:tcBorders/>
            <w:vAlign w:val="center"/>
          </w:tcPr>
          <w:p>
            <w:pPr>
              <w:pStyle w:val="TableContents"/>
              <w:bidi w:val="0"/>
              <w:spacing w:before="0" w:after="283"/>
              <w:jc w:val="left"/>
              <w:rPr>
                <w:u w:val="single"/>
              </w:rPr>
            </w:pPr>
            <w:r>
              <w:rPr>
                <w:u w:val="single"/>
              </w:rPr>
              <w:t>05/15/2026</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Signature of Reporting Person</w:t>
            </w:r>
          </w:p>
        </w:tc>
        <w:tc>
          <w:tcPr>
            <w:tcW w:w="1115" w:type="dxa"/>
            <w:tcBorders/>
            <w:vAlign w:val="center"/>
          </w:tcPr>
          <w:p>
            <w:pPr>
              <w:pStyle w:val="TableContents"/>
              <w:bidi w:val="0"/>
              <w:spacing w:before="0" w:after="283"/>
              <w:jc w:val="left"/>
              <w:rPr/>
            </w:pPr>
            <w:r>
              <w:rPr/>
              <w:t>Date</w:t>
            </w:r>
          </w:p>
        </w:tc>
      </w:tr>
      <w:tr>
        <w:trPr/>
        <w:tc>
          <w:tcPr>
            <w:tcW w:w="665" w:type="dxa"/>
            <w:tcBorders/>
            <w:vAlign w:val="center"/>
          </w:tcPr>
          <w:p>
            <w:pPr>
              <w:pStyle w:val="TableContents"/>
              <w:bidi w:val="0"/>
              <w:spacing w:before="0" w:after="283"/>
              <w:jc w:val="left"/>
              <w:rPr/>
            </w:pPr>
            <w:r>
              <w:rPr/>
              <w:t>Name:</w:t>
            </w:r>
          </w:p>
        </w:tc>
        <w:tc>
          <w:tcPr>
            <w:tcW w:w="6665" w:type="dxa"/>
            <w:tcBorders/>
            <w:vAlign w:val="center"/>
          </w:tcPr>
          <w:p>
            <w:pPr>
              <w:pStyle w:val="TableContents"/>
              <w:bidi w:val="0"/>
              <w:spacing w:before="0" w:after="283"/>
              <w:jc w:val="left"/>
              <w:rPr/>
            </w:pPr>
            <w:r>
              <w:rPr/>
              <w:t>Harsha G. Marti</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6665" w:type="dxa"/>
            <w:tcBorders/>
            <w:vAlign w:val="center"/>
          </w:tcPr>
          <w:p>
            <w:pPr>
              <w:pStyle w:val="TableContents"/>
              <w:bidi w:val="0"/>
              <w:spacing w:before="0" w:after="283"/>
              <w:jc w:val="left"/>
              <w:rPr/>
            </w:pPr>
            <w:r>
              <w:rPr/>
              <w:t>Partner</w:t>
            </w:r>
          </w:p>
        </w:tc>
        <w:tc>
          <w:tcPr>
            <w:tcW w:w="111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9408"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929408" TargetMode="External"/><Relationship Id="rId10" Type="http://schemas.openxmlformats.org/officeDocument/2006/relationships/hyperlink" Target="http://www.sec.gov/cgi-bin/browse-edgar?action=getcompany&amp;CIK=0001832693" TargetMode="External"/><Relationship Id="rId11" Type="http://schemas.openxmlformats.org/officeDocument/2006/relationships/hyperlink" Target="http://www.sec.gov/cgi-bin/browse-edgar?action=getcompany&amp;CIK=0001540163" TargetMode="External"/><Relationship Id="rId12" Type="http://schemas.openxmlformats.org/officeDocument/2006/relationships/hyperlink" Target="http://www.sec.gov/cgi-bin/browse-edgar?action=getcompany&amp;CIK=0002014247" TargetMode="External"/><Relationship Id="rId13" Type="http://schemas.openxmlformats.org/officeDocument/2006/relationships/hyperlink" Target="http://www.sec.gov/cgi-bin/browse-edgar?action=getcompany&amp;CIK=0001658787" TargetMode="External"/><Relationship Id="rId14" Type="http://schemas.openxmlformats.org/officeDocument/2006/relationships/hyperlink" Target="http://www.sec.gov/cgi-bin/browse-edgar?action=getcompany&amp;CIK=0001540166" TargetMode="External"/><Relationship Id="rId15" Type="http://schemas.openxmlformats.org/officeDocument/2006/relationships/hyperlink" Target="http://www.sec.gov/cgi-bin/browse-edgar?action=getcompany&amp;CIK=0001540386" TargetMode="External"/><Relationship Id="rId16" Type="http://schemas.openxmlformats.org/officeDocument/2006/relationships/hyperlink" Target="http://www.sec.gov/cgi-bin/browse-edgar?action=getcompany&amp;CIK=0001540167" TargetMode="External"/><Relationship Id="rId17" Type="http://schemas.openxmlformats.org/officeDocument/2006/relationships/hyperlink" Target="http://www.sec.gov/cgi-bin/browse-edgar?action=getcompany&amp;CIK=0001540385" TargetMode="External"/><Relationship Id="rId18" Type="http://schemas.openxmlformats.org/officeDocument/2006/relationships/hyperlink" Target="http://www.sec.gov/cgi-bin/browse-edgar?action=getcompany&amp;CIK=0001540164"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1760</Words>
  <Characters>9179</Characters>
  <CharactersWithSpaces>10773</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