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511810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528955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4"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March 9, 2021</w:t>
      </w:r>
    </w:p>
    <w:p>
      <w:pPr>
        <w:spacing w:after="0" w:line="2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SOTERA HEALTH COMPANY</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(Exact Name of Registrant as Specified in Charter)</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985" w:right="299" w:bottom="1440" w:gutter="0" w:footer="0" w:header="0"/>
        </w:sectPr>
      </w:pPr>
    </w:p>
    <w:p>
      <w:pPr>
        <w:spacing w:after="0" w:line="33" w:lineRule="exact"/>
        <w:rPr>
          <w:sz w:val="24"/>
          <w:szCs w:val="24"/>
          <w:color w:val="auto"/>
        </w:rPr>
      </w:pPr>
    </w:p>
    <w:p>
      <w:pPr>
        <w:ind w:left="16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2540"/>
        <w:spacing w:after="0"/>
        <w:rPr>
          <w:sz w:val="20"/>
          <w:szCs w:val="20"/>
          <w:color w:val="auto"/>
        </w:rPr>
      </w:pPr>
      <w:r>
        <w:rPr>
          <w:rFonts w:ascii="Arial" w:cs="Arial" w:eastAsia="Arial" w:hAnsi="Arial"/>
          <w:sz w:val="10"/>
          <w:szCs w:val="10"/>
          <w:b w:val="1"/>
          <w:bCs w:val="1"/>
          <w:color w:val="auto"/>
        </w:rPr>
        <w:t>001-39729</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47-3531161</w:t>
      </w:r>
    </w:p>
    <w:p>
      <w:pPr>
        <w:spacing w:after="0" w:line="65" w:lineRule="exact"/>
        <w:rPr>
          <w:sz w:val="24"/>
          <w:szCs w:val="24"/>
          <w:color w:val="auto"/>
        </w:rPr>
      </w:pPr>
    </w:p>
    <w:p>
      <w:pPr>
        <w:sectPr>
          <w:pgSz w:w="11900" w:h="16838" w:orient="portrait"/>
          <w:cols w:equalWidth="0" w:num="3">
            <w:col w:w="4660" w:space="720"/>
            <w:col w:w="3060" w:space="720"/>
            <w:col w:w="2140"/>
          </w:cols>
          <w:pgMar w:left="300" w:top="985" w:right="299" w:bottom="1440" w:gutter="0" w:footer="0" w:header="0"/>
          <w:type w:val="continuous"/>
        </w:sectPr>
      </w:pPr>
    </w:p>
    <w:p>
      <w:pPr>
        <w:ind w:left="980"/>
        <w:spacing w:after="0"/>
        <w:rPr>
          <w:sz w:val="20"/>
          <w:szCs w:val="20"/>
          <w:color w:val="auto"/>
        </w:rPr>
      </w:pPr>
      <w:r>
        <w:rPr>
          <w:rFonts w:ascii="Arial" w:cs="Arial" w:eastAsia="Arial" w:hAnsi="Arial"/>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151" w:lineRule="exact"/>
        <w:rPr>
          <w:sz w:val="24"/>
          <w:szCs w:val="24"/>
          <w:color w:val="auto"/>
        </w:rPr>
      </w:pPr>
    </w:p>
    <w:p>
      <w:pPr>
        <w:sectPr>
          <w:pgSz w:w="11900" w:h="16838" w:orient="portrait"/>
          <w:cols w:equalWidth="0" w:num="3">
            <w:col w:w="4380" w:space="720"/>
            <w:col w:w="2960" w:space="720"/>
            <w:col w:w="2520"/>
          </w:cols>
          <w:pgMar w:left="300" w:top="985" w:right="299" w:bottom="1440" w:gutter="0" w:footer="0" w:header="0"/>
          <w:type w:val="continuous"/>
        </w:sectPr>
      </w:pPr>
    </w:p>
    <w:p>
      <w:pPr>
        <w:ind w:left="4820"/>
        <w:spacing w:after="0"/>
        <w:rPr>
          <w:sz w:val="20"/>
          <w:szCs w:val="20"/>
          <w:color w:val="auto"/>
        </w:rPr>
      </w:pPr>
      <w:r>
        <w:rPr>
          <w:rFonts w:ascii="Arial" w:cs="Arial" w:eastAsia="Arial" w:hAnsi="Arial"/>
          <w:sz w:val="12"/>
          <w:szCs w:val="12"/>
          <w:b w:val="1"/>
          <w:bCs w:val="1"/>
          <w:color w:val="auto"/>
        </w:rPr>
        <w:t>9100 South Hills Blvd, Suite 300</w:t>
      </w:r>
    </w:p>
    <w:p>
      <w:pPr>
        <w:spacing w:after="0" w:line="19" w:lineRule="exact"/>
        <w:rPr>
          <w:sz w:val="24"/>
          <w:szCs w:val="24"/>
          <w:color w:val="auto"/>
        </w:rPr>
      </w:pPr>
    </w:p>
    <w:p>
      <w:pPr>
        <w:ind w:left="4840"/>
        <w:spacing w:after="0"/>
        <w:rPr>
          <w:sz w:val="20"/>
          <w:szCs w:val="20"/>
          <w:color w:val="auto"/>
        </w:rPr>
      </w:pPr>
      <w:r>
        <w:rPr>
          <w:rFonts w:ascii="Arial" w:cs="Arial" w:eastAsia="Arial" w:hAnsi="Arial"/>
          <w:sz w:val="12"/>
          <w:szCs w:val="12"/>
          <w:b w:val="1"/>
          <w:bCs w:val="1"/>
          <w:color w:val="auto"/>
        </w:rPr>
        <w:t>Broadview Heights, Ohio 44147</w:t>
      </w:r>
    </w:p>
    <w:p>
      <w:pPr>
        <w:jc w:val="center"/>
        <w:ind w:right="20"/>
        <w:spacing w:after="0"/>
        <w:rPr>
          <w:sz w:val="20"/>
          <w:szCs w:val="20"/>
          <w:color w:val="auto"/>
        </w:rPr>
      </w:pPr>
      <w:r>
        <w:rPr>
          <w:rFonts w:ascii="Arial" w:cs="Arial" w:eastAsia="Arial" w:hAnsi="Arial"/>
          <w:sz w:val="10"/>
          <w:szCs w:val="10"/>
          <w:color w:val="auto"/>
        </w:rPr>
        <w:t>(Address of Principal Executive Offices) (Zip Code)</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(440) 262-1410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(Registrant’s telephone number, including area code)</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8"/>
          <w:szCs w:val="8"/>
          <w:color w:val="auto"/>
        </w:rPr>
        <w:t>(Former name or former address, if changed since last report)</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985" w:right="299" w:bottom="1440" w:gutter="0" w:footer="0" w:header="0"/>
          <w:type w:val="continuous"/>
        </w:sectPr>
      </w:pPr>
    </w:p>
    <w:p>
      <w:pPr>
        <w:spacing w:after="0" w:line="117" w:lineRule="exact"/>
        <w:rPr>
          <w:sz w:val="24"/>
          <w:szCs w:val="24"/>
          <w:color w:val="auto"/>
        </w:rPr>
      </w:pPr>
    </w:p>
    <w:p>
      <w:pPr>
        <w:ind w:left="28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23"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right="5540" w:firstLine="4"/>
        <w:spacing w:after="0" w:line="526" w:lineRule="auto"/>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10"/>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2"/>
          </w:tcPr>
          <w:p>
            <w:pPr>
              <w:jc w:val="center"/>
              <w:ind w:right="100"/>
              <w:spacing w:after="0" w:line="110" w:lineRule="exact"/>
              <w:rPr>
                <w:sz w:val="20"/>
                <w:szCs w:val="20"/>
                <w:color w:val="auto"/>
              </w:rPr>
            </w:pPr>
            <w:r>
              <w:rPr>
                <w:rFonts w:ascii="Arial" w:cs="Arial" w:eastAsia="Arial" w:hAnsi="Arial"/>
                <w:sz w:val="10"/>
                <w:szCs w:val="10"/>
                <w:b w:val="1"/>
                <w:bCs w:val="1"/>
                <w:color w:val="auto"/>
                <w:w w:val="87"/>
              </w:rPr>
              <w:t>Trading</w:t>
            </w:r>
          </w:p>
        </w:tc>
        <w:tc>
          <w:tcPr>
            <w:tcW w:w="37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87"/>
              </w:rPr>
              <w:t>Name of Exchange</w:t>
            </w:r>
          </w:p>
        </w:tc>
      </w:tr>
      <w:tr>
        <w:trPr>
          <w:trHeight w:val="14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10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Symbol</w:t>
            </w:r>
          </w:p>
        </w:tc>
        <w:tc>
          <w:tcPr>
            <w:tcW w:w="12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9"/>
        </w:trPr>
        <w:tc>
          <w:tcPr>
            <w:tcW w:w="3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Common stock, $0.01 par value per share</w:t>
            </w:r>
          </w:p>
        </w:tc>
        <w:tc>
          <w:tcPr>
            <w:tcW w:w="3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SHC</w:t>
            </w:r>
          </w:p>
        </w:tc>
        <w:tc>
          <w:tcPr>
            <w:tcW w:w="3700" w:type="dxa"/>
            <w:vAlign w:val="bottom"/>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bl>
    <w:p>
      <w:pPr>
        <w:spacing w:after="0" w:line="126" w:lineRule="exact"/>
        <w:rPr>
          <w:sz w:val="24"/>
          <w:szCs w:val="24"/>
          <w:color w:val="auto"/>
        </w:rPr>
      </w:pPr>
    </w:p>
    <w:p>
      <w:pPr>
        <w:jc w:val="both"/>
        <w:ind w:left="9820" w:hanging="9825"/>
        <w:spacing w:after="0" w:line="213"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1"/>
          <w:szCs w:val="11"/>
          <w:color w:val="auto"/>
        </w:rPr>
        <w:t>☒</w:t>
      </w:r>
    </w:p>
    <w:p>
      <w:pPr>
        <w:spacing w:after="0" w:line="105"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85" w:right="299" w:bottom="144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09" w:lineRule="exact"/>
        <w:rPr>
          <w:sz w:val="20"/>
          <w:szCs w:val="20"/>
          <w:color w:val="auto"/>
        </w:rPr>
      </w:pPr>
    </w:p>
    <w:p>
      <w:pPr>
        <w:ind w:left="8" w:right="100"/>
        <w:spacing w:after="0" w:line="247" w:lineRule="auto"/>
        <w:rPr>
          <w:sz w:val="20"/>
          <w:szCs w:val="20"/>
          <w:color w:val="auto"/>
        </w:rPr>
      </w:pPr>
      <w:r>
        <w:rPr>
          <w:rFonts w:ascii="Arial" w:cs="Arial" w:eastAsia="Arial" w:hAnsi="Arial"/>
          <w:sz w:val="12"/>
          <w:szCs w:val="12"/>
          <w:color w:val="auto"/>
        </w:rPr>
        <w:t>On March 9, 2021, Sotera Health Company (the “Company”) issued a press release (the “Press Release”) announcing its financial results for the quarter and year ended December 31, 2020. The Company will hold its previously announced conference call on March 9, 2021, at 9:00 a.m. ET, to discuss its financial results for the quarter and year ended December 31, 2020 and full-year 2021 outlook. A copy of the Press Release is attached hereto as Exhibit 99.1 and is incorporated herein by reference.</w:t>
      </w:r>
    </w:p>
    <w:p>
      <w:pPr>
        <w:spacing w:after="0" w:line="87" w:lineRule="exact"/>
        <w:rPr>
          <w:sz w:val="20"/>
          <w:szCs w:val="20"/>
          <w:color w:val="auto"/>
        </w:rPr>
      </w:pPr>
    </w:p>
    <w:p>
      <w:pPr>
        <w:ind w:left="8" w:right="60"/>
        <w:spacing w:after="0" w:line="360" w:lineRule="auto"/>
        <w:rPr>
          <w:sz w:val="20"/>
          <w:szCs w:val="20"/>
          <w:color w:val="auto"/>
        </w:rPr>
      </w:pPr>
      <w:r>
        <w:rPr>
          <w:rFonts w:ascii="Arial" w:cs="Arial" w:eastAsia="Arial" w:hAnsi="Arial"/>
          <w:sz w:val="10"/>
          <w:szCs w:val="10"/>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109" w:lineRule="exact"/>
        <w:rPr>
          <w:sz w:val="20"/>
          <w:szCs w:val="20"/>
          <w:color w:val="auto"/>
        </w:rPr>
      </w:pPr>
    </w:p>
    <w:p>
      <w:pPr>
        <w:ind w:left="8" w:right="120"/>
        <w:spacing w:after="0" w:line="260" w:lineRule="auto"/>
        <w:rPr>
          <w:sz w:val="20"/>
          <w:szCs w:val="20"/>
          <w:color w:val="auto"/>
        </w:rPr>
      </w:pPr>
      <w:r>
        <w:rPr>
          <w:rFonts w:ascii="Arial" w:cs="Arial" w:eastAsia="Arial" w:hAnsi="Arial"/>
          <w:sz w:val="12"/>
          <w:szCs w:val="12"/>
          <w:color w:val="auto"/>
        </w:rPr>
        <w:t>On March 9, 2021, the Company posted its fourth quarter and full-year 2020 presentation (the “Investor Presentation”) to the “Presentations and Events” section of its website accessible at https://investors.soterahealth.com. A copy of the Investor Presentation is attached hereto as Exhibit 99.2 and is incorporated herein by reference.</w:t>
      </w:r>
    </w:p>
    <w:p>
      <w:pPr>
        <w:spacing w:after="0" w:line="79" w:lineRule="exact"/>
        <w:rPr>
          <w:sz w:val="20"/>
          <w:szCs w:val="20"/>
          <w:color w:val="auto"/>
        </w:rPr>
      </w:pPr>
    </w:p>
    <w:p>
      <w:pPr>
        <w:ind w:left="8" w:right="20"/>
        <w:spacing w:after="0" w:line="260" w:lineRule="auto"/>
        <w:rPr>
          <w:sz w:val="20"/>
          <w:szCs w:val="20"/>
          <w:color w:val="auto"/>
        </w:rPr>
      </w:pPr>
      <w:r>
        <w:rPr>
          <w:rFonts w:ascii="Arial" w:cs="Arial" w:eastAsia="Arial" w:hAnsi="Arial"/>
          <w:sz w:val="12"/>
          <w:szCs w:val="12"/>
          <w:color w:val="auto"/>
        </w:rPr>
        <w:t>The information in this Item 7.01, including Exhibit 99.2, is being furnished and shall not be deemed “filed” for purposes of Section 18 of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79" w:lineRule="exact"/>
        <w:rPr>
          <w:sz w:val="20"/>
          <w:szCs w:val="20"/>
          <w:color w:val="auto"/>
        </w:rPr>
      </w:pPr>
    </w:p>
    <w:p>
      <w:pPr>
        <w:ind w:left="8" w:right="220"/>
        <w:spacing w:after="0" w:line="260" w:lineRule="auto"/>
        <w:rPr>
          <w:sz w:val="20"/>
          <w:szCs w:val="20"/>
          <w:color w:val="auto"/>
        </w:rPr>
      </w:pPr>
      <w:r>
        <w:rPr>
          <w:rFonts w:ascii="Arial" w:cs="Arial" w:eastAsia="Arial" w:hAnsi="Arial"/>
          <w:sz w:val="12"/>
          <w:szCs w:val="12"/>
          <w:color w:val="auto"/>
        </w:rPr>
        <w:t>The Company makes reference to non-GAAP financial information in the Company’s Press Release and Investor Presentation. A reconciliation of these non-GAAP financial measures to the comparable GAAP financial measures is contained in the Press Release and Investor Presentation.</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18" w:lineRule="exact"/>
        <w:rPr>
          <w:sz w:val="20"/>
          <w:szCs w:val="20"/>
          <w:color w:val="auto"/>
        </w:rPr>
      </w:pPr>
    </w:p>
    <w:p>
      <w:pPr>
        <w:ind w:left="168" w:hanging="168"/>
        <w:spacing w:after="0"/>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Exhibits</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1360" w:type="dxa"/>
            <w:vAlign w:val="bottom"/>
            <w:gridSpan w:val="2"/>
          </w:tcPr>
          <w:p>
            <w:pPr>
              <w:spacing w:after="0"/>
              <w:rPr>
                <w:sz w:val="20"/>
                <w:szCs w:val="20"/>
                <w:color w:val="auto"/>
              </w:rPr>
            </w:pPr>
            <w:r>
              <w:rPr>
                <w:rFonts w:ascii="Arial" w:cs="Arial" w:eastAsia="Arial" w:hAnsi="Arial"/>
                <w:sz w:val="10"/>
                <w:szCs w:val="10"/>
                <w:color w:val="auto"/>
              </w:rPr>
              <w:t>Exhibit Number</w:t>
            </w:r>
          </w:p>
        </w:tc>
        <w:tc>
          <w:tcPr>
            <w:tcW w:w="9940" w:type="dxa"/>
            <w:vAlign w:val="bottom"/>
          </w:tcPr>
          <w:p>
            <w:pPr>
              <w:ind w:left="20"/>
              <w:spacing w:after="0"/>
              <w:rPr>
                <w:sz w:val="20"/>
                <w:szCs w:val="20"/>
                <w:color w:val="auto"/>
              </w:rPr>
            </w:pPr>
            <w:r>
              <w:rPr>
                <w:rFonts w:ascii="Arial" w:cs="Arial" w:eastAsia="Arial" w:hAnsi="Arial"/>
                <w:sz w:val="10"/>
                <w:szCs w:val="10"/>
                <w:color w:val="auto"/>
              </w:rPr>
              <w:t>Description</w:t>
            </w:r>
          </w:p>
        </w:tc>
      </w:tr>
      <w:tr>
        <w:trPr>
          <w:trHeight w:val="159"/>
        </w:trPr>
        <w:tc>
          <w:tcPr>
            <w:tcW w:w="12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80" w:type="dxa"/>
            <w:vAlign w:val="bottom"/>
          </w:tcPr>
          <w:p>
            <w:pPr>
              <w:spacing w:after="0"/>
              <w:rPr>
                <w:sz w:val="13"/>
                <w:szCs w:val="13"/>
                <w:color w:val="auto"/>
              </w:rPr>
            </w:pPr>
          </w:p>
        </w:tc>
        <w:tc>
          <w:tcPr>
            <w:tcW w:w="9940" w:type="dxa"/>
            <w:vAlign w:val="bottom"/>
            <w:tcBorders>
              <w:top w:val="single" w:sz="8" w:color="auto"/>
            </w:tcBorders>
          </w:tcPr>
          <w:p>
            <w:pPr>
              <w:ind w:left="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Press Release, dated March 9, 2021</w:t>
              </w:r>
            </w:hyperlink>
          </w:p>
        </w:tc>
      </w:tr>
      <w:tr>
        <w:trPr>
          <w:trHeight w:val="180"/>
        </w:trPr>
        <w:tc>
          <w:tcPr>
            <w:tcW w:w="1280" w:type="dxa"/>
            <w:vAlign w:val="bottom"/>
          </w:tcPr>
          <w:p>
            <w:pPr>
              <w:spacing w:after="0"/>
              <w:rPr>
                <w:sz w:val="20"/>
                <w:szCs w:val="20"/>
                <w:color w:val="auto"/>
              </w:rPr>
            </w:pPr>
            <w:r>
              <w:rPr>
                <w:rFonts w:ascii="Arial" w:cs="Arial" w:eastAsia="Arial" w:hAnsi="Arial"/>
                <w:sz w:val="12"/>
                <w:szCs w:val="12"/>
                <w:color w:val="auto"/>
              </w:rPr>
              <w:t>99.2</w:t>
            </w:r>
          </w:p>
        </w:tc>
        <w:tc>
          <w:tcPr>
            <w:tcW w:w="80" w:type="dxa"/>
            <w:vAlign w:val="bottom"/>
          </w:tcPr>
          <w:p>
            <w:pPr>
              <w:spacing w:after="0"/>
              <w:rPr>
                <w:sz w:val="15"/>
                <w:szCs w:val="15"/>
                <w:color w:val="auto"/>
              </w:rPr>
            </w:pPr>
          </w:p>
        </w:tc>
        <w:tc>
          <w:tcPr>
            <w:tcW w:w="9940" w:type="dxa"/>
            <w:vAlign w:val="bottom"/>
          </w:tcPr>
          <w:p>
            <w:pPr>
              <w:ind w:left="20"/>
              <w:spacing w:after="0"/>
              <w:rPr>
                <w:rFonts w:ascii="Arial" w:cs="Arial" w:eastAsia="Arial" w:hAnsi="Arial"/>
                <w:sz w:val="12"/>
                <w:szCs w:val="12"/>
                <w:u w:val="single" w:color="auto"/>
                <w:color w:val="0000FF"/>
              </w:rPr>
            </w:pPr>
            <w:hyperlink w:anchor="page15">
              <w:r>
                <w:rPr>
                  <w:rFonts w:ascii="Arial" w:cs="Arial" w:eastAsia="Arial" w:hAnsi="Arial"/>
                  <w:sz w:val="12"/>
                  <w:szCs w:val="12"/>
                  <w:u w:val="single" w:color="auto"/>
                  <w:color w:val="0000FF"/>
                </w:rPr>
                <w:t>Investor Presentation, dated March 9, 2021</w:t>
              </w:r>
            </w:hyperlink>
          </w:p>
        </w:tc>
      </w:tr>
    </w:tbl>
    <w:p>
      <w:pPr>
        <w:sectPr>
          <w:pgSz w:w="11900" w:h="16838" w:orient="portrait"/>
          <w:cols w:equalWidth="0" w:num="1">
            <w:col w:w="11308"/>
          </w:cols>
          <w:pgMar w:left="292" w:top="343"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00" w:type="dxa"/>
            <w:vAlign w:val="bottom"/>
          </w:tcPr>
          <w:p>
            <w:pPr>
              <w:spacing w:after="0"/>
              <w:rPr>
                <w:sz w:val="12"/>
                <w:szCs w:val="12"/>
                <w:color w:val="auto"/>
              </w:rPr>
            </w:pPr>
          </w:p>
        </w:tc>
        <w:tc>
          <w:tcPr>
            <w:tcW w:w="8200" w:type="dxa"/>
            <w:vAlign w:val="bottom"/>
            <w:gridSpan w:val="3"/>
          </w:tcPr>
          <w:p>
            <w:pPr>
              <w:ind w:left="2120"/>
              <w:spacing w:after="0"/>
              <w:rPr>
                <w:sz w:val="20"/>
                <w:szCs w:val="20"/>
                <w:color w:val="auto"/>
              </w:rPr>
            </w:pPr>
            <w:r>
              <w:rPr>
                <w:rFonts w:ascii="Arial" w:cs="Arial" w:eastAsia="Arial" w:hAnsi="Arial"/>
                <w:sz w:val="12"/>
                <w:szCs w:val="12"/>
                <w:color w:val="auto"/>
              </w:rPr>
              <w:t>Sotera Health Company</w:t>
            </w:r>
          </w:p>
        </w:tc>
      </w:tr>
      <w:tr>
        <w:trPr>
          <w:trHeight w:val="153"/>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60" w:type="dxa"/>
            <w:vAlign w:val="bottom"/>
            <w:gridSpan w:val="2"/>
          </w:tcPr>
          <w:p>
            <w:pPr>
              <w:ind w:left="60"/>
              <w:spacing w:after="0"/>
              <w:rPr>
                <w:sz w:val="20"/>
                <w:szCs w:val="20"/>
                <w:color w:val="auto"/>
              </w:rPr>
            </w:pPr>
            <w:r>
              <w:rPr>
                <w:rFonts w:ascii="Arial" w:cs="Arial" w:eastAsia="Arial" w:hAnsi="Arial"/>
                <w:sz w:val="12"/>
                <w:szCs w:val="12"/>
                <w:color w:val="auto"/>
              </w:rPr>
              <w:t>(Registrant)</w:t>
            </w:r>
          </w:p>
        </w:tc>
      </w:tr>
      <w:tr>
        <w:trPr>
          <w:trHeight w:val="378"/>
        </w:trPr>
        <w:tc>
          <w:tcPr>
            <w:tcW w:w="3100" w:type="dxa"/>
            <w:vAlign w:val="bottom"/>
          </w:tcPr>
          <w:p>
            <w:pPr>
              <w:spacing w:after="0"/>
              <w:rPr>
                <w:sz w:val="20"/>
                <w:szCs w:val="20"/>
                <w:color w:val="auto"/>
              </w:rPr>
            </w:pPr>
            <w:r>
              <w:rPr>
                <w:rFonts w:ascii="Arial" w:cs="Arial" w:eastAsia="Arial" w:hAnsi="Arial"/>
                <w:sz w:val="12"/>
                <w:szCs w:val="12"/>
                <w:color w:val="auto"/>
              </w:rPr>
              <w:t>Date: March 9, 2021</w:t>
            </w:r>
          </w:p>
        </w:tc>
        <w:tc>
          <w:tcPr>
            <w:tcW w:w="2340" w:type="dxa"/>
            <w:vAlign w:val="bottom"/>
          </w:tcPr>
          <w:p>
            <w:pPr>
              <w:ind w:left="2120"/>
              <w:spacing w:after="0"/>
              <w:rPr>
                <w:sz w:val="20"/>
                <w:szCs w:val="20"/>
                <w:color w:val="auto"/>
              </w:rPr>
            </w:pPr>
            <w:r>
              <w:rPr>
                <w:rFonts w:ascii="Arial" w:cs="Arial" w:eastAsia="Arial" w:hAnsi="Arial"/>
                <w:sz w:val="12"/>
                <w:szCs w:val="12"/>
                <w:color w:val="auto"/>
              </w:rPr>
              <w:t>By:</w:t>
            </w:r>
          </w:p>
        </w:tc>
        <w:tc>
          <w:tcPr>
            <w:tcW w:w="560" w:type="dxa"/>
            <w:vAlign w:val="bottom"/>
          </w:tcPr>
          <w:p>
            <w:pPr>
              <w:spacing w:after="0"/>
              <w:rPr>
                <w:sz w:val="24"/>
                <w:szCs w:val="24"/>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Scott J. Leffler</w:t>
            </w:r>
          </w:p>
        </w:tc>
      </w:tr>
      <w:tr>
        <w:trPr>
          <w:trHeight w:val="160"/>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Scott J. Leffler</w:t>
            </w:r>
          </w:p>
        </w:tc>
      </w:tr>
      <w:tr>
        <w:trPr>
          <w:trHeight w:val="180"/>
        </w:trPr>
        <w:tc>
          <w:tcPr>
            <w:tcW w:w="3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bl>
    <w:p>
      <w:pPr>
        <w:sectPr>
          <w:pgSz w:w="11900" w:h="16838" w:orient="portrait"/>
          <w:cols w:equalWidth="0" w:num="1">
            <w:col w:w="11300"/>
          </w:cols>
          <w:pgMar w:left="300" w:top="721" w:right="299" w:bottom="1440" w:gutter="0" w:footer="0" w:header="0"/>
        </w:sectPr>
      </w:pPr>
    </w:p>
    <w:bookmarkStart w:id="3" w:name="page4"/>
    <w:bookmarkEnd w:id="3"/>
    <w:p>
      <w:pPr>
        <w:ind w:left="1008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100012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01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Sotera Health Reports Fourth-Quarter and Full-Year 2020 Results;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Provides 2021 Outlook</w:t>
      </w:r>
    </w:p>
    <w:p>
      <w:pPr>
        <w:spacing w:after="0" w:line="16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Q4 2020 net revenues of $217 million increased 12%, compared to Q4 2019</w:t>
      </w:r>
    </w:p>
    <w:p>
      <w:pPr>
        <w:spacing w:after="0" w:line="57" w:lineRule="exact"/>
        <w:rPr>
          <w:rFonts w:ascii="Arial" w:cs="Arial" w:eastAsia="Arial" w:hAnsi="Arial"/>
          <w:sz w:val="12"/>
          <w:szCs w:val="12"/>
          <w:color w:val="auto"/>
        </w:rPr>
      </w:pPr>
    </w:p>
    <w:p>
      <w:pPr>
        <w:ind w:left="420" w:right="300" w:hanging="212"/>
        <w:spacing w:after="0" w:line="295"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Q4 2020 net loss of $44 million or $0.17 per diluted share, compared to a net loss of $28 million or $0.12 per diluted share in Q4 2019; Q4 2020 and Q4 2019 include losses on extinguishment of debt of $44 million and $30 million, respectively</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Q4 2020 Adjusted EBITDA of $113 million increased 20%, compared to Q4 2019</w:t>
      </w:r>
    </w:p>
    <w:p>
      <w:pPr>
        <w:spacing w:after="0" w:line="5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Q4 2020 Adjusted EPS of $0.09 improved by $0.04 per diluted share, compared to Q4 2019</w:t>
      </w:r>
    </w:p>
    <w:p>
      <w:pPr>
        <w:spacing w:after="0" w:line="5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December 31, 2020 total debt of $1,861 million, net debt of $1,797 million, and net leverage ratio reduced to 4.3x</w:t>
      </w:r>
    </w:p>
    <w:p>
      <w:pPr>
        <w:spacing w:after="0" w:line="6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4"/>
          <w:szCs w:val="14"/>
          <w:b w:val="1"/>
          <w:bCs w:val="1"/>
          <w:i w:val="1"/>
          <w:iCs w:val="1"/>
          <w:color w:val="auto"/>
        </w:rPr>
        <w:t>Full-year 2021 outlook revenue growth of 9% to 12%</w:t>
      </w:r>
    </w:p>
    <w:p>
      <w:pPr>
        <w:spacing w:after="0" w:line="149"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b w:val="1"/>
          <w:bCs w:val="1"/>
          <w:color w:val="auto"/>
        </w:rPr>
        <w:t xml:space="preserve">CLEVELAND, OH, March 9, 2021 </w:t>
      </w:r>
      <w:r>
        <w:rPr>
          <w:rFonts w:ascii="Arial" w:cs="Arial" w:eastAsia="Arial" w:hAnsi="Arial"/>
          <w:sz w:val="13"/>
          <w:szCs w:val="13"/>
          <w:color w:val="auto"/>
        </w:rPr>
        <w:t>– Sotera Health Company (Nasdaq: SHC), a leading global provider of mission-critical end-to-end sterilization solutions, lab testing and advisory services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healthcare industry, today announced financial results for the fourth-quarter and full-year 2020.</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Fourth-quarter 2020 net revenues increased 12% to $217 million, compared with $193 million in the fourth-quarter a year ago. Net loss attributable to Sotera Health (“net loss”) was $44 million, or $0.17 per diluted share, compared with a net loss of $ 28 million, or $ 0.12 per diluted share in the fourth-quarter 2019. Fourth-quarter 2020 net loss included a $44 million charge related to the previously announced paydown of $1,111 million of debt with proceeds from the Company’s initial public offering, and fourth-quarter 2019 net loss included a $30 million charge related to the refinancing of debt. Adjusted EBITDA for the fourth-quarter 2020 increased by 20% to $113 million over the prior-year quarter. Fourth-quarter 2020 Adjusted earnings per diluted share (“Adjusted EPS”) was $0.09, an increase of $0.04 per diluted share, compared to the fourth-quarter 2019. Please refer to the section “Non-GAAP Financial Measures” provided later in this release.</w:t>
      </w:r>
    </w:p>
    <w:p>
      <w:pPr>
        <w:spacing w:after="0" w:line="137"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For full-year 2020, net revenues increased 5% to $ 818 million, compared with $778 million for 2019. Full -year 2020 net loss was $39 million, or $0.16 per diluted share, compared with a net loss of $21 million, or $0.09 per diluted share, for 2019. Full-year 2020 and 2019 net losses included the $44 million and $30 million charges referenced above. Full-year 2020 Adjusted EBITDA increased nearly 11% to $420 million, compared to 2019. Adjusted EPS was $0.42 in 2020, a decrease of 2% over 2019 as interest expense increased by approximately $58M for full-year 2020. Please refer to the section “Non-GAAP Financial Measures” provided later in this release.</w:t>
      </w:r>
    </w:p>
    <w:p>
      <w:pPr>
        <w:spacing w:after="0" w:line="136"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“Our fourth-quarter and full-year 2020 results demonstrate the resilience of our business model and ability of our company to perform in a rapidly shifting environment,” said Chairman and Chief Executive Officer, Michael B. Petras, Jr. “Our three businesses – Sterigenics, Nordion and Nelson Labs – successfully navigated a global pandemic, pivoting to meet increased demand for products and services critical to protecting against the coronavirus, while ensuring continuity and quality of service for our broad-spectrum of healthcare customers. Our focus has been, and continues to be, supporting our Sotera Health global team members, providing a healthy and safe work environment and additional support and flexibility as needed.”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54" w:right="319" w:bottom="1440" w:gutter="0" w:footer="0" w:header="0"/>
        </w:sectPr>
      </w:pPr>
    </w:p>
    <w:bookmarkStart w:id="4" w:name="page5"/>
    <w:bookmarkEnd w:id="4"/>
    <w:p>
      <w:pPr>
        <w:ind w:right="340"/>
        <w:spacing w:after="0" w:line="251" w:lineRule="auto"/>
        <w:rPr>
          <w:sz w:val="20"/>
          <w:szCs w:val="20"/>
          <w:color w:val="auto"/>
        </w:rPr>
      </w:pPr>
      <w:r>
        <w:rPr>
          <w:rFonts w:ascii="Arial" w:cs="Arial" w:eastAsia="Arial" w:hAnsi="Arial"/>
          <w:sz w:val="13"/>
          <w:szCs w:val="13"/>
          <w:color w:val="auto"/>
        </w:rPr>
        <w:t>Petras continued, “Despite the external challenges, we delivered double-digit Adjusted EBITDA growth, expanded margins, continued to make necessary infrastructure enhancements, completed the acquisition of Iotron and executed a highly successful IPO. I am tremendously proud of, and grateful to, the entire Sotera Health team for their dedication and professionalism during this important time for the company. We look forward to building on our momentum as 2021 proceeds.”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Fourth-Quarter and Full-Year 2020 Review by Business Segment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Sterigenics</w:t>
      </w:r>
    </w:p>
    <w:p>
      <w:pPr>
        <w:spacing w:after="0" w:line="74"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For fourth-quarter 2020, net revenues from Sterigenics were $135 million, an increase of 11% compared to the fourth-quarter a year ago. Segment income was $74 million, an increase of more than 14%.</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For full-year 2020, Sterigenics net revenues were $499 million, an increase of 6% compared to 2019. Segment income increased 9% to $267 million.</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Revenue and segment income growth for both the fourth-quarter and full-year 2020 were driven by enhanced utilization of existing capacity, favorable pricing, and the acquisition of Iotron.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Nordion</w:t>
      </w:r>
    </w:p>
    <w:p>
      <w:pPr>
        <w:spacing w:after="0" w:line="74"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For fourth-quarter 2020, net revenues from Nordion were $29 million, an increase of 18%, compared to the fourth-quarter a year ago. Segment income increased nearly 30% to $16 million. The increases in both revenue and segment income were driven by favorable pricing and harvest schedules for industrial-use Co-60, which often vary quarter to quarter. Segment income also benefited from favorable pricing and Co-60 mix.</w:t>
      </w:r>
    </w:p>
    <w:p>
      <w:pPr>
        <w:spacing w:after="0" w:line="53"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For full-year 2020, net revenues from Nordion were $115 million, a decline of 1% compared to 2019. The slight decline in sales for the year was driven by lower volumes of medical-use Co-60 impacted by COVID-19. Segment income increased by more than 7% to $67 million, driven by favorable pricing and Co-60 mix.</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Nelson Labs</w:t>
      </w:r>
    </w:p>
    <w:p>
      <w:pPr>
        <w:spacing w:after="0" w:line="83"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For fourth-quarter 2020, net revenues from Nelson Labs were $53 million, an increase of more than 11% compared to the fourth-quarter a year ago. Segment income increased more than 30% to $23 million.</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For full-year 2020, net revenues from Nelson Labs were $205 million, an increase of more than 7% compared to 2019. Segment income increased 19% to $86 million.</w:t>
      </w:r>
    </w:p>
    <w:p>
      <w:pPr>
        <w:spacing w:after="0" w:line="67"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Revenue and segment income growth for both the fourth-quarter and full-year 2020 were driven by increased demand for testing related to personal protective equipment, partially offset by a reduction in other lab testing volumes.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Sheet and Liquidity</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of December 31, 2020, Sotera Health had $1,861 million in total debt, and $102 million in cash and cash equivalents, compared to $2,848 million in total debt and $63 million in cash and cash equivalents as of December 31, 2019. No material debt balances currently outstanding mature until 2026. Sotera Health’s net leverage ratio as of December 31, 2020 was 4.3x, compared to 7.5x at December 31, 2019. Please refer to the section “Non-GAAP Financial Measures” provided later in this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776"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auto"/>
        </w:rPr>
        <w:t>Full-Year 2021 Outlook</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Today, Sotera Health is providing its full-year 2021 outlook:</w:t>
      </w:r>
    </w:p>
    <w:p>
      <w:pPr>
        <w:spacing w:after="0" w:line="67"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revenues in the range of $890 million to $920 million, representing growth of approximately 9% to 12%, compared to the prior year,</w:t>
      </w:r>
    </w:p>
    <w:p>
      <w:pPr>
        <w:spacing w:after="0" w:line="57"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in the range of $465 million to $485 million, representing growth of approximately 11% to 16%, compared to the prior year,</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Tax rate applicable to Adjusted Net Income of approximately 28%,</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EPS in the range of $0.78 to $0.86,</w:t>
      </w:r>
    </w:p>
    <w:p>
      <w:pPr>
        <w:spacing w:after="0" w:line="57"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fully diluted share count in the range of 281 million to 283 million shares on a weighted-average basis,</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 expenditures in the range of $100 million to $110 million, and</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leverage reduction of approximately ¾ of a turn.</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guidance provided above contains a number of assumptions, including, among others, the company’s current expectations regarding the impact of the COVID-19 pandemic including the rate of recoveries of elective procedures and new product development testing, and that exchange rates remain constant for the full year 2021.</w:t>
      </w:r>
    </w:p>
    <w:p>
      <w:pPr>
        <w:spacing w:after="0" w:line="129"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The company does not provide a reconciliation of the forward-looking Adjusted EBITDA, Adjusted Net Income, and Adjusted EPS guidance to the most directly comparable GAAP measure, as this cannot be done without unreasonable effort due to the variability and low visibility with respect to certain items, including, among others, uncertainties caused by the global COVID-19 pandemic, changes to the regulatory landscape, restructuring items and certain fair value measurements, all of which are potential adjustments for future earnings. The variability of these items could have a potentially unpredictable, and a potentially significant, impact on our future GAAP results.</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guidance provided above is based on current plans and expectations and is subject to a number of known and unknown certainties and risks, including those set forth below under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Accomplishments</w:t>
      </w:r>
    </w:p>
    <w:p>
      <w:pPr>
        <w:spacing w:after="0" w:line="7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Closing of initial public offering in November 2020.</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Paydown of $1,111 million of debt and expansion of Revolving Credit Facility in November and December 2020, respectively.</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Successful repricing of First Lien Term Loan facility in January 2021.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Upcoming Investor Events</w:t>
      </w:r>
    </w:p>
    <w:p>
      <w:pPr>
        <w:spacing w:after="0" w:line="7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3"/>
          <w:szCs w:val="13"/>
          <w:color w:val="auto"/>
        </w:rPr>
        <w:t>Barclays Global Healthcare Conference at 9:10 am Eastern, March 10, 2021.</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3"/>
          <w:szCs w:val="13"/>
          <w:color w:val="auto"/>
        </w:rPr>
        <w:t>KeyBanc Capital Markets’ Life Sciences &amp; MedTech Investor Forum at 9:15 am Eastern, March 23,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670" w:right="2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Earnings Webcast</w:t>
      </w:r>
    </w:p>
    <w:p>
      <w:pPr>
        <w:spacing w:after="0" w:line="83"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 xml:space="preserve">Sotera Health management will host a conference call and webcast to discuss the Company’s operating highlights and financial results at 9:00 a.m. Eastern today. To participate in the live call, please dial 1-833-303-1211 if dialing from within the United States and Canada or 1-918-922-6527 if dialing from other locations, using conference ID #1765289, at least 10 minutes prior to the scheduled start time. A live webcast of the conference call and accompanying materials also may be accessed via the Investor Relations section of the Company’s website at </w:t>
      </w:r>
      <w:r>
        <w:rPr>
          <w:rFonts w:ascii="Arial" w:cs="Arial" w:eastAsia="Arial" w:hAnsi="Arial"/>
          <w:sz w:val="13"/>
          <w:szCs w:val="13"/>
          <w:u w:val="single" w:color="auto"/>
          <w:color w:val="0563C1"/>
        </w:rPr>
        <w:t>https://investors.soterahealth.com/</w:t>
      </w:r>
      <w:r>
        <w:rPr>
          <w:rFonts w:ascii="Arial" w:cs="Arial" w:eastAsia="Arial" w:hAnsi="Arial"/>
          <w:sz w:val="13"/>
          <w:szCs w:val="13"/>
          <w:color w:val="000000"/>
        </w:rPr>
        <w:t>. A replay of the webcast will be available beginning at 12 noon Eastern on March 9 for a period of one year.</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3"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ethylene oxide (EO) or Cobalt-60;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facilities and build new facilities in a timely and cost-effective manner; the risks of doing business internationally; and any inability to pursue strategic transactions or find suitable acquisition targets. For additional discussion of these risks and uncertainties, please refer to Company’s filings with the SEC, such as its annual and quarterly reports. We do not undertake any obligation to publicly update or revise these forward-looking statements, except as otherwise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To supplement our consolidated financial statements presented in accordance with GAAP, we consider Adjusted EBITDA, Adjusted Net Income, Adjusted EPS, Net Debt and Net Leverage Ratio, financial measures that are not based on any standardized methodology prescribed by GAAP.</w:t>
      </w:r>
    </w:p>
    <w:p>
      <w:pPr>
        <w:spacing w:after="0" w:line="57" w:lineRule="exact"/>
        <w:rPr>
          <w:sz w:val="20"/>
          <w:szCs w:val="20"/>
          <w:color w:val="auto"/>
        </w:rPr>
      </w:pPr>
    </w:p>
    <w:p>
      <w:pPr>
        <w:ind w:right="320"/>
        <w:spacing w:after="0" w:line="258" w:lineRule="auto"/>
        <w:rPr>
          <w:sz w:val="20"/>
          <w:szCs w:val="20"/>
          <w:color w:val="auto"/>
        </w:rPr>
      </w:pPr>
      <w:r>
        <w:rPr>
          <w:rFonts w:ascii="Arial" w:cs="Arial" w:eastAsia="Arial" w:hAnsi="Arial"/>
          <w:sz w:val="13"/>
          <w:szCs w:val="13"/>
          <w:color w:val="auto"/>
        </w:rPr>
        <w:t>We define Adjusted Net Income as net income (loss) before amortization and certain other adjustments that we do not consider in our evaluation of our ongoing operating performance from period to period.</w:t>
      </w:r>
    </w:p>
    <w:p>
      <w:pPr>
        <w:spacing w:after="0" w:line="57" w:lineRule="exact"/>
        <w:rPr>
          <w:sz w:val="20"/>
          <w:szCs w:val="20"/>
          <w:color w:val="auto"/>
        </w:rPr>
      </w:pPr>
    </w:p>
    <w:p>
      <w:pPr>
        <w:ind w:right="440"/>
        <w:spacing w:after="0" w:line="258" w:lineRule="auto"/>
        <w:rPr>
          <w:sz w:val="20"/>
          <w:szCs w:val="20"/>
          <w:color w:val="auto"/>
        </w:rPr>
      </w:pPr>
      <w:r>
        <w:rPr>
          <w:rFonts w:ascii="Arial" w:cs="Arial" w:eastAsia="Arial" w:hAnsi="Arial"/>
          <w:sz w:val="13"/>
          <w:szCs w:val="13"/>
          <w:color w:val="auto"/>
        </w:rPr>
        <w:t>We define Adjusted EBITDA as Adjusted Net Income before interest expense, depreciation (including depreciation of Co-60 used in our operations) and income tax provision applicable to Adjusted Net Income. Adjusted EBITDA Margin is equal to Adjusted EBITDA divided by net revenues.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We define Adjusted EPS as Adjusted Net Income divided by the weighted average number of diluted shares outstanding.</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Our Net Debt is equal to our total debt, plus unamortized debt issuance costs and debt discounts, less cash and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Our Net Leverage Ratio is equal to Net Debt divided by Adjusted EBITDA.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670" w:right="319" w:bottom="1440" w:gutter="0" w:footer="0" w:header="0"/>
        </w:sectPr>
      </w:pPr>
    </w:p>
    <w:bookmarkStart w:id="7" w:name="page8"/>
    <w:bookmarkEnd w:id="7"/>
    <w:p>
      <w:pPr>
        <w:spacing w:after="0" w:line="247" w:lineRule="auto"/>
        <w:rPr>
          <w:sz w:val="20"/>
          <w:szCs w:val="20"/>
          <w:color w:val="auto"/>
        </w:rPr>
      </w:pPr>
      <w:r>
        <w:rPr>
          <w:rFonts w:ascii="Arial" w:cs="Arial" w:eastAsia="Arial" w:hAnsi="Arial"/>
          <w:sz w:val="13"/>
          <w:szCs w:val="13"/>
          <w:color w:val="auto"/>
        </w:rPr>
        <w:t>We use these non-GAAP financial measures as the principal measures of our operating performance. Management believes these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metric for attainment of our primary annual incentive program. These measures may be calculated differently from, and therefore may not be comparable to, a similarly titled measure used by other companies.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Sotera Health</w:t>
      </w:r>
    </w:p>
    <w:p>
      <w:pPr>
        <w:spacing w:after="0" w:line="74"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 CONTACTS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60" w:type="dxa"/>
            <w:vAlign w:val="bottom"/>
            <w:gridSpan w:val="2"/>
          </w:tcPr>
          <w:p>
            <w:pPr>
              <w:spacing w:after="0"/>
              <w:rPr>
                <w:sz w:val="20"/>
                <w:szCs w:val="20"/>
                <w:color w:val="auto"/>
              </w:rPr>
            </w:pPr>
            <w:r>
              <w:rPr>
                <w:rFonts w:ascii="Arial" w:cs="Arial" w:eastAsia="Arial" w:hAnsi="Arial"/>
                <w:sz w:val="13"/>
                <w:szCs w:val="13"/>
                <w:color w:val="auto"/>
              </w:rPr>
              <w:t>Sally J. Curley, IRC</w:t>
            </w:r>
          </w:p>
        </w:tc>
        <w:tc>
          <w:tcPr>
            <w:tcW w:w="1400" w:type="dxa"/>
            <w:vAlign w:val="bottom"/>
            <w:gridSpan w:val="2"/>
          </w:tcPr>
          <w:p>
            <w:pPr>
              <w:spacing w:after="0"/>
              <w:rPr>
                <w:sz w:val="20"/>
                <w:szCs w:val="20"/>
                <w:color w:val="auto"/>
              </w:rPr>
            </w:pPr>
            <w:r>
              <w:rPr>
                <w:rFonts w:ascii="Arial" w:cs="Arial" w:eastAsia="Arial" w:hAnsi="Arial"/>
                <w:sz w:val="13"/>
                <w:szCs w:val="13"/>
                <w:color w:val="auto"/>
              </w:rPr>
              <w:t>Jenny Kobin</w:t>
            </w:r>
          </w:p>
        </w:tc>
      </w:tr>
      <w:tr>
        <w:trPr>
          <w:trHeight w:val="155"/>
        </w:trPr>
        <w:tc>
          <w:tcPr>
            <w:tcW w:w="1860" w:type="dxa"/>
            <w:vAlign w:val="bottom"/>
            <w:gridSpan w:val="2"/>
          </w:tcPr>
          <w:p>
            <w:pPr>
              <w:spacing w:after="0"/>
              <w:rPr>
                <w:sz w:val="20"/>
                <w:szCs w:val="20"/>
                <w:color w:val="auto"/>
              </w:rPr>
            </w:pPr>
            <w:r>
              <w:rPr>
                <w:rFonts w:ascii="Arial" w:cs="Arial" w:eastAsia="Arial" w:hAnsi="Arial"/>
                <w:sz w:val="13"/>
                <w:szCs w:val="13"/>
                <w:color w:val="auto"/>
              </w:rPr>
              <w:t>Curley Global IR, LLC</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IR Advisory Solutions</w:t>
            </w:r>
          </w:p>
        </w:tc>
      </w:tr>
      <w:tr>
        <w:trPr>
          <w:trHeight w:val="118"/>
        </w:trPr>
        <w:tc>
          <w:tcPr>
            <w:tcW w:w="1160" w:type="dxa"/>
            <w:vAlign w:val="bottom"/>
            <w:tcBorders>
              <w:bottom w:val="single" w:sz="8" w:color="0563C1"/>
            </w:tcBorders>
          </w:tcPr>
          <w:p>
            <w:pPr>
              <w:spacing w:after="0" w:line="118" w:lineRule="exact"/>
              <w:rPr>
                <w:sz w:val="20"/>
                <w:szCs w:val="20"/>
                <w:color w:val="auto"/>
              </w:rPr>
            </w:pPr>
            <w:r>
              <w:rPr>
                <w:rFonts w:ascii="Arial" w:cs="Arial" w:eastAsia="Arial" w:hAnsi="Arial"/>
                <w:sz w:val="12"/>
                <w:szCs w:val="12"/>
                <w:color w:val="0563C1"/>
                <w:w w:val="98"/>
              </w:rPr>
              <w:t>IR@soterahealth.com</w:t>
            </w:r>
          </w:p>
        </w:tc>
        <w:tc>
          <w:tcPr>
            <w:tcW w:w="700" w:type="dxa"/>
            <w:vAlign w:val="bottom"/>
          </w:tcPr>
          <w:p>
            <w:pPr>
              <w:spacing w:after="0"/>
              <w:rPr>
                <w:sz w:val="10"/>
                <w:szCs w:val="10"/>
                <w:color w:val="auto"/>
              </w:rPr>
            </w:pPr>
          </w:p>
        </w:tc>
        <w:tc>
          <w:tcPr>
            <w:tcW w:w="1160" w:type="dxa"/>
            <w:vAlign w:val="bottom"/>
            <w:tcBorders>
              <w:bottom w:val="single" w:sz="8" w:color="0563C1"/>
            </w:tcBorders>
          </w:tcPr>
          <w:p>
            <w:pPr>
              <w:spacing w:after="0" w:line="118" w:lineRule="exact"/>
              <w:rPr>
                <w:sz w:val="20"/>
                <w:szCs w:val="20"/>
                <w:color w:val="auto"/>
              </w:rPr>
            </w:pPr>
            <w:r>
              <w:rPr>
                <w:rFonts w:ascii="Arial" w:cs="Arial" w:eastAsia="Arial" w:hAnsi="Arial"/>
                <w:sz w:val="12"/>
                <w:szCs w:val="12"/>
                <w:color w:val="0563C1"/>
                <w:w w:val="98"/>
              </w:rPr>
              <w:t>IR@soterahealth.com</w:t>
            </w:r>
          </w:p>
        </w:tc>
        <w:tc>
          <w:tcPr>
            <w:tcW w:w="240" w:type="dxa"/>
            <w:vAlign w:val="bottom"/>
          </w:tcPr>
          <w:p>
            <w:pPr>
              <w:spacing w:after="0"/>
              <w:rPr>
                <w:sz w:val="10"/>
                <w:szCs w:val="10"/>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Kristin Gibbs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Chief Marketing Officer, Sotera Health</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kgibbs@soterahealth.com</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Source: Sotera Health Company</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120"/>
          </w:cols>
          <w:pgMar w:left="300" w:top="776" w:right="4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2"/>
                <w:szCs w:val="12"/>
                <w:b w:val="1"/>
                <w:bCs w:val="1"/>
                <w:color w:val="auto"/>
              </w:rPr>
              <w:t>Year Ended December 31,</w:t>
            </w:r>
          </w:p>
        </w:tc>
      </w:tr>
      <w:tr>
        <w:trPr>
          <w:trHeight w:val="142"/>
        </w:trPr>
        <w:tc>
          <w:tcPr>
            <w:tcW w:w="42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r>
      <w:tr>
        <w:trPr>
          <w:trHeight w:val="133"/>
        </w:trPr>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Revenues:</w:t>
            </w:r>
          </w:p>
        </w:tc>
        <w:tc>
          <w:tcPr>
            <w:tcW w:w="1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4260" w:type="dxa"/>
            <w:vAlign w:val="bottom"/>
          </w:tcPr>
          <w:p>
            <w:pPr>
              <w:ind w:left="260"/>
              <w:spacing w:after="0"/>
              <w:rPr>
                <w:sz w:val="20"/>
                <w:szCs w:val="20"/>
                <w:color w:val="auto"/>
              </w:rPr>
            </w:pPr>
            <w:r>
              <w:rPr>
                <w:rFonts w:ascii="Arial" w:cs="Arial" w:eastAsia="Arial" w:hAnsi="Arial"/>
                <w:sz w:val="12"/>
                <w:szCs w:val="12"/>
                <w:color w:val="auto"/>
              </w:rPr>
              <w:t>Service</w:t>
            </w:r>
          </w:p>
        </w:tc>
        <w:tc>
          <w:tcPr>
            <w:tcW w:w="22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2"/>
              </w:rPr>
              <w:t>189,495</w:t>
            </w:r>
          </w:p>
        </w:tc>
        <w:tc>
          <w:tcPr>
            <w:tcW w:w="200" w:type="dxa"/>
            <w:vAlign w:val="bottom"/>
          </w:tcPr>
          <w:p>
            <w:pPr>
              <w:spacing w:after="0"/>
              <w:rPr>
                <w:sz w:val="13"/>
                <w:szCs w:val="13"/>
                <w:color w:val="auto"/>
              </w:rPr>
            </w:pP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171,162</w:t>
            </w:r>
          </w:p>
        </w:tc>
        <w:tc>
          <w:tcPr>
            <w:tcW w:w="24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713,520</w:t>
            </w:r>
          </w:p>
        </w:tc>
        <w:tc>
          <w:tcPr>
            <w:tcW w:w="1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673,037</w:t>
            </w: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Product</w:t>
            </w:r>
          </w:p>
        </w:tc>
        <w:tc>
          <w:tcPr>
            <w:tcW w:w="14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27,350</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22,323</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104,638</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105,290</w:t>
            </w:r>
          </w:p>
        </w:tc>
      </w:tr>
      <w:tr>
        <w:trPr>
          <w:trHeight w:val="142"/>
        </w:trPr>
        <w:tc>
          <w:tcPr>
            <w:tcW w:w="4260" w:type="dxa"/>
            <w:vAlign w:val="bottom"/>
          </w:tcPr>
          <w:p>
            <w:pPr>
              <w:spacing w:after="0"/>
              <w:rPr>
                <w:sz w:val="20"/>
                <w:szCs w:val="20"/>
                <w:color w:val="auto"/>
              </w:rPr>
            </w:pPr>
            <w:r>
              <w:rPr>
                <w:rFonts w:ascii="Arial" w:cs="Arial" w:eastAsia="Arial" w:hAnsi="Arial"/>
                <w:sz w:val="12"/>
                <w:szCs w:val="12"/>
                <w:b w:val="1"/>
                <w:bCs w:val="1"/>
                <w:color w:val="auto"/>
              </w:rPr>
              <w:t>Total net revenues</w:t>
            </w: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2"/>
              </w:rPr>
              <w:t>216,845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193,485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818,158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778,327</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 of revenues:</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4260" w:type="dxa"/>
            <w:vAlign w:val="bottom"/>
          </w:tcPr>
          <w:p>
            <w:pPr>
              <w:ind w:left="260"/>
              <w:spacing w:after="0"/>
              <w:rPr>
                <w:sz w:val="20"/>
                <w:szCs w:val="20"/>
                <w:color w:val="auto"/>
              </w:rPr>
            </w:pPr>
            <w:r>
              <w:rPr>
                <w:rFonts w:ascii="Arial" w:cs="Arial" w:eastAsia="Arial" w:hAnsi="Arial"/>
                <w:sz w:val="12"/>
                <w:szCs w:val="12"/>
                <w:color w:val="auto"/>
              </w:rPr>
              <w:t>Service</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85,973</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84,884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333,359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333,290</w:t>
            </w: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Product</w:t>
            </w:r>
          </w:p>
        </w:tc>
        <w:tc>
          <w:tcPr>
            <w:tcW w:w="14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10,295</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11,380</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41,227</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49,606</w:t>
            </w:r>
          </w:p>
        </w:tc>
      </w:tr>
      <w:tr>
        <w:trPr>
          <w:trHeight w:val="142"/>
        </w:trPr>
        <w:tc>
          <w:tcPr>
            <w:tcW w:w="42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cost of revenues</w:t>
            </w:r>
          </w:p>
        </w:tc>
        <w:tc>
          <w:tcPr>
            <w:tcW w:w="14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96,268</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96,264</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374,586</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382,896</w:t>
            </w:r>
          </w:p>
        </w:tc>
      </w:tr>
      <w:tr>
        <w:trPr>
          <w:trHeight w:val="142"/>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120,577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97,221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443,572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395,431</w:t>
            </w:r>
          </w:p>
        </w:tc>
      </w:tr>
      <w:tr>
        <w:trPr>
          <w:trHeight w:val="153"/>
        </w:trPr>
        <w:tc>
          <w:tcPr>
            <w:tcW w:w="426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Selling, general and administrative expenses</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53,156</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37,120</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178,525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147,480</w:t>
            </w:r>
          </w:p>
        </w:tc>
      </w:tr>
      <w:tr>
        <w:trPr>
          <w:trHeight w:val="153"/>
        </w:trPr>
        <w:tc>
          <w:tcPr>
            <w:tcW w:w="4260" w:type="dxa"/>
            <w:vAlign w:val="bottom"/>
          </w:tcPr>
          <w:p>
            <w:pPr>
              <w:ind w:left="260"/>
              <w:spacing w:after="0"/>
              <w:rPr>
                <w:sz w:val="20"/>
                <w:szCs w:val="20"/>
                <w:color w:val="auto"/>
              </w:rPr>
            </w:pPr>
            <w:r>
              <w:rPr>
                <w:rFonts w:ascii="Arial" w:cs="Arial" w:eastAsia="Arial" w:hAnsi="Arial"/>
                <w:sz w:val="12"/>
                <w:szCs w:val="12"/>
                <w:color w:val="auto"/>
              </w:rPr>
              <w:t>Amortization of intangible assets</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15,040</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14,620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59,029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58,562</w:t>
            </w: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Impairment of long-lived assets</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5,792</w:t>
            </w:r>
          </w:p>
        </w:tc>
      </w:tr>
      <w:tr>
        <w:trPr>
          <w:trHeight w:val="142"/>
        </w:trPr>
        <w:tc>
          <w:tcPr>
            <w:tcW w:w="42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operating expenses</w:t>
            </w:r>
          </w:p>
        </w:tc>
        <w:tc>
          <w:tcPr>
            <w:tcW w:w="14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68,196</w:t>
            </w: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51,751</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237,554</w:t>
            </w: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211,834</w:t>
            </w:r>
          </w:p>
        </w:tc>
      </w:tr>
      <w:tr>
        <w:trPr>
          <w:trHeight w:val="142"/>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income</w:t>
            </w:r>
          </w:p>
        </w:tc>
        <w:tc>
          <w:tcPr>
            <w:tcW w:w="1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52,381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45,470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206,018</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183,597</w:t>
            </w: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Interest expense, net</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48,117</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43,251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215,259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157,729</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44,262</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30,168</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44,262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30,168</w:t>
            </w: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Foreign exchange loss (gain)</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140</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(4,582)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(5,230)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3,862</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14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(5,060)</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(9,413)</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(7,246)</w:t>
            </w:r>
          </w:p>
        </w:tc>
      </w:tr>
      <w:tr>
        <w:trPr>
          <w:trHeight w:val="142"/>
        </w:trPr>
        <w:tc>
          <w:tcPr>
            <w:tcW w:w="4260" w:type="dxa"/>
            <w:vAlign w:val="bottom"/>
          </w:tcPr>
          <w:p>
            <w:pPr>
              <w:spacing w:after="0"/>
              <w:rPr>
                <w:sz w:val="20"/>
                <w:szCs w:val="20"/>
                <w:color w:val="auto"/>
              </w:rPr>
            </w:pPr>
            <w:r>
              <w:rPr>
                <w:rFonts w:ascii="Arial" w:cs="Arial" w:eastAsia="Arial" w:hAnsi="Arial"/>
                <w:sz w:val="12"/>
                <w:szCs w:val="12"/>
                <w:b w:val="1"/>
                <w:bCs w:val="1"/>
                <w:color w:val="auto"/>
              </w:rPr>
              <w:t>Loss before income taxes</w:t>
            </w: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8"/>
              </w:rPr>
              <w:t>(35,078)</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9"/>
              </w:rPr>
              <w:t>(20,867)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(38,860)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(916)</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14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8,308</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6,879</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(1,369)</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19,509</w:t>
            </w:r>
          </w:p>
        </w:tc>
      </w:tr>
      <w:tr>
        <w:trPr>
          <w:trHeight w:val="142"/>
        </w:trPr>
        <w:tc>
          <w:tcPr>
            <w:tcW w:w="4260" w:type="dxa"/>
            <w:vAlign w:val="bottom"/>
          </w:tcPr>
          <w:p>
            <w:pPr>
              <w:spacing w:after="0"/>
              <w:rPr>
                <w:sz w:val="20"/>
                <w:szCs w:val="20"/>
                <w:color w:val="auto"/>
              </w:rPr>
            </w:pPr>
            <w:r>
              <w:rPr>
                <w:rFonts w:ascii="Arial" w:cs="Arial" w:eastAsia="Arial" w:hAnsi="Arial"/>
                <w:sz w:val="12"/>
                <w:szCs w:val="12"/>
                <w:b w:val="1"/>
                <w:bCs w:val="1"/>
                <w:color w:val="auto"/>
              </w:rPr>
              <w:t>Net loss</w:t>
            </w: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8"/>
              </w:rPr>
              <w:t>(43,386)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9"/>
              </w:rPr>
              <w:t>(27,746)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(37,491)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(20,425)</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Less: Net income attributable to noncontrolling interests</w:t>
            </w:r>
          </w:p>
        </w:tc>
        <w:tc>
          <w:tcPr>
            <w:tcW w:w="14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294</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1,126</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w:t>
            </w:r>
          </w:p>
        </w:tc>
      </w:tr>
      <w:tr>
        <w:trPr>
          <w:trHeight w:val="140"/>
        </w:trPr>
        <w:tc>
          <w:tcPr>
            <w:tcW w:w="426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b w:val="1"/>
                <w:bCs w:val="1"/>
                <w:color w:val="auto"/>
              </w:rPr>
              <w:t>Net loss attributable to Sotera Health Company</w:t>
            </w:r>
          </w:p>
        </w:tc>
        <w:tc>
          <w:tcPr>
            <w:tcW w:w="14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60"/>
              <w:spacing w:after="0" w:line="124" w:lineRule="exact"/>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w w:val="98"/>
              </w:rPr>
              <w:t>(43,680)</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80"/>
              <w:spacing w:after="0" w:line="124" w:lineRule="exact"/>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9"/>
              </w:rPr>
              <w:t>(27,900)</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(38,617)</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(20,850)</w:t>
            </w:r>
          </w:p>
        </w:tc>
      </w:tr>
      <w:tr>
        <w:trPr>
          <w:trHeight w:val="126"/>
        </w:trPr>
        <w:tc>
          <w:tcPr>
            <w:tcW w:w="42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b w:val="1"/>
                <w:bCs w:val="1"/>
                <w:color w:val="auto"/>
              </w:rPr>
              <w:t>Loss per share:</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Basic and diluted</w:t>
            </w:r>
          </w:p>
        </w:tc>
        <w:tc>
          <w:tcPr>
            <w:tcW w:w="222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(0.17)</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(0.16)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r>
      <w:tr>
        <w:trPr>
          <w:trHeight w:val="153"/>
        </w:trPr>
        <w:tc>
          <w:tcPr>
            <w:tcW w:w="4260" w:type="dxa"/>
            <w:vAlign w:val="bottom"/>
          </w:tcPr>
          <w:p>
            <w:pPr>
              <w:spacing w:after="0"/>
              <w:rPr>
                <w:sz w:val="20"/>
                <w:szCs w:val="20"/>
                <w:color w:val="auto"/>
              </w:rPr>
            </w:pPr>
            <w:r>
              <w:rPr>
                <w:rFonts w:ascii="Arial" w:cs="Arial" w:eastAsia="Arial" w:hAnsi="Arial"/>
                <w:sz w:val="12"/>
                <w:szCs w:val="12"/>
                <w:b w:val="1"/>
                <w:bCs w:val="1"/>
                <w:color w:val="auto"/>
              </w:rPr>
              <w:t>Weighted average number of shares outstanding:</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4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Basic and diluted</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253,470</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232,400</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237,696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232,400</w:t>
            </w:r>
          </w:p>
        </w:tc>
      </w:tr>
      <w:tr>
        <w:trPr>
          <w:trHeight w:val="792"/>
        </w:trPr>
        <w:tc>
          <w:tcPr>
            <w:tcW w:w="4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00"/>
          </w:cols>
          <w:pgMar w:left="300" w:top="130" w:right="299" w:bottom="1440" w:gutter="0" w:footer="0" w:header="0"/>
        </w:sectPr>
      </w:pPr>
    </w:p>
    <w:bookmarkStart w:id="9" w:name="page10"/>
    <w:bookmarkEnd w:id="9"/>
    <w:p>
      <w:pPr>
        <w:jc w:val="center"/>
        <w:ind w:right="-7"/>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Segment Data</w:t>
      </w:r>
    </w:p>
    <w:p>
      <w:pPr>
        <w:spacing w:after="0" w:line="5"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(in thousands)</w:t>
      </w:r>
    </w:p>
    <w:p>
      <w:pPr>
        <w:spacing w:after="0" w:line="5"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940" w:type="dxa"/>
            <w:vAlign w:val="bottom"/>
          </w:tcPr>
          <w:p>
            <w:pPr>
              <w:spacing w:after="0"/>
              <w:rPr>
                <w:sz w:val="13"/>
                <w:szCs w:val="13"/>
                <w:color w:val="auto"/>
              </w:rPr>
            </w:pPr>
          </w:p>
        </w:tc>
        <w:tc>
          <w:tcPr>
            <w:tcW w:w="2740" w:type="dxa"/>
            <w:vAlign w:val="bottom"/>
            <w:gridSpan w:val="6"/>
          </w:tcPr>
          <w:p>
            <w:pPr>
              <w:ind w:left="400"/>
              <w:spacing w:after="0"/>
              <w:rPr>
                <w:sz w:val="20"/>
                <w:szCs w:val="20"/>
                <w:color w:val="auto"/>
              </w:rPr>
            </w:pPr>
            <w:r>
              <w:rPr>
                <w:rFonts w:ascii="Arial" w:cs="Arial" w:eastAsia="Arial" w:hAnsi="Arial"/>
                <w:sz w:val="12"/>
                <w:szCs w:val="12"/>
                <w:b w:val="1"/>
                <w:bCs w:val="1"/>
                <w:color w:val="auto"/>
              </w:rPr>
              <w:t>Three Months Ended December 31,</w:t>
            </w:r>
          </w:p>
        </w:tc>
        <w:tc>
          <w:tcPr>
            <w:tcW w:w="300" w:type="dxa"/>
            <w:vAlign w:val="bottom"/>
          </w:tcPr>
          <w:p>
            <w:pPr>
              <w:spacing w:after="0"/>
              <w:rPr>
                <w:sz w:val="13"/>
                <w:szCs w:val="13"/>
                <w:color w:val="auto"/>
              </w:rPr>
            </w:pPr>
          </w:p>
        </w:tc>
        <w:tc>
          <w:tcPr>
            <w:tcW w:w="232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Year Ended 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r>
      <w:tr>
        <w:trPr>
          <w:trHeight w:val="133"/>
        </w:trPr>
        <w:tc>
          <w:tcPr>
            <w:tcW w:w="5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Segment revenues:</w:t>
            </w: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5940" w:type="dxa"/>
            <w:vAlign w:val="bottom"/>
          </w:tcPr>
          <w:p>
            <w:pPr>
              <w:ind w:left="160"/>
              <w:spacing w:after="0"/>
              <w:rPr>
                <w:sz w:val="20"/>
                <w:szCs w:val="20"/>
                <w:color w:val="auto"/>
              </w:rPr>
            </w:pPr>
            <w:r>
              <w:rPr>
                <w:rFonts w:ascii="Arial" w:cs="Arial" w:eastAsia="Arial" w:hAnsi="Arial"/>
                <w:sz w:val="12"/>
                <w:szCs w:val="12"/>
                <w:color w:val="auto"/>
              </w:rPr>
              <w:t>Sterigenics</w:t>
            </w:r>
          </w:p>
        </w:tc>
        <w:tc>
          <w:tcPr>
            <w:tcW w:w="800" w:type="dxa"/>
            <w:vAlign w:val="bottom"/>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96"/>
              </w:rPr>
              <w:t>134,819</w:t>
            </w:r>
          </w:p>
        </w:tc>
        <w:tc>
          <w:tcPr>
            <w:tcW w:w="8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121,321</w:t>
            </w:r>
          </w:p>
        </w:tc>
        <w:tc>
          <w:tcPr>
            <w:tcW w:w="1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498,773</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471,708</w:t>
            </w:r>
          </w:p>
        </w:tc>
      </w:tr>
      <w:tr>
        <w:trPr>
          <w:trHeight w:val="153"/>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Nordion</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28,711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24,296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114,745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116,165</w:t>
            </w:r>
          </w:p>
        </w:tc>
      </w:tr>
      <w:tr>
        <w:trPr>
          <w:trHeight w:val="153"/>
        </w:trPr>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Nelson Labs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53,315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47,868</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204,640</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190,454</w:t>
            </w:r>
          </w:p>
        </w:tc>
      </w:tr>
      <w:tr>
        <w:trPr>
          <w:trHeight w:val="162"/>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net revenues</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216,845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193,485</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818,158</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778,327</w:t>
            </w:r>
          </w:p>
        </w:tc>
      </w:tr>
      <w:tr>
        <w:trPr>
          <w:trHeight w:val="131"/>
        </w:trPr>
        <w:tc>
          <w:tcPr>
            <w:tcW w:w="5940" w:type="dxa"/>
            <w:vAlign w:val="bottom"/>
          </w:tcPr>
          <w:p>
            <w:pPr>
              <w:spacing w:after="0" w:line="131" w:lineRule="exact"/>
              <w:rPr>
                <w:sz w:val="20"/>
                <w:szCs w:val="20"/>
                <w:color w:val="auto"/>
              </w:rPr>
            </w:pPr>
            <w:r>
              <w:rPr>
                <w:rFonts w:ascii="Arial" w:cs="Arial" w:eastAsia="Arial" w:hAnsi="Arial"/>
                <w:sz w:val="12"/>
                <w:szCs w:val="12"/>
                <w:b w:val="1"/>
                <w:bCs w:val="1"/>
                <w:color w:val="auto"/>
              </w:rPr>
              <w:t>Segment income:</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3"/>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Sterigenics</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73,836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64,542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266,639</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244,904</w:t>
            </w:r>
          </w:p>
        </w:tc>
      </w:tr>
      <w:tr>
        <w:trPr>
          <w:trHeight w:val="153"/>
        </w:trPr>
        <w:tc>
          <w:tcPr>
            <w:tcW w:w="5940" w:type="dxa"/>
            <w:vAlign w:val="bottom"/>
          </w:tcPr>
          <w:p>
            <w:pPr>
              <w:ind w:left="160"/>
              <w:spacing w:after="0"/>
              <w:rPr>
                <w:sz w:val="20"/>
                <w:szCs w:val="20"/>
                <w:color w:val="auto"/>
              </w:rPr>
            </w:pPr>
            <w:r>
              <w:rPr>
                <w:rFonts w:ascii="Arial" w:cs="Arial" w:eastAsia="Arial" w:hAnsi="Arial"/>
                <w:sz w:val="12"/>
                <w:szCs w:val="12"/>
                <w:color w:val="auto"/>
              </w:rPr>
              <w:t>Nordion</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16,111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12,498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66,803</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62,196</w:t>
            </w:r>
          </w:p>
        </w:tc>
      </w:tr>
      <w:tr>
        <w:trPr>
          <w:trHeight w:val="153"/>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Nelson Labs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23,115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17,435</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86,417</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72,832</w:t>
            </w:r>
          </w:p>
        </w:tc>
      </w:tr>
      <w:tr>
        <w:trPr>
          <w:trHeight w:val="142"/>
        </w:trPr>
        <w:tc>
          <w:tcPr>
            <w:tcW w:w="59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segment income</w:t>
            </w: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113,062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94,475</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419,859</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379,932</w:t>
            </w:r>
          </w:p>
        </w:tc>
      </w:tr>
      <w:tr>
        <w:trPr>
          <w:trHeight w:val="133"/>
        </w:trPr>
        <w:tc>
          <w:tcPr>
            <w:tcW w:w="5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Less adjustments:</w:t>
            </w: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5940" w:type="dxa"/>
            <w:vAlign w:val="bottom"/>
          </w:tcPr>
          <w:p>
            <w:pPr>
              <w:ind w:left="160"/>
              <w:spacing w:after="0"/>
              <w:rPr>
                <w:sz w:val="20"/>
                <w:szCs w:val="20"/>
                <w:color w:val="auto"/>
              </w:rPr>
            </w:pPr>
            <w:r>
              <w:rPr>
                <w:rFonts w:ascii="Arial" w:cs="Arial" w:eastAsia="Arial" w:hAnsi="Arial"/>
                <w:sz w:val="12"/>
                <w:szCs w:val="12"/>
                <w:color w:val="auto"/>
              </w:rPr>
              <w:t>Interest expense, net</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48,117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43,251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215,259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157,729</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Depreciation and amortization</w:t>
            </w:r>
            <w:r>
              <w:rPr>
                <w:rFonts w:ascii="Arial" w:cs="Arial" w:eastAsia="Arial" w:hAnsi="Arial"/>
                <w:sz w:val="15"/>
                <w:szCs w:val="15"/>
                <w:color w:val="auto"/>
                <w:vertAlign w:val="superscript"/>
              </w:rPr>
              <w:t>(a)</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36,406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143,564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146,719</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Impairment of long-lived assets and intangible assets</w:t>
            </w:r>
            <w:r>
              <w:rPr>
                <w:rFonts w:ascii="Arial" w:cs="Arial" w:eastAsia="Arial" w:hAnsi="Arial"/>
                <w:sz w:val="15"/>
                <w:szCs w:val="15"/>
                <w:color w:val="auto"/>
                <w:vertAlign w:val="superscript"/>
              </w:rPr>
              <w:t>(b)</w:t>
            </w:r>
          </w:p>
        </w:tc>
        <w:tc>
          <w:tcPr>
            <w:tcW w:w="8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5,792</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Share-based compensation</w:t>
            </w:r>
            <w:r>
              <w:rPr>
                <w:rFonts w:ascii="Arial" w:cs="Arial" w:eastAsia="Arial" w:hAnsi="Arial"/>
                <w:sz w:val="15"/>
                <w:szCs w:val="15"/>
                <w:color w:val="auto"/>
                <w:vertAlign w:val="superscript"/>
              </w:rPr>
              <w:t>(c)</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10,987</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16,882</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Capital restructuring bonuses</w:t>
            </w:r>
            <w:r>
              <w:rPr>
                <w:rFonts w:ascii="Arial" w:cs="Arial" w:eastAsia="Arial" w:hAnsi="Arial"/>
                <w:sz w:val="15"/>
                <w:szCs w:val="15"/>
                <w:color w:val="auto"/>
                <w:vertAlign w:val="superscript"/>
              </w:rPr>
              <w:t>(d)</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2,702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2,702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2,040</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(Gain) loss on foreign currency and embedded derivatives</w:t>
            </w:r>
            <w:r>
              <w:rPr>
                <w:rFonts w:ascii="Arial" w:cs="Arial" w:eastAsia="Arial" w:hAnsi="Arial"/>
                <w:sz w:val="15"/>
                <w:szCs w:val="15"/>
                <w:color w:val="auto"/>
                <w:vertAlign w:val="superscript"/>
              </w:rPr>
              <w:t>(e)</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(8,454)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Acquisition and divestiture related charges, net</w:t>
            </w:r>
            <w:r>
              <w:rPr>
                <w:rFonts w:ascii="Arial" w:cs="Arial" w:eastAsia="Arial" w:hAnsi="Arial"/>
                <w:sz w:val="15"/>
                <w:szCs w:val="15"/>
                <w:color w:val="auto"/>
                <w:vertAlign w:val="superscript"/>
              </w:rPr>
              <w:t>(f)</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962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3,932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(318)</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Business optimization project expenses</w:t>
            </w:r>
            <w:r>
              <w:rPr>
                <w:rFonts w:ascii="Arial" w:cs="Arial" w:eastAsia="Arial" w:hAnsi="Arial"/>
                <w:sz w:val="15"/>
                <w:szCs w:val="15"/>
                <w:color w:val="auto"/>
                <w:vertAlign w:val="superscript"/>
              </w:rPr>
              <w:t>(g)</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2,524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4,195</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Plant closure expenses</w:t>
            </w:r>
            <w:r>
              <w:rPr>
                <w:rFonts w:ascii="Arial" w:cs="Arial" w:eastAsia="Arial" w:hAnsi="Arial"/>
                <w:sz w:val="15"/>
                <w:szCs w:val="15"/>
                <w:color w:val="auto"/>
                <w:vertAlign w:val="superscript"/>
              </w:rPr>
              <w:t>(h)</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2,649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1,712</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extinguishment of debt</w:t>
            </w:r>
            <w:r>
              <w:rPr>
                <w:rFonts w:ascii="Arial" w:cs="Arial" w:eastAsia="Arial" w:hAnsi="Arial"/>
                <w:sz w:val="15"/>
                <w:szCs w:val="15"/>
                <w:color w:val="auto"/>
                <w:vertAlign w:val="superscript"/>
              </w:rPr>
              <w:t>(i)</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44,262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44,262</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30,168</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Professional services relating to EO sterilization facilities</w:t>
            </w:r>
            <w:r>
              <w:rPr>
                <w:rFonts w:ascii="Arial" w:cs="Arial" w:eastAsia="Arial" w:hAnsi="Arial"/>
                <w:sz w:val="15"/>
                <w:szCs w:val="15"/>
                <w:color w:val="auto"/>
                <w:vertAlign w:val="superscript"/>
              </w:rPr>
              <w:t>(j)</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11,301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3,428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36,671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11,216</w:t>
            </w:r>
          </w:p>
        </w:tc>
      </w:tr>
      <w:tr>
        <w:trPr>
          <w:trHeight w:val="180"/>
        </w:trPr>
        <w:tc>
          <w:tcPr>
            <w:tcW w:w="5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Accretion of asset retirement obligation</w:t>
            </w:r>
            <w:r>
              <w:rPr>
                <w:rFonts w:ascii="Arial" w:cs="Arial" w:eastAsia="Arial" w:hAnsi="Arial"/>
                <w:sz w:val="15"/>
                <w:szCs w:val="15"/>
                <w:color w:val="auto"/>
                <w:vertAlign w:val="superscript"/>
              </w:rPr>
              <w:t>(k)</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1,946</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w:t>
            </w:r>
          </w:p>
        </w:tc>
      </w:tr>
      <w:tr>
        <w:trPr>
          <w:trHeight w:val="180"/>
        </w:trPr>
        <w:tc>
          <w:tcPr>
            <w:tcW w:w="5940" w:type="dxa"/>
            <w:vAlign w:val="bottom"/>
          </w:tcPr>
          <w:p>
            <w:pPr>
              <w:ind w:left="160"/>
              <w:spacing w:after="0"/>
              <w:rPr>
                <w:sz w:val="20"/>
                <w:szCs w:val="20"/>
                <w:color w:val="auto"/>
              </w:rPr>
            </w:pPr>
            <w:r>
              <w:rPr>
                <w:rFonts w:ascii="Arial" w:cs="Arial" w:eastAsia="Arial" w:hAnsi="Arial"/>
                <w:sz w:val="12"/>
                <w:szCs w:val="12"/>
                <w:color w:val="auto"/>
              </w:rPr>
              <w:t>COVID-19 expenses</w:t>
            </w:r>
            <w:r>
              <w:rPr>
                <w:rFonts w:ascii="Arial" w:cs="Arial" w:eastAsia="Arial" w:hAnsi="Arial"/>
                <w:sz w:val="15"/>
                <w:szCs w:val="15"/>
                <w:color w:val="auto"/>
                <w:vertAlign w:val="superscript"/>
              </w:rPr>
              <w:t>(l)</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314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2,677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58"/>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Consolidated loss before income taxes</w:t>
            </w: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(35,078)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(20,867)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(38,860)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(916)</w:t>
            </w:r>
          </w:p>
        </w:tc>
      </w:tr>
    </w:tbl>
    <w:p>
      <w:pPr>
        <w:spacing w:after="0" w:line="121"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depreciation of Co-60 held at gamma irradiation sites.</w:t>
      </w:r>
    </w:p>
    <w:p>
      <w:pPr>
        <w:spacing w:after="0" w:line="7" w:lineRule="exact"/>
        <w:rPr>
          <w:rFonts w:ascii="Arial" w:cs="Arial" w:eastAsia="Arial" w:hAnsi="Arial"/>
          <w:sz w:val="11"/>
          <w:szCs w:val="11"/>
          <w:color w:val="auto"/>
        </w:rPr>
      </w:pP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impairment charges related to the decision to not reopen the Willowbrook, Illinois facility in September 2019.</w:t>
      </w: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non-cash share-based compensation expense. 2019 also includes $10.0 million of one-time cash share-based compensation expense related to the pre-IPO Class C Units, which vested in the third quarter of 2019.</w:t>
      </w: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cash bonuses for members of management relating to the November 2020 IPO and the December 2019 refinancing.</w:t>
      </w:r>
    </w:p>
    <w:p>
      <w:pPr>
        <w:ind w:left="208" w:right="420" w:hanging="208"/>
        <w:spacing w:after="0" w:line="230" w:lineRule="auto"/>
        <w:tabs>
          <w:tab w:leader="none" w:pos="202"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208" w:right="100" w:hanging="208"/>
        <w:spacing w:after="0" w:line="227" w:lineRule="auto"/>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(i) certain direct and incremental costs related to the acquisitions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1"/>
          <w:szCs w:val="11"/>
          <w:color w:val="auto"/>
        </w:rPr>
      </w:pPr>
    </w:p>
    <w:p>
      <w:pPr>
        <w:ind w:left="208" w:right="240" w:hanging="208"/>
        <w:spacing w:after="0" w:line="230" w:lineRule="auto"/>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professional fees, severance and other payroll costs, and other costs including ongoing lease and utility expenses associated with the closure of the Willowbrook, Illinois facility.</w:t>
      </w:r>
    </w:p>
    <w:p>
      <w:pPr>
        <w:ind w:left="208" w:right="440" w:hanging="208"/>
        <w:spacing w:after="0" w:line="239" w:lineRule="auto"/>
        <w:tabs>
          <w:tab w:leader="none" w:pos="202"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expenses incurred in connection with the refinancing of our debt capital structure in December 2019 and paydown of debt following the November 2020 IPO, including accelerated amortization of prior debt issuance and discount costs, premiums paid in connection with early extinguishment and debt issuance and discount costs incurred for the new debt.</w:t>
      </w: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professional fees related to litigation associated with our EO sterilization facilities and other related professional fees.</w:t>
      </w:r>
    </w:p>
    <w:p>
      <w:pPr>
        <w:ind w:left="208" w:right="460" w:hanging="208"/>
        <w:spacing w:after="0" w:line="239" w:lineRule="auto"/>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208" w:hanging="208"/>
        <w:spacing w:after="0"/>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non-recurring costs associated with COVID-19 pandemic, including donations to related charitable causes and special bonuses for front-line personnel working on-site during lockdown periods.</w:t>
      </w: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8"/>
          </w:cols>
          <w:pgMar w:left="292" w:top="274"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2"/>
                <w:szCs w:val="12"/>
                <w:b w:val="1"/>
                <w:bCs w:val="1"/>
                <w:color w:val="auto"/>
              </w:rPr>
              <w:t>As of December 31,</w:t>
            </w:r>
          </w:p>
        </w:tc>
        <w:tc>
          <w:tcPr>
            <w:tcW w:w="1380" w:type="dxa"/>
            <w:vAlign w:val="bottom"/>
            <w:tcBorders>
              <w:bottom w:val="single" w:sz="8" w:color="auto"/>
            </w:tcBorders>
          </w:tcPr>
          <w:p>
            <w:pPr>
              <w:spacing w:after="0"/>
              <w:rPr>
                <w:sz w:val="13"/>
                <w:szCs w:val="13"/>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2019</w:t>
            </w:r>
          </w:p>
        </w:tc>
      </w:tr>
      <w:tr>
        <w:trPr>
          <w:trHeight w:val="133"/>
        </w:trPr>
        <w:tc>
          <w:tcPr>
            <w:tcW w:w="36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3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Current assets:</w:t>
            </w:r>
          </w:p>
        </w:tc>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3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4740" w:type="dxa"/>
            <w:vAlign w:val="bottom"/>
            <w:gridSpan w:val="2"/>
            <w:shd w:val="clear" w:color="auto" w:fill="CCEEFF"/>
          </w:tcPr>
          <w:p>
            <w:pPr>
              <w:jc w:val="right"/>
              <w:ind w:right="1200"/>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102,454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63,025</w:t>
            </w:r>
          </w:p>
        </w:tc>
      </w:tr>
      <w:tr>
        <w:trPr>
          <w:trHeight w:val="153"/>
        </w:trPr>
        <w:tc>
          <w:tcPr>
            <w:tcW w:w="3680" w:type="dxa"/>
            <w:vAlign w:val="bottom"/>
          </w:tcPr>
          <w:p>
            <w:pPr>
              <w:ind w:left="220"/>
              <w:spacing w:after="0"/>
              <w:rPr>
                <w:sz w:val="20"/>
                <w:szCs w:val="20"/>
                <w:color w:val="auto"/>
              </w:rPr>
            </w:pPr>
            <w:r>
              <w:rPr>
                <w:rFonts w:ascii="Arial" w:cs="Arial" w:eastAsia="Arial" w:hAnsi="Arial"/>
                <w:sz w:val="12"/>
                <w:szCs w:val="12"/>
                <w:color w:val="auto"/>
              </w:rPr>
              <w:t>Accounts receivable, net</w:t>
            </w:r>
          </w:p>
        </w:tc>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91,735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88,644</w:t>
            </w:r>
          </w:p>
        </w:tc>
      </w:tr>
      <w:tr>
        <w:trPr>
          <w:trHeight w:val="153"/>
        </w:trPr>
        <w:tc>
          <w:tcPr>
            <w:tcW w:w="3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Inventories, net</w:t>
            </w:r>
          </w:p>
        </w:tc>
        <w:tc>
          <w:tcPr>
            <w:tcW w:w="3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34,093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37,396</w:t>
            </w:r>
          </w:p>
        </w:tc>
      </w:tr>
      <w:tr>
        <w:trPr>
          <w:trHeight w:val="153"/>
        </w:trPr>
        <w:tc>
          <w:tcPr>
            <w:tcW w:w="36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current assets</w:t>
            </w:r>
          </w:p>
        </w:tc>
        <w:tc>
          <w:tcPr>
            <w:tcW w:w="34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86,733</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63,289</w:t>
            </w:r>
          </w:p>
        </w:tc>
      </w:tr>
      <w:tr>
        <w:trPr>
          <w:trHeight w:val="142"/>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Total current assets</w:t>
            </w:r>
          </w:p>
        </w:tc>
        <w:tc>
          <w:tcPr>
            <w:tcW w:w="3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315,015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252,354</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609,814</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581,954</w:t>
            </w:r>
          </w:p>
        </w:tc>
      </w:tr>
      <w:tr>
        <w:trPr>
          <w:trHeight w:val="153"/>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assets</w:t>
            </w:r>
          </w:p>
        </w:tc>
        <w:tc>
          <w:tcPr>
            <w:tcW w:w="3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45,963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643,366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696,006</w:t>
            </w:r>
          </w:p>
        </w:tc>
      </w:tr>
      <w:tr>
        <w:trPr>
          <w:trHeight w:val="153"/>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1,115,936</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1,035,865</w:t>
            </w:r>
          </w:p>
        </w:tc>
      </w:tr>
      <w:tr>
        <w:trPr>
          <w:trHeight w:val="153"/>
        </w:trPr>
        <w:tc>
          <w:tcPr>
            <w:tcW w:w="3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4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31,185</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14,495</w:t>
            </w:r>
          </w:p>
        </w:tc>
      </w:tr>
      <w:tr>
        <w:trPr>
          <w:trHeight w:val="162"/>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34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200"/>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2,761,279</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2,580,674</w:t>
            </w:r>
          </w:p>
        </w:tc>
      </w:tr>
      <w:tr>
        <w:trPr>
          <w:trHeight w:val="131"/>
        </w:trPr>
        <w:tc>
          <w:tcPr>
            <w:tcW w:w="3680" w:type="dxa"/>
            <w:vAlign w:val="bottom"/>
          </w:tcPr>
          <w:p>
            <w:pPr>
              <w:spacing w:after="0" w:line="131" w:lineRule="exact"/>
              <w:rPr>
                <w:sz w:val="20"/>
                <w:szCs w:val="20"/>
                <w:color w:val="auto"/>
              </w:rPr>
            </w:pPr>
            <w:r>
              <w:rPr>
                <w:rFonts w:ascii="Arial" w:cs="Arial" w:eastAsia="Arial" w:hAnsi="Arial"/>
                <w:sz w:val="12"/>
                <w:szCs w:val="12"/>
                <w:b w:val="1"/>
                <w:bCs w:val="1"/>
                <w:color w:val="auto"/>
              </w:rPr>
              <w:t>Liabilities and equity</w:t>
            </w:r>
          </w:p>
        </w:tc>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3"/>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Total current liabilities</w:t>
            </w:r>
          </w:p>
        </w:tc>
        <w:tc>
          <w:tcPr>
            <w:tcW w:w="4740" w:type="dxa"/>
            <w:vAlign w:val="bottom"/>
            <w:gridSpan w:val="2"/>
            <w:shd w:val="clear" w:color="auto" w:fill="CCEEFF"/>
          </w:tcPr>
          <w:p>
            <w:pPr>
              <w:jc w:val="right"/>
              <w:ind w:right="1200"/>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140,598</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123,990</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Long-term debt, less current portion</w:t>
            </w:r>
          </w:p>
        </w:tc>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1,824,789</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2,800,873</w:t>
            </w:r>
          </w:p>
        </w:tc>
      </w:tr>
      <w:tr>
        <w:trPr>
          <w:trHeight w:val="153"/>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liabilities</w:t>
            </w:r>
          </w:p>
        </w:tc>
        <w:tc>
          <w:tcPr>
            <w:tcW w:w="3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219,502</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159,708</w:t>
            </w:r>
          </w:p>
        </w:tc>
      </w:tr>
      <w:tr>
        <w:trPr>
          <w:trHeight w:val="153"/>
        </w:trPr>
        <w:tc>
          <w:tcPr>
            <w:tcW w:w="3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income taxes</w:t>
            </w:r>
          </w:p>
        </w:tc>
        <w:tc>
          <w:tcPr>
            <w:tcW w:w="34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121,816</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137,235</w:t>
            </w:r>
          </w:p>
        </w:tc>
      </w:tr>
      <w:tr>
        <w:trPr>
          <w:trHeight w:val="142"/>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40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2,306,705</w:t>
            </w: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3,221,806</w:t>
            </w:r>
          </w:p>
        </w:tc>
      </w:tr>
      <w:tr>
        <w:trPr>
          <w:trHeight w:val="169"/>
        </w:trPr>
        <w:tc>
          <w:tcPr>
            <w:tcW w:w="3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equity (deficit)</w:t>
            </w:r>
          </w:p>
        </w:tc>
        <w:tc>
          <w:tcPr>
            <w:tcW w:w="34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454,574</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(641,132)</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4740" w:type="dxa"/>
            <w:vAlign w:val="bottom"/>
            <w:gridSpan w:val="2"/>
            <w:shd w:val="clear" w:color="auto" w:fill="CCEEFF"/>
          </w:tcPr>
          <w:p>
            <w:pPr>
              <w:jc w:val="right"/>
              <w:ind w:right="1200"/>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2,761,279</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2,580,674</w:t>
            </w:r>
          </w:p>
        </w:tc>
      </w:tr>
      <w:tr>
        <w:trPr>
          <w:trHeight w:val="644"/>
        </w:trPr>
        <w:tc>
          <w:tcPr>
            <w:tcW w:w="368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1340"/>
              <w:spacing w:after="0"/>
              <w:rPr>
                <w:sz w:val="20"/>
                <w:szCs w:val="20"/>
                <w:color w:val="auto"/>
              </w:rPr>
            </w:pPr>
            <w:r>
              <w:rPr>
                <w:rFonts w:ascii="Arial" w:cs="Arial" w:eastAsia="Arial" w:hAnsi="Arial"/>
                <w:sz w:val="12"/>
                <w:szCs w:val="12"/>
                <w:color w:val="auto"/>
              </w:rPr>
              <w:t>8</w:t>
            </w:r>
          </w:p>
        </w:tc>
        <w:tc>
          <w:tcPr>
            <w:tcW w:w="1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274" w:right="2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(in thousands)</w:t>
      </w:r>
    </w:p>
    <w:p>
      <w:pPr>
        <w:jc w:val="center"/>
        <w:ind w:right="20"/>
        <w:spacing w:after="0"/>
        <w:rPr>
          <w:sz w:val="20"/>
          <w:szCs w:val="20"/>
          <w:color w:val="auto"/>
        </w:rPr>
      </w:pPr>
      <w:r>
        <w:rPr>
          <w:rFonts w:ascii="Arial" w:cs="Arial" w:eastAsia="Arial" w:hAnsi="Arial"/>
          <w:sz w:val="11"/>
          <w:szCs w:val="11"/>
          <w:i w:val="1"/>
          <w:i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r>
      <w:tr>
        <w:trPr>
          <w:trHeight w:val="151"/>
        </w:trPr>
        <w:tc>
          <w:tcPr>
            <w:tcW w:w="85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r>
      <w:tr>
        <w:trPr>
          <w:trHeight w:val="133"/>
        </w:trPr>
        <w:tc>
          <w:tcPr>
            <w:tcW w:w="85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Operating activities:</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3"/>
        </w:trPr>
        <w:tc>
          <w:tcPr>
            <w:tcW w:w="8520" w:type="dxa"/>
            <w:vAlign w:val="bottom"/>
          </w:tcPr>
          <w:p>
            <w:pPr>
              <w:spacing w:after="0"/>
              <w:rPr>
                <w:sz w:val="20"/>
                <w:szCs w:val="20"/>
                <w:color w:val="auto"/>
              </w:rPr>
            </w:pPr>
            <w:r>
              <w:rPr>
                <w:rFonts w:ascii="Arial" w:cs="Arial" w:eastAsia="Arial" w:hAnsi="Arial"/>
                <w:sz w:val="12"/>
                <w:szCs w:val="12"/>
                <w:color w:val="auto"/>
              </w:rPr>
              <w:t>Net loss</w:t>
            </w:r>
          </w:p>
        </w:tc>
        <w:tc>
          <w:tcPr>
            <w:tcW w:w="3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(37,491)</w:t>
            </w:r>
          </w:p>
        </w:tc>
        <w:tc>
          <w:tcPr>
            <w:tcW w:w="14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(20,425)</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Non-cash items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169,869</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177,817</w:t>
            </w:r>
          </w:p>
        </w:tc>
      </w:tr>
      <w:tr>
        <w:trPr>
          <w:trHeight w:val="153"/>
        </w:trPr>
        <w:tc>
          <w:tcPr>
            <w:tcW w:w="8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Changes in operating assets and liabilities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(11,793)</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(8,351)</w:t>
            </w:r>
          </w:p>
        </w:tc>
      </w:tr>
      <w:tr>
        <w:trPr>
          <w:trHeight w:val="142"/>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120,585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149,041</w:t>
            </w:r>
          </w:p>
        </w:tc>
      </w:tr>
      <w:tr>
        <w:trPr>
          <w:trHeight w:val="153"/>
        </w:trPr>
        <w:tc>
          <w:tcPr>
            <w:tcW w:w="852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plant and equipment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(53,507)</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(57,257)</w:t>
            </w:r>
          </w:p>
        </w:tc>
      </w:tr>
      <w:tr>
        <w:trPr>
          <w:trHeight w:val="153"/>
        </w:trPr>
        <w:tc>
          <w:tcPr>
            <w:tcW w:w="8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Purchase of Iotron Industries Canada, Inc., net of cash acquired</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(105,187)</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(158,694)</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(57,257)</w:t>
            </w:r>
          </w:p>
        </w:tc>
      </w:tr>
      <w:tr>
        <w:trPr>
          <w:trHeight w:val="153"/>
        </w:trPr>
        <w:tc>
          <w:tcPr>
            <w:tcW w:w="852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common stock, net of underwriting discounts and issuance costs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1,155,961</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520" w:type="dxa"/>
            <w:vAlign w:val="bottom"/>
          </w:tcPr>
          <w:p>
            <w:pPr>
              <w:spacing w:after="0"/>
              <w:rPr>
                <w:sz w:val="20"/>
                <w:szCs w:val="20"/>
                <w:color w:val="auto"/>
              </w:rPr>
            </w:pPr>
            <w:r>
              <w:rPr>
                <w:rFonts w:ascii="Arial" w:cs="Arial" w:eastAsia="Arial" w:hAnsi="Arial"/>
                <w:sz w:val="12"/>
                <w:szCs w:val="12"/>
                <w:color w:val="auto"/>
              </w:rPr>
              <w:t>Proceeds from revolving credit facility and long-term borrowings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150,000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3,144,600</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Dividends and distributions to shareholders</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(691,170)</w:t>
            </w:r>
          </w:p>
        </w:tc>
      </w:tr>
      <w:tr>
        <w:trPr>
          <w:trHeight w:val="153"/>
        </w:trPr>
        <w:tc>
          <w:tcPr>
            <w:tcW w:w="8520" w:type="dxa"/>
            <w:vAlign w:val="bottom"/>
          </w:tcPr>
          <w:p>
            <w:pPr>
              <w:spacing w:after="0"/>
              <w:rPr>
                <w:sz w:val="20"/>
                <w:szCs w:val="20"/>
                <w:color w:val="auto"/>
              </w:rPr>
            </w:pPr>
            <w:r>
              <w:rPr>
                <w:rFonts w:ascii="Arial" w:cs="Arial" w:eastAsia="Arial" w:hAnsi="Arial"/>
                <w:sz w:val="12"/>
                <w:szCs w:val="12"/>
                <w:color w:val="auto"/>
              </w:rPr>
              <w:t>Repurchase of common shares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(34,000)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Payments of debt issuance costs and prepayment premium</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(19,746)</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(17,034)</w:t>
            </w:r>
          </w:p>
        </w:tc>
      </w:tr>
      <w:tr>
        <w:trPr>
          <w:trHeight w:val="153"/>
        </w:trPr>
        <w:tc>
          <w:tcPr>
            <w:tcW w:w="8520" w:type="dxa"/>
            <w:vAlign w:val="bottom"/>
          </w:tcPr>
          <w:p>
            <w:pPr>
              <w:spacing w:after="0"/>
              <w:rPr>
                <w:sz w:val="20"/>
                <w:szCs w:val="20"/>
                <w:color w:val="auto"/>
              </w:rPr>
            </w:pPr>
            <w:r>
              <w:rPr>
                <w:rFonts w:ascii="Arial" w:cs="Arial" w:eastAsia="Arial" w:hAnsi="Arial"/>
                <w:sz w:val="12"/>
                <w:szCs w:val="12"/>
                <w:color w:val="auto"/>
              </w:rPr>
              <w:t>Payments on revolving credit facility and long-term borrowings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(1,177,325)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(2,561,084)</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(1,458)</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(1,342)</w:t>
            </w:r>
          </w:p>
        </w:tc>
      </w:tr>
      <w:tr>
        <w:trPr>
          <w:trHeight w:val="169"/>
        </w:trPr>
        <w:tc>
          <w:tcPr>
            <w:tcW w:w="8520" w:type="dxa"/>
            <w:vAlign w:val="bottom"/>
          </w:tcPr>
          <w:p>
            <w:pPr>
              <w:spacing w:after="0"/>
              <w:rPr>
                <w:sz w:val="20"/>
                <w:szCs w:val="20"/>
                <w:color w:val="auto"/>
              </w:rPr>
            </w:pPr>
            <w:r>
              <w:rPr>
                <w:rFonts w:ascii="Arial" w:cs="Arial" w:eastAsia="Arial" w:hAnsi="Arial"/>
                <w:sz w:val="12"/>
                <w:szCs w:val="12"/>
                <w:color w:val="auto"/>
              </w:rPr>
              <w:t>Net cash provided by (used in) financing activities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73,432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(126,030)</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4,106</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w:t>
            </w:r>
          </w:p>
        </w:tc>
      </w:tr>
      <w:tr>
        <w:trPr>
          <w:trHeight w:val="169"/>
        </w:trPr>
        <w:tc>
          <w:tcPr>
            <w:tcW w:w="8520" w:type="dxa"/>
            <w:vAlign w:val="bottom"/>
          </w:tcPr>
          <w:p>
            <w:pPr>
              <w:spacing w:after="0"/>
              <w:rPr>
                <w:sz w:val="20"/>
                <w:szCs w:val="20"/>
                <w:color w:val="auto"/>
              </w:rPr>
            </w:pPr>
            <w:r>
              <w:rPr>
                <w:rFonts w:ascii="Arial" w:cs="Arial" w:eastAsia="Arial" w:hAnsi="Arial"/>
                <w:sz w:val="12"/>
                <w:szCs w:val="12"/>
                <w:color w:val="auto"/>
              </w:rPr>
              <w:t>Net increase (decrease) in cash and cash equivalents, including restricted cash</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39,429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(33,761)</w:t>
            </w: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including restricted cash, at beginning of period</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63,025</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96,786</w:t>
            </w:r>
          </w:p>
        </w:tc>
      </w:tr>
      <w:tr>
        <w:trPr>
          <w:trHeight w:val="185"/>
        </w:trPr>
        <w:tc>
          <w:tcPr>
            <w:tcW w:w="8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including restricted cash, at end of period</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102,454</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63,025</w:t>
            </w:r>
          </w:p>
        </w:tc>
      </w:tr>
      <w:tr>
        <w:trPr>
          <w:trHeight w:val="126"/>
        </w:trPr>
        <w:tc>
          <w:tcPr>
            <w:tcW w:w="85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300"/>
          </w:cols>
          <w:pgMar w:left="300" w:top="130" w:right="299" w:bottom="1440" w:gutter="0" w:footer="0" w:header="0"/>
        </w:sectPr>
      </w:pPr>
    </w:p>
    <w:p>
      <w:pPr>
        <w:spacing w:after="0"/>
        <w:rPr>
          <w:sz w:val="20"/>
          <w:szCs w:val="20"/>
          <w:color w:val="auto"/>
        </w:rPr>
      </w:pPr>
      <w:r>
        <w:rPr>
          <w:rFonts w:ascii="Arial" w:cs="Arial" w:eastAsia="Arial" w:hAnsi="Arial"/>
          <w:sz w:val="12"/>
          <w:szCs w:val="12"/>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Cash paid during the period for interest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Cash paid during the period for income taxes, net of tax refunds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78040"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Equipment purchases included in accounts payable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211,276</w:t>
            </w:r>
          </w:p>
        </w:tc>
        <w:tc>
          <w:tcPr>
            <w:tcW w:w="5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151,005</w:t>
            </w:r>
          </w:p>
        </w:tc>
      </w:tr>
      <w:tr>
        <w:trPr>
          <w:trHeight w:val="153"/>
        </w:trPr>
        <w:tc>
          <w:tcPr>
            <w:tcW w:w="46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23,988</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44,614</w:t>
            </w:r>
          </w:p>
        </w:tc>
      </w:tr>
      <w:tr>
        <w:trPr>
          <w:trHeight w:val="157"/>
        </w:trPr>
        <w:tc>
          <w:tcPr>
            <w:tcW w:w="46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14,288</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5,197</w:t>
            </w:r>
          </w:p>
        </w:tc>
      </w:tr>
    </w:tbl>
    <w:p>
      <w:pPr>
        <w:spacing w:after="0" w:line="200" w:lineRule="exact"/>
        <w:rPr>
          <w:sz w:val="20"/>
          <w:szCs w:val="20"/>
          <w:color w:val="auto"/>
        </w:rPr>
      </w:pPr>
    </w:p>
    <w:p>
      <w:pPr>
        <w:sectPr>
          <w:pgSz w:w="11900" w:h="16838" w:orient="portrait"/>
          <w:cols w:equalWidth="0" w:num="2">
            <w:col w:w="7820" w:space="720"/>
            <w:col w:w="2760"/>
          </w:cols>
          <w:pgMar w:left="300" w:top="130" w:right="29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300"/>
          </w:cols>
          <w:pgMar w:left="300" w:top="130" w:right="29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Non-GAAP Financial Measures</w:t>
      </w:r>
    </w:p>
    <w:p>
      <w:pPr>
        <w:spacing w:after="0" w:line="5"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60" w:type="dxa"/>
            <w:vAlign w:val="bottom"/>
          </w:tcPr>
          <w:p>
            <w:pPr>
              <w:spacing w:after="0"/>
              <w:rPr>
                <w:sz w:val="12"/>
                <w:szCs w:val="12"/>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8"/>
              </w:rPr>
              <w:t>Year Ended December 31,</w:t>
            </w:r>
          </w:p>
        </w:tc>
        <w:tc>
          <w:tcPr>
            <w:tcW w:w="800" w:type="dxa"/>
            <w:vAlign w:val="bottom"/>
            <w:tcBorders>
              <w:bottom w:val="single" w:sz="8" w:color="auto"/>
            </w:tcBorders>
          </w:tcPr>
          <w:p>
            <w:pPr>
              <w:spacing w:after="0"/>
              <w:rPr>
                <w:sz w:val="12"/>
                <w:szCs w:val="12"/>
                <w:color w:val="auto"/>
              </w:rPr>
            </w:pPr>
          </w:p>
        </w:tc>
      </w:tr>
      <w:tr>
        <w:trPr>
          <w:trHeight w:val="133"/>
        </w:trPr>
        <w:tc>
          <w:tcPr>
            <w:tcW w:w="56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w w:val="89"/>
              </w:rPr>
              <w:t>2019</w:t>
            </w:r>
          </w:p>
        </w:tc>
      </w:tr>
      <w:tr>
        <w:trPr>
          <w:trHeight w:val="135"/>
        </w:trPr>
        <w:tc>
          <w:tcPr>
            <w:tcW w:w="5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loss</w:t>
            </w:r>
          </w:p>
        </w:tc>
        <w:tc>
          <w:tcPr>
            <w:tcW w:w="800" w:type="dxa"/>
            <w:vAlign w:val="bottom"/>
            <w:shd w:val="clear" w:color="auto" w:fill="CCEEFF"/>
          </w:tcPr>
          <w:p>
            <w:pPr>
              <w:jc w:val="right"/>
              <w:ind w:right="690"/>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2"/>
              </w:rPr>
              <w:t>(43,386)</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2"/>
              </w:rPr>
              <w:t>(27,746)</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(37,491)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(20,425)</w:t>
            </w:r>
          </w:p>
        </w:tc>
      </w:tr>
      <w:tr>
        <w:trPr>
          <w:trHeight w:val="142"/>
        </w:trPr>
        <w:tc>
          <w:tcPr>
            <w:tcW w:w="5660" w:type="dxa"/>
            <w:vAlign w:val="bottom"/>
          </w:tcPr>
          <w:p>
            <w:pPr>
              <w:ind w:left="140"/>
              <w:spacing w:after="0"/>
              <w:rPr>
                <w:sz w:val="20"/>
                <w:szCs w:val="20"/>
                <w:color w:val="auto"/>
              </w:rPr>
            </w:pPr>
            <w:r>
              <w:rPr>
                <w:rFonts w:ascii="Arial" w:cs="Arial" w:eastAsia="Arial" w:hAnsi="Arial"/>
                <w:sz w:val="11"/>
                <w:szCs w:val="11"/>
                <w:color w:val="auto"/>
              </w:rPr>
              <w:t>Amortization</w:t>
            </w: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20,431</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80,255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80,048</w:t>
            </w:r>
          </w:p>
        </w:tc>
      </w:tr>
      <w:tr>
        <w:trPr>
          <w:trHeight w:val="146"/>
        </w:trPr>
        <w:tc>
          <w:tcPr>
            <w:tcW w:w="5660" w:type="dxa"/>
            <w:vAlign w:val="bottom"/>
            <w:shd w:val="clear" w:color="auto" w:fill="CCEEFF"/>
          </w:tcPr>
          <w:p>
            <w:pPr>
              <w:ind w:left="140"/>
              <w:spacing w:after="0" w:line="146" w:lineRule="exact"/>
              <w:rPr>
                <w:sz w:val="20"/>
                <w:szCs w:val="20"/>
                <w:color w:val="auto"/>
              </w:rPr>
            </w:pPr>
            <w:r>
              <w:rPr>
                <w:rFonts w:ascii="Arial" w:cs="Arial" w:eastAsia="Arial" w:hAnsi="Arial"/>
                <w:sz w:val="11"/>
                <w:szCs w:val="11"/>
                <w:color w:val="auto"/>
              </w:rPr>
              <w:t xml:space="preserve">Impairment of long-lived assets and intangible assets </w:t>
            </w:r>
            <w:r>
              <w:rPr>
                <w:rFonts w:ascii="Arial" w:cs="Arial" w:eastAsia="Arial" w:hAnsi="Arial"/>
                <w:sz w:val="14"/>
                <w:szCs w:val="14"/>
                <w:color w:val="auto"/>
                <w:vertAlign w:val="superscript"/>
              </w:rPr>
              <w:t>(a)</w:t>
            </w: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5,792</w:t>
            </w:r>
          </w:p>
        </w:tc>
      </w:tr>
      <w:tr>
        <w:trPr>
          <w:trHeight w:val="144"/>
        </w:trPr>
        <w:tc>
          <w:tcPr>
            <w:tcW w:w="5660" w:type="dxa"/>
            <w:vAlign w:val="bottom"/>
          </w:tcPr>
          <w:p>
            <w:pPr>
              <w:ind w:left="140"/>
              <w:spacing w:after="0" w:line="144" w:lineRule="exact"/>
              <w:rPr>
                <w:sz w:val="20"/>
                <w:szCs w:val="20"/>
                <w:color w:val="auto"/>
              </w:rPr>
            </w:pPr>
            <w:r>
              <w:rPr>
                <w:rFonts w:ascii="Arial" w:cs="Arial" w:eastAsia="Arial" w:hAnsi="Arial"/>
                <w:sz w:val="11"/>
                <w:szCs w:val="11"/>
                <w:color w:val="auto"/>
              </w:rPr>
              <w:t>Share-based compensation</w:t>
            </w:r>
            <w:r>
              <w:rPr>
                <w:rFonts w:ascii="Arial" w:cs="Arial" w:eastAsia="Arial" w:hAnsi="Arial"/>
                <w:sz w:val="14"/>
                <w:szCs w:val="14"/>
                <w:color w:val="auto"/>
                <w:vertAlign w:val="superscript"/>
              </w:rPr>
              <w:t>(b)</w:t>
            </w: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6,968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1,762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10,987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16,882</w:t>
            </w:r>
          </w:p>
        </w:tc>
      </w:tr>
      <w:tr>
        <w:trPr>
          <w:trHeight w:val="144"/>
        </w:trPr>
        <w:tc>
          <w:tcPr>
            <w:tcW w:w="5660" w:type="dxa"/>
            <w:vAlign w:val="bottom"/>
            <w:shd w:val="clear" w:color="auto" w:fill="CCEEFF"/>
          </w:tcPr>
          <w:p>
            <w:pPr>
              <w:ind w:left="140"/>
              <w:spacing w:after="0" w:line="144" w:lineRule="exact"/>
              <w:rPr>
                <w:sz w:val="20"/>
                <w:szCs w:val="20"/>
                <w:color w:val="auto"/>
              </w:rPr>
            </w:pPr>
            <w:r>
              <w:rPr>
                <w:rFonts w:ascii="Arial" w:cs="Arial" w:eastAsia="Arial" w:hAnsi="Arial"/>
                <w:sz w:val="11"/>
                <w:szCs w:val="11"/>
                <w:color w:val="auto"/>
              </w:rPr>
              <w:t>Capital restructuring bonuses</w:t>
            </w:r>
            <w:r>
              <w:rPr>
                <w:rFonts w:ascii="Arial" w:cs="Arial" w:eastAsia="Arial" w:hAnsi="Arial"/>
                <w:sz w:val="14"/>
                <w:szCs w:val="14"/>
                <w:color w:val="auto"/>
                <w:vertAlign w:val="superscript"/>
              </w:rPr>
              <w:t>(c)</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2,702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1,510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2,702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2,040</w:t>
            </w:r>
          </w:p>
        </w:tc>
      </w:tr>
      <w:tr>
        <w:trPr>
          <w:trHeight w:val="144"/>
        </w:trPr>
        <w:tc>
          <w:tcPr>
            <w:tcW w:w="5660" w:type="dxa"/>
            <w:vAlign w:val="bottom"/>
          </w:tcPr>
          <w:p>
            <w:pPr>
              <w:ind w:left="140"/>
              <w:spacing w:after="0" w:line="144" w:lineRule="exact"/>
              <w:rPr>
                <w:sz w:val="20"/>
                <w:szCs w:val="20"/>
                <w:color w:val="auto"/>
              </w:rPr>
            </w:pPr>
            <w:r>
              <w:rPr>
                <w:rFonts w:ascii="Arial" w:cs="Arial" w:eastAsia="Arial" w:hAnsi="Arial"/>
                <w:sz w:val="11"/>
                <w:szCs w:val="11"/>
                <w:color w:val="auto"/>
              </w:rPr>
              <w:t>(Gain) loss on foreign currency and embedded derivatives</w:t>
            </w:r>
            <w:r>
              <w:rPr>
                <w:rFonts w:ascii="Arial" w:cs="Arial" w:eastAsia="Arial" w:hAnsi="Arial"/>
                <w:sz w:val="14"/>
                <w:szCs w:val="14"/>
                <w:color w:val="auto"/>
                <w:vertAlign w:val="superscript"/>
              </w:rPr>
              <w:t>(d)</w:t>
            </w:r>
          </w:p>
        </w:tc>
        <w:tc>
          <w:tcPr>
            <w:tcW w:w="8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(3,663)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(5,636)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(8,454)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2,662</w:t>
            </w:r>
          </w:p>
        </w:tc>
      </w:tr>
      <w:tr>
        <w:trPr>
          <w:trHeight w:val="144"/>
        </w:trPr>
        <w:tc>
          <w:tcPr>
            <w:tcW w:w="5660" w:type="dxa"/>
            <w:vAlign w:val="bottom"/>
            <w:shd w:val="clear" w:color="auto" w:fill="CCEEFF"/>
          </w:tcPr>
          <w:p>
            <w:pPr>
              <w:ind w:left="140"/>
              <w:spacing w:after="0" w:line="144" w:lineRule="exact"/>
              <w:rPr>
                <w:sz w:val="20"/>
                <w:szCs w:val="20"/>
                <w:color w:val="auto"/>
              </w:rPr>
            </w:pPr>
            <w:r>
              <w:rPr>
                <w:rFonts w:ascii="Arial" w:cs="Arial" w:eastAsia="Arial" w:hAnsi="Arial"/>
                <w:sz w:val="11"/>
                <w:szCs w:val="11"/>
                <w:color w:val="auto"/>
              </w:rPr>
              <w:t>Acquisition and divestiture related charges, net</w:t>
            </w:r>
            <w:r>
              <w:rPr>
                <w:rFonts w:ascii="Arial" w:cs="Arial" w:eastAsia="Arial" w:hAnsi="Arial"/>
                <w:sz w:val="14"/>
                <w:szCs w:val="14"/>
                <w:color w:val="auto"/>
                <w:vertAlign w:val="superscript"/>
              </w:rPr>
              <w:t>(e)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386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3,932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(318)</w:t>
            </w:r>
          </w:p>
        </w:tc>
      </w:tr>
      <w:tr>
        <w:trPr>
          <w:trHeight w:val="144"/>
        </w:trPr>
        <w:tc>
          <w:tcPr>
            <w:tcW w:w="5660" w:type="dxa"/>
            <w:vAlign w:val="bottom"/>
          </w:tcPr>
          <w:p>
            <w:pPr>
              <w:ind w:left="140"/>
              <w:spacing w:after="0" w:line="144" w:lineRule="exact"/>
              <w:rPr>
                <w:sz w:val="20"/>
                <w:szCs w:val="20"/>
                <w:color w:val="auto"/>
              </w:rPr>
            </w:pPr>
            <w:r>
              <w:rPr>
                <w:rFonts w:ascii="Arial" w:cs="Arial" w:eastAsia="Arial" w:hAnsi="Arial"/>
                <w:sz w:val="11"/>
                <w:szCs w:val="11"/>
                <w:color w:val="auto"/>
              </w:rPr>
              <w:t>Business optimization project expenses</w:t>
            </w:r>
            <w:r>
              <w:rPr>
                <w:rFonts w:ascii="Arial" w:cs="Arial" w:eastAsia="Arial" w:hAnsi="Arial"/>
                <w:sz w:val="14"/>
                <w:szCs w:val="14"/>
                <w:color w:val="auto"/>
                <w:vertAlign w:val="superscript"/>
              </w:rPr>
              <w:t>(f)</w:t>
            </w: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2,710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2,524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4,195</w:t>
            </w:r>
          </w:p>
        </w:tc>
      </w:tr>
      <w:tr>
        <w:trPr>
          <w:trHeight w:val="144"/>
        </w:trPr>
        <w:tc>
          <w:tcPr>
            <w:tcW w:w="5660" w:type="dxa"/>
            <w:vAlign w:val="bottom"/>
            <w:shd w:val="clear" w:color="auto" w:fill="CCEEFF"/>
          </w:tcPr>
          <w:p>
            <w:pPr>
              <w:ind w:left="140"/>
              <w:spacing w:after="0" w:line="144" w:lineRule="exact"/>
              <w:rPr>
                <w:sz w:val="20"/>
                <w:szCs w:val="20"/>
                <w:color w:val="auto"/>
              </w:rPr>
            </w:pPr>
            <w:r>
              <w:rPr>
                <w:rFonts w:ascii="Arial" w:cs="Arial" w:eastAsia="Arial" w:hAnsi="Arial"/>
                <w:sz w:val="11"/>
                <w:szCs w:val="11"/>
                <w:color w:val="auto"/>
              </w:rPr>
              <w:t>Plant closure expenses</w:t>
            </w:r>
            <w:r>
              <w:rPr>
                <w:rFonts w:ascii="Arial" w:cs="Arial" w:eastAsia="Arial" w:hAnsi="Arial"/>
                <w:sz w:val="14"/>
                <w:szCs w:val="14"/>
                <w:color w:val="auto"/>
                <w:vertAlign w:val="superscript"/>
              </w:rPr>
              <w:t>(g)</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261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567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2,649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1,712</w:t>
            </w:r>
          </w:p>
        </w:tc>
      </w:tr>
      <w:tr>
        <w:trPr>
          <w:trHeight w:val="144"/>
        </w:trPr>
        <w:tc>
          <w:tcPr>
            <w:tcW w:w="5660" w:type="dxa"/>
            <w:vAlign w:val="bottom"/>
          </w:tcPr>
          <w:p>
            <w:pPr>
              <w:ind w:left="140"/>
              <w:spacing w:after="0" w:line="144" w:lineRule="exact"/>
              <w:rPr>
                <w:sz w:val="20"/>
                <w:szCs w:val="20"/>
                <w:color w:val="auto"/>
              </w:rPr>
            </w:pPr>
            <w:r>
              <w:rPr>
                <w:rFonts w:ascii="Arial" w:cs="Arial" w:eastAsia="Arial" w:hAnsi="Arial"/>
                <w:sz w:val="11"/>
                <w:szCs w:val="11"/>
                <w:color w:val="auto"/>
              </w:rPr>
              <w:t>Loss on extinguishment of debt</w:t>
            </w:r>
            <w:r>
              <w:rPr>
                <w:rFonts w:ascii="Arial" w:cs="Arial" w:eastAsia="Arial" w:hAnsi="Arial"/>
                <w:sz w:val="14"/>
                <w:szCs w:val="14"/>
                <w:color w:val="auto"/>
                <w:vertAlign w:val="superscript"/>
              </w:rPr>
              <w:t>(h)</w:t>
            </w: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44,262</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30,168</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44,262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30,168</w:t>
            </w:r>
          </w:p>
        </w:tc>
      </w:tr>
      <w:tr>
        <w:trPr>
          <w:trHeight w:val="144"/>
        </w:trPr>
        <w:tc>
          <w:tcPr>
            <w:tcW w:w="5660" w:type="dxa"/>
            <w:vAlign w:val="bottom"/>
            <w:shd w:val="clear" w:color="auto" w:fill="CCEEFF"/>
          </w:tcPr>
          <w:p>
            <w:pPr>
              <w:ind w:left="140"/>
              <w:spacing w:after="0" w:line="144" w:lineRule="exact"/>
              <w:rPr>
                <w:sz w:val="20"/>
                <w:szCs w:val="20"/>
                <w:color w:val="auto"/>
              </w:rPr>
            </w:pPr>
            <w:r>
              <w:rPr>
                <w:rFonts w:ascii="Arial" w:cs="Arial" w:eastAsia="Arial" w:hAnsi="Arial"/>
                <w:sz w:val="11"/>
                <w:szCs w:val="11"/>
                <w:color w:val="auto"/>
              </w:rPr>
              <w:t>Professional services relating to EO sterilization facilities</w:t>
            </w:r>
            <w:r>
              <w:rPr>
                <w:rFonts w:ascii="Arial" w:cs="Arial" w:eastAsia="Arial" w:hAnsi="Arial"/>
                <w:sz w:val="14"/>
                <w:szCs w:val="14"/>
                <w:color w:val="auto"/>
                <w:vertAlign w:val="superscript"/>
              </w:rPr>
              <w:t>(i)</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11,301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3,428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36,671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11,216</w:t>
            </w:r>
          </w:p>
        </w:tc>
      </w:tr>
      <w:tr>
        <w:trPr>
          <w:trHeight w:val="144"/>
        </w:trPr>
        <w:tc>
          <w:tcPr>
            <w:tcW w:w="5660" w:type="dxa"/>
            <w:vAlign w:val="bottom"/>
          </w:tcPr>
          <w:p>
            <w:pPr>
              <w:ind w:left="140"/>
              <w:spacing w:after="0" w:line="144" w:lineRule="exact"/>
              <w:rPr>
                <w:sz w:val="20"/>
                <w:szCs w:val="20"/>
                <w:color w:val="auto"/>
              </w:rPr>
            </w:pPr>
            <w:r>
              <w:rPr>
                <w:rFonts w:ascii="Arial" w:cs="Arial" w:eastAsia="Arial" w:hAnsi="Arial"/>
                <w:sz w:val="11"/>
                <w:szCs w:val="11"/>
                <w:color w:val="auto"/>
              </w:rPr>
              <w:t>Accretion of asset retirement obligation</w:t>
            </w:r>
            <w:r>
              <w:rPr>
                <w:rFonts w:ascii="Arial" w:cs="Arial" w:eastAsia="Arial" w:hAnsi="Arial"/>
                <w:sz w:val="14"/>
                <w:szCs w:val="14"/>
                <w:color w:val="auto"/>
                <w:vertAlign w:val="superscript"/>
              </w:rPr>
              <w:t>(j)</w:t>
            </w: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470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594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1,946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2,051</w:t>
            </w:r>
          </w:p>
        </w:tc>
      </w:tr>
      <w:tr>
        <w:trPr>
          <w:trHeight w:val="144"/>
        </w:trPr>
        <w:tc>
          <w:tcPr>
            <w:tcW w:w="5660" w:type="dxa"/>
            <w:vAlign w:val="bottom"/>
            <w:shd w:val="clear" w:color="auto" w:fill="CCEEFF"/>
          </w:tcPr>
          <w:p>
            <w:pPr>
              <w:ind w:left="140"/>
              <w:spacing w:after="0" w:line="144" w:lineRule="exact"/>
              <w:rPr>
                <w:sz w:val="20"/>
                <w:szCs w:val="20"/>
                <w:color w:val="auto"/>
              </w:rPr>
            </w:pPr>
            <w:r>
              <w:rPr>
                <w:rFonts w:ascii="Arial" w:cs="Arial" w:eastAsia="Arial" w:hAnsi="Arial"/>
                <w:sz w:val="11"/>
                <w:szCs w:val="11"/>
                <w:color w:val="auto"/>
              </w:rPr>
              <w:t>COVID-19 expenses</w:t>
            </w:r>
            <w:r>
              <w:rPr>
                <w:rFonts w:ascii="Arial" w:cs="Arial" w:eastAsia="Arial" w:hAnsi="Arial"/>
                <w:sz w:val="14"/>
                <w:szCs w:val="14"/>
                <w:color w:val="auto"/>
                <w:vertAlign w:val="superscript"/>
              </w:rPr>
              <w:t>(k)</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314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2,677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4"/>
        </w:trPr>
        <w:tc>
          <w:tcPr>
            <w:tcW w:w="5660" w:type="dxa"/>
            <w:vAlign w:val="bottom"/>
            <w:tcBorders>
              <w:bottom w:val="single" w:sz="8" w:color="CCEEFF"/>
            </w:tcBorders>
          </w:tcPr>
          <w:p>
            <w:pPr>
              <w:ind w:left="140"/>
              <w:spacing w:after="0" w:line="144" w:lineRule="exact"/>
              <w:rPr>
                <w:sz w:val="20"/>
                <w:szCs w:val="20"/>
                <w:color w:val="auto"/>
              </w:rPr>
            </w:pPr>
            <w:r>
              <w:rPr>
                <w:rFonts w:ascii="Arial" w:cs="Arial" w:eastAsia="Arial" w:hAnsi="Arial"/>
                <w:sz w:val="11"/>
                <w:szCs w:val="11"/>
                <w:color w:val="auto"/>
              </w:rPr>
              <w:t>Income tax benefit associated with pre-tax adjustments</w:t>
            </w:r>
            <w:r>
              <w:rPr>
                <w:rFonts w:ascii="Arial" w:cs="Arial" w:eastAsia="Arial" w:hAnsi="Arial"/>
                <w:sz w:val="14"/>
                <w:szCs w:val="14"/>
                <w:color w:val="auto"/>
                <w:vertAlign w:val="superscript"/>
              </w:rPr>
              <w:t>(l)</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2"/>
              </w:rPr>
              <w:t>(18,682)</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2"/>
              </w:rPr>
              <w:t>(15,270)</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(43,536)</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(35,637)</w:t>
            </w:r>
          </w:p>
        </w:tc>
      </w:tr>
      <w:tr>
        <w:trPr>
          <w:trHeight w:val="133"/>
        </w:trPr>
        <w:tc>
          <w:tcPr>
            <w:tcW w:w="5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Adjusted Net Income</w:t>
            </w:r>
          </w:p>
        </w:tc>
        <w:tc>
          <w:tcPr>
            <w:tcW w:w="8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21,980</w:t>
            </w:r>
          </w:p>
        </w:tc>
        <w:tc>
          <w:tcPr>
            <w:tcW w:w="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12,489</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99,124</w:t>
            </w:r>
          </w:p>
        </w:tc>
        <w:tc>
          <w:tcPr>
            <w:tcW w:w="1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100,386</w:t>
            </w:r>
          </w:p>
        </w:tc>
      </w:tr>
      <w:tr>
        <w:trPr>
          <w:trHeight w:val="131"/>
        </w:trPr>
        <w:tc>
          <w:tcPr>
            <w:tcW w:w="5660" w:type="dxa"/>
            <w:vAlign w:val="bottom"/>
          </w:tcPr>
          <w:p>
            <w:pPr>
              <w:ind w:left="140"/>
              <w:spacing w:after="0"/>
              <w:rPr>
                <w:sz w:val="20"/>
                <w:szCs w:val="20"/>
                <w:color w:val="auto"/>
              </w:rPr>
            </w:pPr>
            <w:r>
              <w:rPr>
                <w:rFonts w:ascii="Arial" w:cs="Arial" w:eastAsia="Arial" w:hAnsi="Arial"/>
                <w:sz w:val="11"/>
                <w:szCs w:val="11"/>
                <w:color w:val="auto"/>
              </w:rPr>
              <w:t>Interest expense, net</w:t>
            </w:r>
          </w:p>
        </w:tc>
        <w:tc>
          <w:tcPr>
            <w:tcW w:w="80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48,117</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43,251</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w w:val="95"/>
              </w:rPr>
              <w:t>215,259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157,729</w:t>
            </w:r>
          </w:p>
        </w:tc>
      </w:tr>
      <w:tr>
        <w:trPr>
          <w:trHeight w:val="146"/>
        </w:trPr>
        <w:tc>
          <w:tcPr>
            <w:tcW w:w="5660" w:type="dxa"/>
            <w:vAlign w:val="bottom"/>
            <w:shd w:val="clear" w:color="auto" w:fill="CCEEFF"/>
          </w:tcPr>
          <w:p>
            <w:pPr>
              <w:ind w:left="140"/>
              <w:spacing w:after="0" w:line="146" w:lineRule="exact"/>
              <w:rPr>
                <w:sz w:val="20"/>
                <w:szCs w:val="20"/>
                <w:color w:val="auto"/>
              </w:rPr>
            </w:pPr>
            <w:r>
              <w:rPr>
                <w:rFonts w:ascii="Arial" w:cs="Arial" w:eastAsia="Arial" w:hAnsi="Arial"/>
                <w:sz w:val="11"/>
                <w:szCs w:val="11"/>
                <w:color w:val="auto"/>
              </w:rPr>
              <w:t>Depreciation</w:t>
            </w:r>
            <w:r>
              <w:rPr>
                <w:rFonts w:ascii="Arial" w:cs="Arial" w:eastAsia="Arial" w:hAnsi="Arial"/>
                <w:sz w:val="14"/>
                <w:szCs w:val="14"/>
                <w:color w:val="auto"/>
                <w:vertAlign w:val="superscript"/>
              </w:rPr>
              <w:t>(m)</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15,975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16,586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63,309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66,671</w:t>
            </w:r>
          </w:p>
        </w:tc>
      </w:tr>
      <w:tr>
        <w:trPr>
          <w:trHeight w:val="144"/>
        </w:trPr>
        <w:tc>
          <w:tcPr>
            <w:tcW w:w="5660" w:type="dxa"/>
            <w:vAlign w:val="bottom"/>
            <w:tcBorders>
              <w:bottom w:val="single" w:sz="8" w:color="CCEEFF"/>
            </w:tcBorders>
          </w:tcPr>
          <w:p>
            <w:pPr>
              <w:ind w:left="140"/>
              <w:spacing w:after="0" w:line="144" w:lineRule="exact"/>
              <w:rPr>
                <w:sz w:val="20"/>
                <w:szCs w:val="20"/>
                <w:color w:val="auto"/>
              </w:rPr>
            </w:pPr>
            <w:r>
              <w:rPr>
                <w:rFonts w:ascii="Arial" w:cs="Arial" w:eastAsia="Arial" w:hAnsi="Arial"/>
                <w:sz w:val="11"/>
                <w:szCs w:val="11"/>
                <w:color w:val="auto"/>
              </w:rPr>
              <w:t>Income tax provision applicable to Adjusted Net Income</w:t>
            </w:r>
            <w:r>
              <w:rPr>
                <w:rFonts w:ascii="Arial" w:cs="Arial" w:eastAsia="Arial" w:hAnsi="Arial"/>
                <w:sz w:val="14"/>
                <w:szCs w:val="14"/>
                <w:color w:val="auto"/>
                <w:vertAlign w:val="superscript"/>
              </w:rPr>
              <w:t>(n)</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26,990</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22,149</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42,167</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55,146</w:t>
            </w:r>
          </w:p>
        </w:tc>
      </w:tr>
      <w:tr>
        <w:trPr>
          <w:trHeight w:val="1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Adjusted EBITDA</w:t>
            </w:r>
          </w:p>
        </w:tc>
        <w:tc>
          <w:tcPr>
            <w:tcW w:w="8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0"/>
              </w:rPr>
              <w:t>113,062</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94,475</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5"/>
              </w:rPr>
              <w:t>419,859</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379,932</w:t>
            </w:r>
          </w:p>
        </w:tc>
      </w:tr>
      <w:tr>
        <w:trPr>
          <w:trHeight w:val="117"/>
        </w:trPr>
        <w:tc>
          <w:tcPr>
            <w:tcW w:w="5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5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Revenues</w:t>
            </w:r>
          </w:p>
        </w:tc>
        <w:tc>
          <w:tcPr>
            <w:tcW w:w="800" w:type="dxa"/>
            <w:vAlign w:val="bottom"/>
            <w:shd w:val="clear" w:color="auto" w:fill="CCEEFF"/>
          </w:tcPr>
          <w:p>
            <w:pPr>
              <w:jc w:val="right"/>
              <w:ind w:right="690"/>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0"/>
              </w:rPr>
              <w:t>216,845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0"/>
              </w:rPr>
              <w:t>193,485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5"/>
              </w:rPr>
              <w:t>818,158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778,327</w:t>
            </w:r>
          </w:p>
        </w:tc>
      </w:tr>
      <w:tr>
        <w:trPr>
          <w:trHeight w:val="142"/>
        </w:trPr>
        <w:tc>
          <w:tcPr>
            <w:tcW w:w="5660" w:type="dxa"/>
            <w:vAlign w:val="bottom"/>
          </w:tcPr>
          <w:p>
            <w:pPr>
              <w:spacing w:after="0"/>
              <w:rPr>
                <w:sz w:val="20"/>
                <w:szCs w:val="20"/>
                <w:color w:val="auto"/>
              </w:rPr>
            </w:pPr>
            <w:r>
              <w:rPr>
                <w:rFonts w:ascii="Arial" w:cs="Arial" w:eastAsia="Arial" w:hAnsi="Arial"/>
                <w:sz w:val="11"/>
                <w:szCs w:val="11"/>
                <w:b w:val="1"/>
                <w:bCs w:val="1"/>
                <w:color w:val="auto"/>
              </w:rPr>
              <w:t>Adjusted EBITDA Margin</w:t>
            </w:r>
          </w:p>
        </w:tc>
        <w:tc>
          <w:tcPr>
            <w:tcW w:w="8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52.1 %</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48.8 %</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51.3 %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48.8 %</w:t>
            </w: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Weighted average number of shares outstanding</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0"/>
              </w:rPr>
              <w:t>253,470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0"/>
              </w:rPr>
              <w:t>232,400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5"/>
              </w:rPr>
              <w:t>237,696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232,400</w:t>
            </w:r>
          </w:p>
        </w:tc>
      </w:tr>
      <w:tr>
        <w:trPr>
          <w:trHeight w:val="142"/>
        </w:trPr>
        <w:tc>
          <w:tcPr>
            <w:tcW w:w="5660" w:type="dxa"/>
            <w:vAlign w:val="bottom"/>
          </w:tcPr>
          <w:p>
            <w:pPr>
              <w:spacing w:after="0"/>
              <w:rPr>
                <w:sz w:val="20"/>
                <w:szCs w:val="20"/>
                <w:color w:val="auto"/>
              </w:rPr>
            </w:pPr>
            <w:r>
              <w:rPr>
                <w:rFonts w:ascii="Arial" w:cs="Arial" w:eastAsia="Arial" w:hAnsi="Arial"/>
                <w:sz w:val="11"/>
                <w:szCs w:val="11"/>
                <w:b w:val="1"/>
                <w:bCs w:val="1"/>
                <w:color w:val="auto"/>
              </w:rPr>
              <w:t>Basic and diluted EPS</w:t>
            </w:r>
          </w:p>
        </w:tc>
        <w:tc>
          <w:tcPr>
            <w:tcW w:w="800" w:type="dxa"/>
            <w:vAlign w:val="bottom"/>
          </w:tcPr>
          <w:p>
            <w:pPr>
              <w:jc w:val="right"/>
              <w:ind w:right="69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(0.17)</w:t>
            </w:r>
          </w:p>
        </w:tc>
        <w:tc>
          <w:tcPr>
            <w:tcW w:w="80" w:type="dxa"/>
            <w:vAlign w:val="bottom"/>
          </w:tcPr>
          <w:p>
            <w:pPr>
              <w:spacing w:after="0"/>
              <w:rPr>
                <w:sz w:val="12"/>
                <w:szCs w:val="12"/>
                <w:color w:val="auto"/>
              </w:rPr>
            </w:pPr>
          </w:p>
        </w:tc>
        <w:tc>
          <w:tcPr>
            <w:tcW w:w="800" w:type="dxa"/>
            <w:vAlign w:val="bottom"/>
          </w:tcPr>
          <w:p>
            <w:pPr>
              <w:jc w:val="right"/>
              <w:ind w:right="69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(0.12)</w:t>
            </w:r>
          </w:p>
        </w:tc>
        <w:tc>
          <w:tcPr>
            <w:tcW w:w="100" w:type="dxa"/>
            <w:vAlign w:val="bottom"/>
          </w:tcPr>
          <w:p>
            <w:pPr>
              <w:spacing w:after="0"/>
              <w:rPr>
                <w:sz w:val="12"/>
                <w:szCs w:val="12"/>
                <w:color w:val="auto"/>
              </w:rPr>
            </w:pPr>
          </w:p>
        </w:tc>
        <w:tc>
          <w:tcPr>
            <w:tcW w:w="800" w:type="dxa"/>
            <w:vAlign w:val="bottom"/>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(0.16)</w:t>
            </w:r>
          </w:p>
        </w:tc>
        <w:tc>
          <w:tcPr>
            <w:tcW w:w="12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(0.09)</w:t>
            </w: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Adjusted EPS</w:t>
            </w:r>
          </w:p>
        </w:tc>
        <w:tc>
          <w:tcPr>
            <w:tcW w:w="800" w:type="dxa"/>
            <w:vAlign w:val="bottom"/>
            <w:shd w:val="clear" w:color="auto" w:fill="CCEEFF"/>
          </w:tcPr>
          <w:p>
            <w:pPr>
              <w:jc w:val="right"/>
              <w:ind w:right="690"/>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0.09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0.05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0.42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0.43</w:t>
            </w:r>
          </w:p>
        </w:tc>
      </w:tr>
    </w:tbl>
    <w:p>
      <w:pPr>
        <w:spacing w:after="0" w:line="126" w:lineRule="exact"/>
        <w:rPr>
          <w:sz w:val="20"/>
          <w:szCs w:val="20"/>
          <w:color w:val="auto"/>
        </w:rPr>
      </w:pPr>
    </w:p>
    <w:p>
      <w:pPr>
        <w:ind w:left="320" w:hanging="220"/>
        <w:spacing w:after="0"/>
        <w:tabs>
          <w:tab w:leader="none" w:pos="32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impairment charges related to the decision to not reopen the Willowbrook, Illinois facility in September 2019.</w:t>
      </w:r>
    </w:p>
    <w:p>
      <w:pPr>
        <w:spacing w:after="0" w:line="20" w:lineRule="exact"/>
        <w:rPr>
          <w:rFonts w:ascii="Arial" w:cs="Arial" w:eastAsia="Arial" w:hAnsi="Arial"/>
          <w:sz w:val="10"/>
          <w:szCs w:val="10"/>
          <w:color w:val="231F20"/>
        </w:rPr>
      </w:pPr>
    </w:p>
    <w:p>
      <w:pPr>
        <w:ind w:left="300" w:hanging="200"/>
        <w:spacing w:after="0"/>
        <w:tabs>
          <w:tab w:leader="none" w:pos="30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Includes non-cash share-based compensation expense. 2019 also includes $10.0 million of one-time cash share-based compensation expense related to the pre-IPO Class C Units, which vested in the third quarter of 2019.</w:t>
      </w:r>
    </w:p>
    <w:p>
      <w:pPr>
        <w:spacing w:after="0" w:line="29" w:lineRule="exact"/>
        <w:rPr>
          <w:rFonts w:ascii="Arial" w:cs="Arial" w:eastAsia="Arial" w:hAnsi="Arial"/>
          <w:sz w:val="10"/>
          <w:szCs w:val="10"/>
          <w:color w:val="231F20"/>
        </w:rPr>
      </w:pPr>
    </w:p>
    <w:p>
      <w:pPr>
        <w:ind w:left="320" w:hanging="220"/>
        <w:spacing w:after="0"/>
        <w:tabs>
          <w:tab w:leader="none" w:pos="32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cash bonuses for members of management relating to the November 2020 IPO and the December 2019 refinancing.</w:t>
      </w:r>
    </w:p>
    <w:p>
      <w:pPr>
        <w:spacing w:after="0" w:line="29" w:lineRule="exact"/>
        <w:rPr>
          <w:rFonts w:ascii="Arial" w:cs="Arial" w:eastAsia="Arial" w:hAnsi="Arial"/>
          <w:sz w:val="10"/>
          <w:szCs w:val="10"/>
          <w:color w:val="231F20"/>
        </w:rPr>
      </w:pPr>
    </w:p>
    <w:p>
      <w:pPr>
        <w:ind w:left="320" w:right="480" w:hanging="220"/>
        <w:spacing w:after="0" w:line="262" w:lineRule="auto"/>
        <w:tabs>
          <w:tab w:leader="none" w:pos="313"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jc w:val="both"/>
        <w:ind w:left="320" w:right="320" w:hanging="220"/>
        <w:spacing w:after="0" w:line="258" w:lineRule="auto"/>
        <w:tabs>
          <w:tab w:leader="none" w:pos="316"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(i) certain direct and incremental costs related to the acquisitions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7" w:lineRule="exact"/>
        <w:rPr>
          <w:rFonts w:ascii="Arial" w:cs="Arial" w:eastAsia="Arial" w:hAnsi="Arial"/>
          <w:sz w:val="10"/>
          <w:szCs w:val="10"/>
          <w:color w:val="231F20"/>
        </w:rPr>
      </w:pPr>
    </w:p>
    <w:p>
      <w:pPr>
        <w:ind w:left="320" w:right="340" w:hanging="220"/>
        <w:spacing w:after="0" w:line="272" w:lineRule="auto"/>
        <w:tabs>
          <w:tab w:leader="none" w:pos="314"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ind w:left="300" w:hanging="200"/>
        <w:spacing w:after="0"/>
        <w:tabs>
          <w:tab w:leader="none" w:pos="30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professional fees, severance and other payroll costs, and other costs including ongoing lease and utility expenses associated with the closure of the Willowbrook, Illinois facility.</w:t>
      </w:r>
    </w:p>
    <w:p>
      <w:pPr>
        <w:spacing w:after="0" w:line="20" w:lineRule="exact"/>
        <w:rPr>
          <w:rFonts w:ascii="Arial" w:cs="Arial" w:eastAsia="Arial" w:hAnsi="Arial"/>
          <w:sz w:val="10"/>
          <w:szCs w:val="10"/>
          <w:color w:val="231F20"/>
        </w:rPr>
      </w:pPr>
    </w:p>
    <w:p>
      <w:pPr>
        <w:ind w:left="320" w:right="200" w:hanging="220"/>
        <w:spacing w:after="0" w:line="272" w:lineRule="auto"/>
        <w:tabs>
          <w:tab w:leader="none" w:pos="313"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expenses incurred in connection with the refinancing of our debt capital structure in December 2019 and paydown of debt following the November 2020 IPO, including accelerated amortization of prior debt issuance and discount costs, premiums paid in connection with early extinguishment and debt issuance and discount costs incurred for the new debt.</w:t>
      </w:r>
    </w:p>
    <w:p>
      <w:pPr>
        <w:ind w:left="320" w:hanging="220"/>
        <w:spacing w:after="0"/>
        <w:tabs>
          <w:tab w:leader="none" w:pos="32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professional fees related to litigation associated with our EO sterilization facilities and other related professional fees.</w:t>
      </w:r>
    </w:p>
    <w:p>
      <w:pPr>
        <w:spacing w:after="0" w:line="29" w:lineRule="exact"/>
        <w:rPr>
          <w:rFonts w:ascii="Arial" w:cs="Arial" w:eastAsia="Arial" w:hAnsi="Arial"/>
          <w:sz w:val="10"/>
          <w:szCs w:val="10"/>
          <w:color w:val="231F20"/>
        </w:rPr>
      </w:pPr>
    </w:p>
    <w:p>
      <w:pPr>
        <w:ind w:left="320" w:right="200" w:hanging="220"/>
        <w:spacing w:after="0" w:line="262" w:lineRule="auto"/>
        <w:tabs>
          <w:tab w:leader="none" w:pos="317"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300" w:hanging="200"/>
        <w:spacing w:after="0"/>
        <w:tabs>
          <w:tab w:leader="none" w:pos="300" w:val="left"/>
        </w:tabs>
        <w:numPr>
          <w:ilvl w:val="0"/>
          <w:numId w:val="8"/>
        </w:numPr>
        <w:rPr>
          <w:rFonts w:ascii="Arial" w:cs="Arial" w:eastAsia="Arial" w:hAnsi="Arial"/>
          <w:sz w:val="10"/>
          <w:szCs w:val="10"/>
          <w:color w:val="231F20"/>
        </w:rPr>
      </w:pPr>
      <w:r>
        <w:rPr>
          <w:rFonts w:ascii="Arial" w:cs="Arial" w:eastAsia="Arial" w:hAnsi="Arial"/>
          <w:sz w:val="10"/>
          <w:szCs w:val="10"/>
          <w:color w:val="auto"/>
        </w:rPr>
        <w:t>Represents non-recurring costs associated with COVID-19 pandemic, including donations to related charitable causes and special bonuses for front-line personnel working on-site during lockdown periods.</w:t>
      </w:r>
    </w:p>
    <w:p>
      <w:pPr>
        <w:spacing w:after="0" w:line="29" w:lineRule="exact"/>
        <w:rPr>
          <w:rFonts w:ascii="Arial" w:cs="Arial" w:eastAsia="Arial" w:hAnsi="Arial"/>
          <w:sz w:val="10"/>
          <w:szCs w:val="10"/>
          <w:color w:val="231F20"/>
        </w:rPr>
      </w:pPr>
    </w:p>
    <w:p>
      <w:pPr>
        <w:ind w:left="320" w:right="80" w:hanging="220"/>
        <w:spacing w:after="0" w:line="272" w:lineRule="auto"/>
        <w:tabs>
          <w:tab w:leader="none" w:pos="317" w:val="left"/>
        </w:tabs>
        <w:numPr>
          <w:ilvl w:val="0"/>
          <w:numId w:val="8"/>
        </w:numPr>
        <w:rPr>
          <w:rFonts w:ascii="Arial" w:cs="Arial" w:eastAsia="Arial" w:hAnsi="Arial"/>
          <w:sz w:val="10"/>
          <w:szCs w:val="10"/>
          <w:color w:val="231F20"/>
        </w:rPr>
      </w:pPr>
      <w:r>
        <w:rPr>
          <w:rFonts w:ascii="Arial" w:cs="Arial" w:eastAsia="Arial" w:hAnsi="Arial"/>
          <w:sz w:val="10"/>
          <w:szCs w:val="10"/>
          <w:color w:val="231F20"/>
        </w:rPr>
        <w:t>Represents the tax benefit or provision associated with the reconciling items between net loss and Adjusted Net Income. To determine the aggregate tax effect of the reconciling items, we utilized statutory income tax rates ranging from 0% to 35%, depending upon the applicable jurisdictions of each adjustment.</w:t>
      </w:r>
    </w:p>
    <w:p>
      <w:pPr>
        <w:ind w:left="320" w:hanging="220"/>
        <w:spacing w:after="0"/>
        <w:tabs>
          <w:tab w:leader="none" w:pos="320" w:val="left"/>
        </w:tabs>
        <w:numPr>
          <w:ilvl w:val="0"/>
          <w:numId w:val="8"/>
        </w:numPr>
        <w:rPr>
          <w:rFonts w:ascii="Arial" w:cs="Arial" w:eastAsia="Arial" w:hAnsi="Arial"/>
          <w:sz w:val="10"/>
          <w:szCs w:val="10"/>
          <w:color w:val="231F20"/>
        </w:rPr>
      </w:pPr>
      <w:r>
        <w:rPr>
          <w:rFonts w:ascii="Arial" w:cs="Arial" w:eastAsia="Arial" w:hAnsi="Arial"/>
          <w:sz w:val="10"/>
          <w:szCs w:val="10"/>
          <w:color w:val="231F20"/>
        </w:rPr>
        <w:t>Includes depreciation of Co-60 held at gamma irradiation sites.</w:t>
      </w:r>
    </w:p>
    <w:p>
      <w:pPr>
        <w:spacing w:after="0" w:line="20" w:lineRule="exact"/>
        <w:rPr>
          <w:rFonts w:ascii="Arial" w:cs="Arial" w:eastAsia="Arial" w:hAnsi="Arial"/>
          <w:sz w:val="10"/>
          <w:szCs w:val="10"/>
          <w:color w:val="231F20"/>
        </w:rPr>
      </w:pPr>
    </w:p>
    <w:p>
      <w:pPr>
        <w:ind w:left="300" w:hanging="200"/>
        <w:spacing w:after="0"/>
        <w:tabs>
          <w:tab w:leader="none" w:pos="300" w:val="left"/>
        </w:tabs>
        <w:numPr>
          <w:ilvl w:val="0"/>
          <w:numId w:val="8"/>
        </w:numPr>
        <w:rPr>
          <w:rFonts w:ascii="Arial" w:cs="Arial" w:eastAsia="Arial" w:hAnsi="Arial"/>
          <w:sz w:val="10"/>
          <w:szCs w:val="10"/>
          <w:color w:val="231F20"/>
        </w:rPr>
      </w:pPr>
      <w:r>
        <w:rPr>
          <w:rFonts w:ascii="Arial" w:cs="Arial" w:eastAsia="Arial" w:hAnsi="Arial"/>
          <w:sz w:val="10"/>
          <w:szCs w:val="10"/>
          <w:color w:val="231F20"/>
        </w:rPr>
        <w:t>Represents the difference between income tax expense or benefit as determined under U.S. GAAP and the income tax benefit associated with pre-tax adjustments described in footnote (l).</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0" w:right="299" w:bottom="1440" w:gutter="0" w:footer="0" w:header="0"/>
        </w:sectPr>
      </w:pPr>
    </w:p>
    <w:bookmarkStart w:id="13" w:name="page14"/>
    <w:bookmarkEnd w:id="13"/>
    <w:p>
      <w:pPr>
        <w:jc w:val="center"/>
        <w:ind w:left="4640"/>
        <w:spacing w:after="0"/>
        <w:rPr>
          <w:sz w:val="20"/>
          <w:szCs w:val="20"/>
          <w:color w:val="auto"/>
        </w:rPr>
      </w:pPr>
      <w:r>
        <w:rPr>
          <w:rFonts w:ascii="Arial" w:cs="Arial" w:eastAsia="Arial" w:hAnsi="Arial"/>
          <w:sz w:val="14"/>
          <w:szCs w:val="14"/>
          <w:b w:val="1"/>
          <w:bCs w:val="1"/>
          <w:color w:val="auto"/>
        </w:rPr>
        <w:t>Sotera Health Company</w:t>
      </w:r>
    </w:p>
    <w:p>
      <w:pPr>
        <w:spacing w:after="0" w:line="25" w:lineRule="exact"/>
        <w:rPr>
          <w:sz w:val="20"/>
          <w:szCs w:val="20"/>
          <w:color w:val="auto"/>
        </w:rPr>
      </w:pPr>
    </w:p>
    <w:p>
      <w:pPr>
        <w:jc w:val="center"/>
        <w:ind w:left="4640"/>
        <w:spacing w:after="0"/>
        <w:rPr>
          <w:sz w:val="20"/>
          <w:szCs w:val="20"/>
          <w:color w:val="auto"/>
        </w:rPr>
      </w:pPr>
      <w:r>
        <w:rPr>
          <w:rFonts w:ascii="Arial" w:cs="Arial" w:eastAsia="Arial" w:hAnsi="Arial"/>
          <w:sz w:val="13"/>
          <w:szCs w:val="13"/>
          <w:b w:val="1"/>
          <w:bCs w:val="1"/>
          <w:color w:val="auto"/>
        </w:rPr>
        <w:t>Non-GAAP Financial Measures</w:t>
      </w:r>
    </w:p>
    <w:p>
      <w:pPr>
        <w:spacing w:after="0" w:line="17" w:lineRule="exact"/>
        <w:rPr>
          <w:sz w:val="20"/>
          <w:szCs w:val="20"/>
          <w:color w:val="auto"/>
        </w:rPr>
      </w:pPr>
    </w:p>
    <w:p>
      <w:pPr>
        <w:jc w:val="center"/>
        <w:ind w:left="4640"/>
        <w:spacing w:after="0"/>
        <w:rPr>
          <w:sz w:val="20"/>
          <w:szCs w:val="20"/>
          <w:color w:val="auto"/>
        </w:rPr>
      </w:pPr>
      <w:r>
        <w:rPr>
          <w:rFonts w:ascii="Arial" w:cs="Arial" w:eastAsia="Arial" w:hAnsi="Arial"/>
          <w:sz w:val="12"/>
          <w:szCs w:val="12"/>
          <w:i w:val="1"/>
          <w:iCs w:val="1"/>
          <w:color w:val="auto"/>
        </w:rPr>
        <w:t>($’s in thousands)</w:t>
      </w:r>
    </w:p>
    <w:p>
      <w:pPr>
        <w:spacing w:after="0" w:line="5" w:lineRule="exact"/>
        <w:rPr>
          <w:sz w:val="20"/>
          <w:szCs w:val="20"/>
          <w:color w:val="auto"/>
        </w:rPr>
      </w:pPr>
    </w:p>
    <w:p>
      <w:pPr>
        <w:jc w:val="center"/>
        <w:ind w:left="4640"/>
        <w:spacing w:after="0"/>
        <w:rPr>
          <w:sz w:val="20"/>
          <w:szCs w:val="20"/>
          <w:color w:val="auto"/>
        </w:rPr>
      </w:pPr>
      <w:r>
        <w:rPr>
          <w:rFonts w:ascii="Arial" w:cs="Arial" w:eastAsia="Arial" w:hAnsi="Arial"/>
          <w:sz w:val="12"/>
          <w:szCs w:val="12"/>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512445</wp:posOffset>
            </wp:positionV>
            <wp:extent cx="716661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Current portion of long-term debt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Long-term debt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9525</wp:posOffset>
            </wp:positionV>
            <wp:extent cx="716661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Current portion of finance leases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Finance leases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9525</wp:posOffset>
            </wp:positionV>
            <wp:extent cx="716661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103505</wp:posOffset>
            </wp:positionV>
            <wp:extent cx="716661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Add: unamortized debt issuance costs and debt discounts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9525</wp:posOffset>
            </wp:positionV>
            <wp:extent cx="716661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11430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Net Debt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-84455</wp:posOffset>
            </wp:positionV>
            <wp:extent cx="716661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Net Leverage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2019</w:t>
            </w:r>
          </w:p>
        </w:tc>
      </w:tr>
      <w:tr>
        <w:trPr>
          <w:trHeight w:val="138"/>
        </w:trPr>
        <w:tc>
          <w:tcPr>
            <w:tcW w:w="480" w:type="dxa"/>
            <w:vAlign w:val="bottom"/>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16,331</w:t>
            </w:r>
          </w:p>
        </w:tc>
      </w:tr>
      <w:tr>
        <w:trPr>
          <w:trHeight w:val="153"/>
        </w:trPr>
        <w:tc>
          <w:tcPr>
            <w:tcW w:w="4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1,824,789</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2,800,873</w:t>
            </w:r>
          </w:p>
        </w:tc>
      </w:tr>
      <w:tr>
        <w:trPr>
          <w:trHeight w:val="153"/>
        </w:trPr>
        <w:tc>
          <w:tcPr>
            <w:tcW w:w="4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1,173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1,288</w:t>
            </w:r>
          </w:p>
        </w:tc>
      </w:tr>
      <w:tr>
        <w:trPr>
          <w:trHeight w:val="157"/>
        </w:trPr>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34,939</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29,883</w:t>
            </w:r>
          </w:p>
        </w:tc>
      </w:tr>
      <w:tr>
        <w:trPr>
          <w:trHeight w:val="142"/>
        </w:trPr>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1,860,901</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2,848,375</w:t>
            </w:r>
          </w:p>
        </w:tc>
      </w:tr>
      <w:tr>
        <w:trPr>
          <w:trHeight w:val="273"/>
        </w:trPr>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38,761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73,677</w:t>
            </w:r>
          </w:p>
        </w:tc>
      </w:tr>
      <w:tr>
        <w:trPr>
          <w:trHeight w:val="157"/>
        </w:trPr>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(102,454)</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(63,025)</w:t>
            </w:r>
          </w:p>
        </w:tc>
      </w:tr>
      <w:tr>
        <w:trPr>
          <w:trHeight w:val="142"/>
        </w:trPr>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1,797,208</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2,859,027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1"/>
        </w:trPr>
        <w:tc>
          <w:tcPr>
            <w:tcW w:w="480" w:type="dxa"/>
            <w:vAlign w:val="bottom"/>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419,859</w:t>
            </w:r>
          </w:p>
        </w:tc>
        <w:tc>
          <w:tcPr>
            <w:tcW w:w="120" w:type="dxa"/>
            <w:vAlign w:val="bottom"/>
          </w:tcPr>
          <w:p>
            <w:pPr>
              <w:spacing w:after="0"/>
              <w:rPr>
                <w:sz w:val="21"/>
                <w:szCs w:val="21"/>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379,932</w:t>
            </w:r>
          </w:p>
        </w:tc>
      </w:tr>
      <w:tr>
        <w:trPr>
          <w:trHeight w:val="157"/>
        </w:trPr>
        <w:tc>
          <w:tcPr>
            <w:tcW w:w="480" w:type="dxa"/>
            <w:vAlign w:val="bottom"/>
          </w:tcPr>
          <w:p>
            <w:pPr>
              <w:spacing w:after="0"/>
              <w:rPr>
                <w:sz w:val="13"/>
                <w:szCs w:val="13"/>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4.3x</w:t>
            </w:r>
          </w:p>
        </w:tc>
        <w:tc>
          <w:tcPr>
            <w:tcW w:w="5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auto"/>
              </w:rPr>
              <w:t>7.5x</w:t>
            </w:r>
          </w:p>
        </w:tc>
      </w:tr>
    </w:tbl>
    <w:p>
      <w:pPr>
        <w:sectPr>
          <w:pgSz w:w="11900" w:h="16838" w:orient="portrait"/>
          <w:cols w:equalWidth="0" w:num="2">
            <w:col w:w="6600" w:space="460"/>
            <w:col w:w="4200"/>
          </w:cols>
          <w:pgMar w:left="320" w:top="130" w:right="319" w:bottom="1440"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2021-03-09T06:45:43Z</dcterms:created>
  <dcterms:modified xsi:type="dcterms:W3CDTF">2021-03-09T06:45:43Z</dcterms:modified>
</cp:coreProperties>
</file>