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9524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95249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Ostrowski Erika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60" w:type="dxa"/>
            <w:vAlign w:val="bottom"/>
            <w:tcBorders>
              <w:top w:val="single" w:sz="8" w:color="0000EE"/>
              <w:bottom w:val="single" w:sz="8" w:color="9A9A9A"/>
            </w:tcBorders>
          </w:tcPr>
          <w:p>
            <w:pPr>
              <w:spacing w:after="0"/>
              <w:rPr>
                <w:sz w:val="17"/>
                <w:szCs w:val="17"/>
                <w:color w:val="auto"/>
              </w:rPr>
            </w:pPr>
          </w:p>
        </w:tc>
        <w:tc>
          <w:tcPr>
            <w:tcW w:w="15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Sotera Health Co</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SHC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SOTERA HEALTH COMPANY</w:t>
      </w:r>
    </w:p>
    <w:p>
      <w:pPr>
        <w:spacing w:after="0" w:line="9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9100 SOUTH HILLS BLVD,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300</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260" w:type="dxa"/>
            <w:vAlign w:val="bottom"/>
          </w:tcPr>
          <w:p>
            <w:pPr>
              <w:spacing w:after="0"/>
              <w:rPr>
                <w:sz w:val="20"/>
                <w:szCs w:val="20"/>
                <w:color w:val="auto"/>
              </w:rPr>
            </w:pPr>
            <w:r>
              <w:rPr>
                <w:rFonts w:ascii="Arial" w:cs="Arial" w:eastAsia="Arial" w:hAnsi="Arial"/>
                <w:sz w:val="15"/>
                <w:szCs w:val="15"/>
                <w:color w:val="auto"/>
              </w:rPr>
              <w:t>(Street)</w:t>
            </w: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327"/>
        </w:trPr>
        <w:tc>
          <w:tcPr>
            <w:tcW w:w="12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BROADVIEW</w:t>
            </w:r>
          </w:p>
        </w:tc>
        <w:tc>
          <w:tcPr>
            <w:tcW w:w="6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OH</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44147</w:t>
            </w:r>
          </w:p>
        </w:tc>
      </w:tr>
      <w:tr>
        <w:trPr>
          <w:trHeight w:val="254"/>
        </w:trPr>
        <w:tc>
          <w:tcPr>
            <w:tcW w:w="12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HEIGHTS</w:t>
            </w: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43"/>
        <w:spacing w:after="0"/>
        <w:rPr>
          <w:sz w:val="20"/>
          <w:szCs w:val="20"/>
          <w:color w:val="auto"/>
        </w:rPr>
      </w:pPr>
      <w:r>
        <w:rPr>
          <w:rFonts w:ascii="Times New Roman" w:cs="Times New Roman" w:eastAsia="Times New Roman" w:hAnsi="Times New Roman"/>
          <w:sz w:val="20"/>
          <w:szCs w:val="20"/>
          <w:color w:val="0000FF"/>
        </w:rPr>
        <w:t>SVP, General Counsel and Sec.</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34"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496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0000FF"/>
              </w:rPr>
              <w:t>Common Stock, $0.01 par value per share ("Common</w:t>
            </w:r>
          </w:p>
        </w:tc>
        <w:tc>
          <w:tcPr>
            <w:tcW w:w="1720" w:type="dxa"/>
            <w:vAlign w:val="bottom"/>
            <w:vMerge w:val="restart"/>
          </w:tcPr>
          <w:p>
            <w:pPr>
              <w:ind w:left="540"/>
              <w:spacing w:after="0"/>
              <w:rPr>
                <w:sz w:val="20"/>
                <w:szCs w:val="20"/>
                <w:color w:val="auto"/>
              </w:rPr>
            </w:pPr>
            <w:r>
              <w:rPr>
                <w:rFonts w:ascii="Times New Roman" w:cs="Times New Roman" w:eastAsia="Times New Roman" w:hAnsi="Times New Roman"/>
                <w:sz w:val="20"/>
                <w:szCs w:val="20"/>
                <w:color w:val="0000FF"/>
              </w:rPr>
              <w:t>57,538</w:t>
            </w:r>
            <w:r>
              <w:rPr>
                <w:rFonts w:ascii="Times New Roman" w:cs="Times New Roman" w:eastAsia="Times New Roman" w:hAnsi="Times New Roman"/>
                <w:sz w:val="25"/>
                <w:szCs w:val="25"/>
                <w:color w:val="008000"/>
                <w:vertAlign w:val="superscript"/>
              </w:rPr>
              <w:t>(1)</w:t>
            </w:r>
          </w:p>
        </w:tc>
        <w:tc>
          <w:tcPr>
            <w:tcW w:w="900" w:type="dxa"/>
            <w:vAlign w:val="bottom"/>
            <w:gridSpan w:val="2"/>
            <w:vMerge w:val="restart"/>
          </w:tcPr>
          <w:p>
            <w:pPr>
              <w:ind w:left="72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2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44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00" w:type="dxa"/>
            <w:vAlign w:val="bottom"/>
            <w:gridSpan w:val="2"/>
          </w:tcPr>
          <w:p>
            <w:pPr>
              <w:ind w:left="20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00" w:type="dxa"/>
            <w:vAlign w:val="bottom"/>
            <w:gridSpan w:val="2"/>
          </w:tcPr>
          <w:p>
            <w:pPr>
              <w:ind w:left="20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720" w:type="dxa"/>
            <w:vAlign w:val="bottom"/>
          </w:tcPr>
          <w:p>
            <w:pPr>
              <w:spacing w:after="0"/>
              <w:rPr>
                <w:sz w:val="14"/>
                <w:szCs w:val="14"/>
                <w:color w:val="auto"/>
              </w:rPr>
            </w:pPr>
          </w:p>
        </w:tc>
        <w:tc>
          <w:tcPr>
            <w:tcW w:w="900" w:type="dxa"/>
            <w:vAlign w:val="bottom"/>
            <w:gridSpan w:val="2"/>
          </w:tcPr>
          <w:p>
            <w:pPr>
              <w:ind w:left="20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gridSpan w:val="2"/>
          </w:tcPr>
          <w:p>
            <w:pPr>
              <w:ind w:left="20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w:t>
            </w:r>
          </w:p>
        </w:tc>
        <w:tc>
          <w:tcPr>
            <w:tcW w:w="132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72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center"/>
              <w:ind w:left="54"/>
              <w:spacing w:after="0"/>
              <w:rPr>
                <w:sz w:val="20"/>
                <w:szCs w:val="20"/>
                <w:color w:val="auto"/>
              </w:rPr>
            </w:pPr>
            <w:r>
              <w:rPr>
                <w:rFonts w:ascii="Times New Roman" w:cs="Times New Roman" w:eastAsia="Times New Roman" w:hAnsi="Times New Roman"/>
                <w:sz w:val="20"/>
                <w:szCs w:val="20"/>
                <w:color w:val="0000FF"/>
                <w:w w:val="98"/>
              </w:rPr>
              <w:t>20,419</w:t>
            </w:r>
          </w:p>
        </w:tc>
        <w:tc>
          <w:tcPr>
            <w:tcW w:w="6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14.59</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w:t>
            </w:r>
          </w:p>
        </w:tc>
        <w:tc>
          <w:tcPr>
            <w:tcW w:w="132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(3)</w:t>
            </w:r>
          </w:p>
        </w:tc>
        <w:tc>
          <w:tcPr>
            <w:tcW w:w="172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center"/>
              <w:ind w:left="54"/>
              <w:spacing w:after="0"/>
              <w:rPr>
                <w:sz w:val="20"/>
                <w:szCs w:val="20"/>
                <w:color w:val="auto"/>
              </w:rPr>
            </w:pPr>
            <w:r>
              <w:rPr>
                <w:rFonts w:ascii="Times New Roman" w:cs="Times New Roman" w:eastAsia="Times New Roman" w:hAnsi="Times New Roman"/>
                <w:sz w:val="20"/>
                <w:szCs w:val="20"/>
                <w:color w:val="0000FF"/>
                <w:w w:val="98"/>
              </w:rPr>
              <w:t>11,740</w:t>
            </w:r>
          </w:p>
        </w:tc>
        <w:tc>
          <w:tcPr>
            <w:tcW w:w="6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14.59</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Performance RSUs</w:t>
            </w:r>
          </w:p>
        </w:tc>
        <w:tc>
          <w:tcPr>
            <w:tcW w:w="132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(4)</w:t>
            </w:r>
          </w:p>
        </w:tc>
        <w:tc>
          <w:tcPr>
            <w:tcW w:w="172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center"/>
              <w:ind w:left="34"/>
              <w:spacing w:after="0"/>
              <w:rPr>
                <w:sz w:val="20"/>
                <w:szCs w:val="20"/>
                <w:color w:val="auto"/>
              </w:rPr>
            </w:pPr>
            <w:r>
              <w:rPr>
                <w:rFonts w:ascii="Times New Roman" w:cs="Times New Roman" w:eastAsia="Times New Roman" w:hAnsi="Times New Roman"/>
                <w:sz w:val="20"/>
                <w:szCs w:val="20"/>
                <w:color w:val="0000FF"/>
                <w:w w:val="97"/>
              </w:rPr>
              <w:t>4,484</w:t>
            </w:r>
          </w:p>
        </w:tc>
        <w:tc>
          <w:tcPr>
            <w:tcW w:w="6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13.38</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Performance RSUs</w:t>
            </w:r>
          </w:p>
        </w:tc>
        <w:tc>
          <w:tcPr>
            <w:tcW w:w="132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(5)</w:t>
            </w:r>
          </w:p>
        </w:tc>
        <w:tc>
          <w:tcPr>
            <w:tcW w:w="172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center"/>
              <w:ind w:left="34"/>
              <w:spacing w:after="0"/>
              <w:rPr>
                <w:sz w:val="20"/>
                <w:szCs w:val="20"/>
                <w:color w:val="auto"/>
              </w:rPr>
            </w:pPr>
            <w:r>
              <w:rPr>
                <w:rFonts w:ascii="Times New Roman" w:cs="Times New Roman" w:eastAsia="Times New Roman" w:hAnsi="Times New Roman"/>
                <w:sz w:val="20"/>
                <w:szCs w:val="20"/>
                <w:color w:val="0000FF"/>
                <w:w w:val="97"/>
              </w:rPr>
              <w:t>9,892</w:t>
            </w:r>
          </w:p>
        </w:tc>
        <w:tc>
          <w:tcPr>
            <w:tcW w:w="6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17.69</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securities consist of 32,180 Restricted Stock Units ("RSUs") and 25,358 shares of Common Stock.</w:t>
      </w:r>
    </w:p>
    <w:p>
      <w:pPr>
        <w:spacing w:after="0" w:line="52" w:lineRule="exact"/>
        <w:rPr>
          <w:rFonts w:ascii="Times New Roman" w:cs="Times New Roman" w:eastAsia="Times New Roman" w:hAnsi="Times New Roman"/>
          <w:sz w:val="15"/>
          <w:szCs w:val="15"/>
          <w:color w:val="008000"/>
        </w:rPr>
      </w:pPr>
    </w:p>
    <w:p>
      <w:pPr>
        <w:ind w:left="40" w:right="22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options were granted on March 4, 2024, pursuant to the terms of a stock option agreement under the Sotera Health Company 2020 Omnibus Incentive Plan ("2020 Incentive Plan"). The options vest annually in three equal installments commencing on March 2, 2025, subject to the Reporting Person's continued service through each such date and expire 10 years after the grant date.</w:t>
      </w:r>
    </w:p>
    <w:p>
      <w:pPr>
        <w:spacing w:after="0" w:line="29" w:lineRule="exact"/>
        <w:rPr>
          <w:rFonts w:ascii="Times New Roman" w:cs="Times New Roman" w:eastAsia="Times New Roman" w:hAnsi="Times New Roman"/>
          <w:sz w:val="15"/>
          <w:szCs w:val="15"/>
          <w:color w:val="008000"/>
        </w:rPr>
      </w:pPr>
    </w:p>
    <w:p>
      <w:pPr>
        <w:ind w:left="40" w:right="1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options were granted on March 4, 2024, pursuant to the terms of a stock option agreement under the 2020 Incentive Plan, and have vested in full. These options expire 10 years after the grant date.</w:t>
      </w:r>
    </w:p>
    <w:p>
      <w:pPr>
        <w:spacing w:after="0" w:line="17" w:lineRule="exact"/>
        <w:rPr>
          <w:rFonts w:ascii="Times New Roman" w:cs="Times New Roman" w:eastAsia="Times New Roman" w:hAnsi="Times New Roman"/>
          <w:sz w:val="15"/>
          <w:szCs w:val="15"/>
          <w:color w:val="008000"/>
        </w:rPr>
      </w:pPr>
    </w:p>
    <w:p>
      <w:pPr>
        <w:ind w:left="40" w:right="20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securities consist of the maximum number of additional performance-based RSUs that were granted on March 3, 2025, pursuant to the terms of an RSU agreement under the 2020 Incentive Plan. Each additional RSU represents the Reporting Person's right to receive one share of Common Stock, subject to stock-price related conditions. The additional RSUs vest in equal annual installments in March 2027 and March 2028, subject to performance.</w:t>
      </w:r>
    </w:p>
    <w:p>
      <w:pPr>
        <w:spacing w:after="0" w:line="29" w:lineRule="exact"/>
        <w:rPr>
          <w:rFonts w:ascii="Times New Roman" w:cs="Times New Roman" w:eastAsia="Times New Roman" w:hAnsi="Times New Roman"/>
          <w:sz w:val="15"/>
          <w:szCs w:val="15"/>
          <w:color w:val="008000"/>
        </w:rPr>
      </w:pPr>
    </w:p>
    <w:p>
      <w:pPr>
        <w:ind w:left="40" w:right="20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securities consist of the maximum number of additional performance-based RSUs that were granted on March 2, 2026, pursuant to the terms of an RSU agreement under the 2020 Incentive Plan. Each additional RSU represents the Reporting Person's right to receive one share of Common Stock, subject to stock-price related conditions. The additional RSUs generally vest annually in 60%, 20% and 20% installments, respectively, commencing March 2027, subject to performance.</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ectPr>
          <w:pgSz w:w="11900" w:h="16838" w:orient="portrait"/>
          <w:cols w:equalWidth="0" w:num="1">
            <w:col w:w="10940"/>
          </w:cols>
          <w:pgMar w:left="480" w:top="230" w:right="479" w:bottom="0" w:gutter="0" w:footer="0" w:header="0"/>
          <w:type w:val="continuous"/>
        </w:sectPr>
      </w:pP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Gregory J. Dziak,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88074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880745"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83248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832485" cy="9525"/>
                    </a:xfrm>
                    <a:prstGeom prst="rect">
                      <a:avLst/>
                    </a:prstGeom>
                    <a:noFill/>
                  </pic:spPr>
                </pic:pic>
              </a:graphicData>
            </a:graphic>
          </wp:anchor>
        </w:drawing>
      </w:r>
    </w:p>
    <w:p>
      <w:pPr>
        <w:spacing w:after="0" w:line="37" w:lineRule="exact"/>
        <w:rPr>
          <w:sz w:val="24"/>
          <w:szCs w:val="24"/>
          <w:color w:val="auto"/>
        </w:rPr>
      </w:pPr>
    </w:p>
    <w:p>
      <w:pPr>
        <w:ind w:left="6580"/>
        <w:spacing w:after="0"/>
        <w:rPr>
          <w:sz w:val="20"/>
          <w:szCs w:val="20"/>
          <w:color w:val="auto"/>
        </w:rPr>
      </w:pPr>
      <w:r>
        <w:rPr>
          <w:rFonts w:ascii="Arial" w:cs="Arial" w:eastAsia="Arial" w:hAnsi="Arial"/>
          <w:sz w:val="15"/>
          <w:szCs w:val="15"/>
          <w:color w:val="auto"/>
        </w:rPr>
        <w:t>** Signature of Reporting</w:t>
      </w:r>
    </w:p>
    <w:p>
      <w:pPr>
        <w:spacing w:after="0" w:line="7" w:lineRule="exact"/>
        <w:rPr>
          <w:sz w:val="24"/>
          <w:szCs w:val="24"/>
          <w:color w:val="auto"/>
        </w:rPr>
      </w:pPr>
    </w:p>
    <w:p>
      <w:pPr>
        <w:ind w:left="6580"/>
        <w:spacing w:after="0"/>
        <w:rPr>
          <w:sz w:val="20"/>
          <w:szCs w:val="20"/>
          <w:color w:val="auto"/>
        </w:rPr>
      </w:pPr>
      <w:r>
        <w:rPr>
          <w:rFonts w:ascii="Arial" w:cs="Arial" w:eastAsia="Arial" w:hAnsi="Arial"/>
          <w:sz w:val="15"/>
          <w:szCs w:val="15"/>
          <w:color w:val="auto"/>
        </w:rPr>
        <w:t>Person</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04/08/2026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69" w:lineRule="exact"/>
        <w:rPr>
          <w:sz w:val="24"/>
          <w:szCs w:val="24"/>
          <w:color w:val="auto"/>
        </w:rPr>
      </w:pPr>
    </w:p>
    <w:p>
      <w:pPr>
        <w:spacing w:after="0"/>
        <w:rPr>
          <w:sz w:val="20"/>
          <w:szCs w:val="20"/>
          <w:color w:val="auto"/>
        </w:rPr>
      </w:pPr>
      <w:r>
        <w:rPr>
          <w:rFonts w:ascii="Arial" w:cs="Arial" w:eastAsia="Arial" w:hAnsi="Arial"/>
          <w:sz w:val="15"/>
          <w:szCs w:val="15"/>
          <w:color w:val="auto"/>
        </w:rPr>
        <w:t>Date</w:t>
      </w:r>
    </w:p>
    <w:p>
      <w:pPr>
        <w:sectPr>
          <w:pgSz w:w="11900" w:h="16838" w:orient="portrait"/>
          <w:cols w:equalWidth="0" w:num="2">
            <w:col w:w="8240" w:space="520"/>
            <w:col w:w="2180"/>
          </w:cols>
          <w:pgMar w:left="480" w:top="230" w:right="479" w:bottom="0" w:gutter="0" w:footer="0" w:header="0"/>
          <w:type w:val="continuous"/>
        </w:sectPr>
      </w:pPr>
    </w:p>
    <w:bookmarkStart w:id="1" w:name="page2"/>
    <w:bookmarkEnd w:id="1"/>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Sarah Kim, Gregory S. Harvey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Gregory J. Dziak, signing singly, the undersigned’s true and lawful attorney-in-fact to:</w:t>
      </w:r>
    </w:p>
    <w:p>
      <w:pPr>
        <w:spacing w:after="0" w:line="245" w:lineRule="exact"/>
        <w:rPr>
          <w:sz w:val="20"/>
          <w:szCs w:val="20"/>
          <w:color w:val="auto"/>
        </w:rPr>
      </w:pPr>
    </w:p>
    <w:p>
      <w:pPr>
        <w:jc w:val="both"/>
        <w:ind w:left="1080" w:right="80" w:hanging="569"/>
        <w:spacing w:after="0" w:line="238" w:lineRule="auto"/>
        <w:tabs>
          <w:tab w:leader="none" w:pos="108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1"/>
          <w:szCs w:val="21"/>
          <w:color w:val="auto"/>
        </w:rPr>
        <w:t>obtain credentials (including codes or passwords) enabling the undersigned to make filings with the United States Securities and Exchange Commission (the “SEC”), including (a)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(b) enrolling the undersigned in EDGAR Next or any successor filing system;</w:t>
      </w:r>
    </w:p>
    <w:p>
      <w:pPr>
        <w:spacing w:after="0" w:line="239" w:lineRule="exact"/>
        <w:rPr>
          <w:rFonts w:ascii="Times New Roman" w:cs="Times New Roman" w:eastAsia="Times New Roman" w:hAnsi="Times New Roman"/>
          <w:sz w:val="24"/>
          <w:szCs w:val="24"/>
          <w:color w:val="auto"/>
        </w:rPr>
      </w:pPr>
    </w:p>
    <w:p>
      <w:pPr>
        <w:jc w:val="both"/>
        <w:ind w:left="1080" w:right="80" w:hanging="569"/>
        <w:spacing w:after="0" w:line="238" w:lineRule="auto"/>
        <w:tabs>
          <w:tab w:leader="none" w:pos="108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1"/>
          <w:szCs w:val="21"/>
          <w:color w:val="auto"/>
        </w:rPr>
        <w:t>act as an account administrator for the undersigned’s EDGAR account, including (a) appointing, removing and replacing account administrators, technical administrators, account users, and delegated entities; (b) maintaining the security of filer’s EDGAR account, including modification of access codes; (c) maintaining, modifying and certifying the accuracy of information on the undersigned’s EDGAR account dashboard; and (d) taking any other actions contemplated by Rule 10 of Regulation S-T;</w:t>
      </w:r>
    </w:p>
    <w:p>
      <w:pPr>
        <w:spacing w:after="0" w:line="239" w:lineRule="exact"/>
        <w:rPr>
          <w:rFonts w:ascii="Times New Roman" w:cs="Times New Roman" w:eastAsia="Times New Roman" w:hAnsi="Times New Roman"/>
          <w:sz w:val="24"/>
          <w:szCs w:val="24"/>
          <w:color w:val="auto"/>
        </w:rPr>
      </w:pPr>
    </w:p>
    <w:p>
      <w:pPr>
        <w:jc w:val="both"/>
        <w:ind w:left="1080" w:right="300" w:hanging="569"/>
        <w:spacing w:after="0" w:line="238" w:lineRule="auto"/>
        <w:tabs>
          <w:tab w:leader="none" w:pos="108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1"/>
          <w:szCs w:val="21"/>
          <w:color w:val="auto"/>
        </w:rPr>
        <w:t>execute for and on behalf of the undersigned, in the undersigned’s capacity as an officer and/or director of the RPM International Inc. (the “Company”), (a) Forms 3, 4 and 5 in accordance with Section 16(a) of the Securities Exchange Act of 1934, as amended (the “Exchange Act”), and the rules thereunder, and (b) Forms 144 under the Securities Act of 1933, as amended, and the rules thereunder (collectively, the “SEC Filings”);</w:t>
      </w:r>
    </w:p>
    <w:p>
      <w:pPr>
        <w:spacing w:after="0" w:line="238" w:lineRule="exact"/>
        <w:rPr>
          <w:rFonts w:ascii="Times New Roman" w:cs="Times New Roman" w:eastAsia="Times New Roman" w:hAnsi="Times New Roman"/>
          <w:sz w:val="24"/>
          <w:szCs w:val="24"/>
          <w:color w:val="auto"/>
        </w:rPr>
      </w:pPr>
    </w:p>
    <w:p>
      <w:pPr>
        <w:jc w:val="both"/>
        <w:ind w:left="1080" w:right="160" w:hanging="569"/>
        <w:spacing w:after="0" w:line="238" w:lineRule="auto"/>
        <w:tabs>
          <w:tab w:leader="none" w:pos="108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SEC Filings, complete and execute any amendment or amendments thereto, and timely file such form with the SEC and any stock exchange or similar authority; and</w:t>
      </w:r>
    </w:p>
    <w:p>
      <w:pPr>
        <w:spacing w:after="0" w:line="252" w:lineRule="exact"/>
        <w:rPr>
          <w:rFonts w:ascii="Times New Roman" w:cs="Times New Roman" w:eastAsia="Times New Roman" w:hAnsi="Times New Roman"/>
          <w:sz w:val="24"/>
          <w:szCs w:val="24"/>
          <w:color w:val="auto"/>
        </w:rPr>
      </w:pPr>
    </w:p>
    <w:p>
      <w:pPr>
        <w:jc w:val="both"/>
        <w:ind w:left="1080" w:right="140" w:hanging="569"/>
        <w:spacing w:after="0" w:line="238" w:lineRule="auto"/>
        <w:tabs>
          <w:tab w:leader="none" w:pos="108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jc w:val="both"/>
        <w:ind w:right="80" w:firstLine="511"/>
        <w:spacing w:after="0" w:line="243"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Forms 3, 4 and 5 or Forms 144 with respect to the undersigned’s holdings of, and transactions in, securities issued by the Company, unless earlier revoked by the undersigned in a signed writing delivered to the foregoing attorneys-in-fact.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effective as of March 16, 2026.</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 Erika Ostrowski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Erika Ostrowski</w:t>
      </w:r>
    </w:p>
    <w:p>
      <w:pPr>
        <w:spacing w:after="0" w:line="2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DOCVARIABLE ndGeneratedStamp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525145</wp:posOffset>
            </wp:positionV>
            <wp:extent cx="6972300" cy="4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08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2125600" TargetMode="External"/><Relationship Id="rId11"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2026-04-08T15:04:20Z</dcterms:created>
  <dcterms:modified xsi:type="dcterms:W3CDTF">2026-04-08T15:04:20Z</dcterms:modified>
</cp:coreProperties>
</file>