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Form S-1</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REGISTRATION STATEMENT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Sotera Health Company</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tbl>
      <w:tblPr>
        <w:tblLayout w:type="fixed"/>
        <w:tblInd w:w="1040" w:type="dxa"/>
        <w:tblCellMar>
          <w:top w:w="0" w:type="dxa"/>
          <w:left w:w="0" w:type="dxa"/>
          <w:bottom w:w="0" w:type="dxa"/>
          <w:right w:w="0" w:type="dxa"/>
        </w:tblCellMar>
      </w:tblPr>
      <w:tr>
        <w:trPr>
          <w:trHeight w:val="172"/>
        </w:trPr>
        <w:tc>
          <w:tcPr>
            <w:tcW w:w="2840" w:type="dxa"/>
            <w:vAlign w:val="bottom"/>
          </w:tcPr>
          <w:p>
            <w:pPr>
              <w:jc w:val="center"/>
              <w:ind w:right="867"/>
              <w:spacing w:after="0"/>
              <w:rPr>
                <w:sz w:val="20"/>
                <w:szCs w:val="20"/>
                <w:color w:val="auto"/>
              </w:rPr>
            </w:pPr>
            <w:r>
              <w:rPr>
                <w:rFonts w:ascii="Arial" w:cs="Arial" w:eastAsia="Arial" w:hAnsi="Arial"/>
                <w:sz w:val="15"/>
                <w:szCs w:val="15"/>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5"/>
                <w:szCs w:val="15"/>
                <w:b w:val="1"/>
                <w:bCs w:val="1"/>
                <w:color w:val="auto"/>
                <w:w w:val="95"/>
              </w:rPr>
              <w:t>7389</w:t>
            </w:r>
          </w:p>
        </w:tc>
        <w:tc>
          <w:tcPr>
            <w:tcW w:w="2420" w:type="dxa"/>
            <w:vAlign w:val="bottom"/>
          </w:tcPr>
          <w:p>
            <w:pPr>
              <w:jc w:val="center"/>
              <w:ind w:left="927"/>
              <w:spacing w:after="0"/>
              <w:rPr>
                <w:sz w:val="20"/>
                <w:szCs w:val="20"/>
                <w:color w:val="auto"/>
              </w:rPr>
            </w:pPr>
            <w:r>
              <w:rPr>
                <w:rFonts w:ascii="Arial" w:cs="Arial" w:eastAsia="Arial" w:hAnsi="Arial"/>
                <w:sz w:val="15"/>
                <w:szCs w:val="15"/>
                <w:b w:val="1"/>
                <w:bCs w:val="1"/>
                <w:color w:val="auto"/>
                <w:w w:val="92"/>
              </w:rPr>
              <w:t>47-3531161</w:t>
            </w:r>
          </w:p>
        </w:tc>
      </w:tr>
      <w:tr>
        <w:trPr>
          <w:trHeight w:val="148"/>
        </w:trPr>
        <w:tc>
          <w:tcPr>
            <w:tcW w:w="2840" w:type="dxa"/>
            <w:vAlign w:val="bottom"/>
          </w:tcPr>
          <w:p>
            <w:pPr>
              <w:jc w:val="center"/>
              <w:ind w:right="88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7"/>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7"/>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7"/>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9100 South Hills Blvd, Suite 300</w:t>
      </w:r>
    </w:p>
    <w:p>
      <w:pPr>
        <w:jc w:val="center"/>
        <w:ind w:right="-99"/>
        <w:spacing w:after="0" w:line="233" w:lineRule="auto"/>
        <w:rPr>
          <w:sz w:val="20"/>
          <w:szCs w:val="20"/>
          <w:color w:val="auto"/>
        </w:rPr>
      </w:pPr>
      <w:r>
        <w:rPr>
          <w:rFonts w:ascii="Arial" w:cs="Arial" w:eastAsia="Arial" w:hAnsi="Arial"/>
          <w:sz w:val="15"/>
          <w:szCs w:val="15"/>
          <w:b w:val="1"/>
          <w:bCs w:val="1"/>
          <w:color w:val="auto"/>
        </w:rPr>
        <w:t>Broadview Heights, Ohio 44147</w:t>
      </w:r>
    </w:p>
    <w:p>
      <w:pPr>
        <w:jc w:val="center"/>
        <w:ind w:right="-99"/>
        <w:spacing w:after="0" w:line="217" w:lineRule="auto"/>
        <w:rPr>
          <w:sz w:val="20"/>
          <w:szCs w:val="20"/>
          <w:color w:val="auto"/>
        </w:rPr>
      </w:pPr>
      <w:r>
        <w:rPr>
          <w:rFonts w:ascii="Arial" w:cs="Arial" w:eastAsia="Arial" w:hAnsi="Arial"/>
          <w:sz w:val="15"/>
          <w:szCs w:val="15"/>
          <w:b w:val="1"/>
          <w:bCs w:val="1"/>
          <w:color w:val="auto"/>
        </w:rPr>
        <w:t>(440) 262-1410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Matthew J. Klaben, Esq.</w:t>
      </w:r>
    </w:p>
    <w:p>
      <w:pPr>
        <w:jc w:val="center"/>
        <w:ind w:right="-99"/>
        <w:spacing w:after="0" w:line="233" w:lineRule="auto"/>
        <w:rPr>
          <w:sz w:val="20"/>
          <w:szCs w:val="20"/>
          <w:color w:val="auto"/>
        </w:rPr>
      </w:pPr>
      <w:r>
        <w:rPr>
          <w:rFonts w:ascii="Arial" w:cs="Arial" w:eastAsia="Arial" w:hAnsi="Arial"/>
          <w:sz w:val="15"/>
          <w:szCs w:val="15"/>
          <w:b w:val="1"/>
          <w:bCs w:val="1"/>
          <w:color w:val="auto"/>
        </w:rPr>
        <w:t>Senior Vice President, General Counsel and Secretary</w:t>
      </w:r>
    </w:p>
    <w:p>
      <w:pPr>
        <w:jc w:val="center"/>
        <w:ind w:right="-99"/>
        <w:spacing w:after="0" w:line="225" w:lineRule="auto"/>
        <w:rPr>
          <w:sz w:val="20"/>
          <w:szCs w:val="20"/>
          <w:color w:val="auto"/>
        </w:rPr>
      </w:pPr>
      <w:r>
        <w:rPr>
          <w:rFonts w:ascii="Arial" w:cs="Arial" w:eastAsia="Arial" w:hAnsi="Arial"/>
          <w:sz w:val="15"/>
          <w:szCs w:val="15"/>
          <w:b w:val="1"/>
          <w:bCs w:val="1"/>
          <w:color w:val="auto"/>
        </w:rPr>
        <w:t>Sotera Health Company</w:t>
      </w:r>
    </w:p>
    <w:p>
      <w:pPr>
        <w:jc w:val="center"/>
        <w:ind w:right="-99"/>
        <w:spacing w:after="0" w:line="225" w:lineRule="auto"/>
        <w:rPr>
          <w:sz w:val="20"/>
          <w:szCs w:val="20"/>
          <w:color w:val="auto"/>
        </w:rPr>
      </w:pPr>
      <w:r>
        <w:rPr>
          <w:rFonts w:ascii="Arial" w:cs="Arial" w:eastAsia="Arial" w:hAnsi="Arial"/>
          <w:sz w:val="15"/>
          <w:szCs w:val="15"/>
          <w:b w:val="1"/>
          <w:bCs w:val="1"/>
          <w:color w:val="auto"/>
        </w:rPr>
        <w:t>9100 South Hills Blvd, Suite 300</w:t>
      </w:r>
    </w:p>
    <w:p>
      <w:pPr>
        <w:jc w:val="center"/>
        <w:ind w:right="-99"/>
        <w:spacing w:after="0" w:line="226" w:lineRule="auto"/>
        <w:rPr>
          <w:sz w:val="20"/>
          <w:szCs w:val="20"/>
          <w:color w:val="auto"/>
        </w:rPr>
      </w:pPr>
      <w:r>
        <w:rPr>
          <w:rFonts w:ascii="Arial" w:cs="Arial" w:eastAsia="Arial" w:hAnsi="Arial"/>
          <w:sz w:val="15"/>
          <w:szCs w:val="15"/>
          <w:b w:val="1"/>
          <w:bCs w:val="1"/>
          <w:color w:val="auto"/>
        </w:rPr>
        <w:t>Broadview Heights, Ohio 44147</w:t>
      </w:r>
    </w:p>
    <w:p>
      <w:pPr>
        <w:jc w:val="center"/>
        <w:ind w:right="-99"/>
        <w:spacing w:after="0" w:line="218" w:lineRule="auto"/>
        <w:rPr>
          <w:sz w:val="20"/>
          <w:szCs w:val="20"/>
          <w:color w:val="auto"/>
        </w:rPr>
      </w:pPr>
      <w:r>
        <w:rPr>
          <w:rFonts w:ascii="Arial" w:cs="Arial" w:eastAsia="Arial" w:hAnsi="Arial"/>
          <w:sz w:val="15"/>
          <w:szCs w:val="15"/>
          <w:b w:val="1"/>
          <w:bCs w:val="1"/>
          <w:color w:val="auto"/>
        </w:rPr>
        <w:t>(440) 262-1409</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4" w:lineRule="exact"/>
        <w:rPr>
          <w:sz w:val="24"/>
          <w:szCs w:val="24"/>
          <w:color w:val="auto"/>
        </w:rPr>
      </w:pPr>
    </w:p>
    <w:tbl>
      <w:tblPr>
        <w:tblLayout w:type="fixed"/>
        <w:tblInd w:w="1620" w:type="dxa"/>
        <w:tblCellMar>
          <w:top w:w="0" w:type="dxa"/>
          <w:left w:w="0" w:type="dxa"/>
          <w:bottom w:w="0" w:type="dxa"/>
          <w:right w:w="0" w:type="dxa"/>
        </w:tblCellMar>
      </w:tblPr>
      <w:tr>
        <w:trPr>
          <w:trHeight w:val="194"/>
        </w:trPr>
        <w:tc>
          <w:tcPr>
            <w:tcW w:w="3120" w:type="dxa"/>
            <w:vAlign w:val="bottom"/>
          </w:tcPr>
          <w:p>
            <w:pPr>
              <w:spacing w:after="0"/>
              <w:rPr>
                <w:sz w:val="16"/>
                <w:szCs w:val="16"/>
                <w:color w:val="auto"/>
              </w:rPr>
            </w:pPr>
          </w:p>
        </w:tc>
        <w:tc>
          <w:tcPr>
            <w:tcW w:w="4820" w:type="dxa"/>
            <w:vAlign w:val="bottom"/>
          </w:tcPr>
          <w:p>
            <w:pPr>
              <w:ind w:left="540"/>
              <w:spacing w:after="0"/>
              <w:rPr>
                <w:sz w:val="20"/>
                <w:szCs w:val="20"/>
                <w:color w:val="auto"/>
              </w:rPr>
            </w:pPr>
            <w:r>
              <w:rPr>
                <w:rFonts w:ascii="Arial" w:cs="Arial" w:eastAsia="Arial" w:hAnsi="Arial"/>
                <w:sz w:val="15"/>
                <w:szCs w:val="15"/>
                <w:b w:val="1"/>
                <w:bCs w:val="1"/>
                <w:i w:val="1"/>
                <w:iCs w:val="1"/>
                <w:color w:val="auto"/>
              </w:rPr>
              <w:t>Copies To:</w:t>
            </w:r>
          </w:p>
        </w:tc>
      </w:tr>
      <w:tr>
        <w:trPr>
          <w:trHeight w:val="193"/>
        </w:trPr>
        <w:tc>
          <w:tcPr>
            <w:tcW w:w="3120" w:type="dxa"/>
            <w:vAlign w:val="bottom"/>
          </w:tcPr>
          <w:p>
            <w:pPr>
              <w:jc w:val="center"/>
              <w:ind w:right="484"/>
              <w:spacing w:after="0"/>
              <w:rPr>
                <w:sz w:val="20"/>
                <w:szCs w:val="20"/>
                <w:color w:val="auto"/>
              </w:rPr>
            </w:pPr>
            <w:r>
              <w:rPr>
                <w:rFonts w:ascii="Arial" w:cs="Arial" w:eastAsia="Arial" w:hAnsi="Arial"/>
                <w:sz w:val="15"/>
                <w:szCs w:val="15"/>
                <w:b w:val="1"/>
                <w:bCs w:val="1"/>
                <w:color w:val="auto"/>
                <w:w w:val="93"/>
              </w:rPr>
              <w:t>David Lopez, Esq.</w:t>
            </w:r>
          </w:p>
        </w:tc>
        <w:tc>
          <w:tcPr>
            <w:tcW w:w="4820" w:type="dxa"/>
            <w:vAlign w:val="bottom"/>
          </w:tcPr>
          <w:p>
            <w:pPr>
              <w:jc w:val="center"/>
              <w:ind w:left="2544"/>
              <w:spacing w:after="0"/>
              <w:rPr>
                <w:sz w:val="20"/>
                <w:szCs w:val="20"/>
                <w:color w:val="auto"/>
              </w:rPr>
            </w:pPr>
            <w:r>
              <w:rPr>
                <w:rFonts w:ascii="Arial" w:cs="Arial" w:eastAsia="Arial" w:hAnsi="Arial"/>
                <w:sz w:val="15"/>
                <w:szCs w:val="15"/>
                <w:b w:val="1"/>
                <w:bCs w:val="1"/>
                <w:color w:val="auto"/>
                <w:w w:val="94"/>
              </w:rPr>
              <w:t>Arthur D. Robinson, Esq.</w:t>
            </w:r>
          </w:p>
        </w:tc>
      </w:tr>
      <w:tr>
        <w:trPr>
          <w:trHeight w:val="162"/>
        </w:trPr>
        <w:tc>
          <w:tcPr>
            <w:tcW w:w="3120" w:type="dxa"/>
            <w:vAlign w:val="bottom"/>
          </w:tcPr>
          <w:p>
            <w:pPr>
              <w:jc w:val="center"/>
              <w:ind w:right="484"/>
              <w:spacing w:after="0" w:line="162" w:lineRule="exact"/>
              <w:rPr>
                <w:sz w:val="20"/>
                <w:szCs w:val="20"/>
                <w:color w:val="auto"/>
              </w:rPr>
            </w:pPr>
            <w:r>
              <w:rPr>
                <w:rFonts w:ascii="Arial" w:cs="Arial" w:eastAsia="Arial" w:hAnsi="Arial"/>
                <w:sz w:val="15"/>
                <w:szCs w:val="15"/>
                <w:b w:val="1"/>
                <w:bCs w:val="1"/>
                <w:color w:val="auto"/>
                <w:w w:val="95"/>
              </w:rPr>
              <w:t>Cleary Gottlieb Steen &amp; Hamilton LLP</w:t>
            </w:r>
          </w:p>
        </w:tc>
        <w:tc>
          <w:tcPr>
            <w:tcW w:w="4820" w:type="dxa"/>
            <w:vAlign w:val="bottom"/>
          </w:tcPr>
          <w:p>
            <w:pPr>
              <w:jc w:val="center"/>
              <w:ind w:left="2544"/>
              <w:spacing w:after="0" w:line="162" w:lineRule="exact"/>
              <w:rPr>
                <w:sz w:val="20"/>
                <w:szCs w:val="20"/>
                <w:color w:val="auto"/>
              </w:rPr>
            </w:pPr>
            <w:r>
              <w:rPr>
                <w:rFonts w:ascii="Arial" w:cs="Arial" w:eastAsia="Arial" w:hAnsi="Arial"/>
                <w:sz w:val="15"/>
                <w:szCs w:val="15"/>
                <w:b w:val="1"/>
                <w:bCs w:val="1"/>
                <w:color w:val="auto"/>
                <w:w w:val="93"/>
              </w:rPr>
              <w:t>Jean Park, Esq.</w:t>
            </w:r>
          </w:p>
        </w:tc>
      </w:tr>
      <w:tr>
        <w:trPr>
          <w:trHeight w:val="162"/>
        </w:trPr>
        <w:tc>
          <w:tcPr>
            <w:tcW w:w="3120" w:type="dxa"/>
            <w:vAlign w:val="bottom"/>
          </w:tcPr>
          <w:p>
            <w:pPr>
              <w:jc w:val="center"/>
              <w:ind w:right="484"/>
              <w:spacing w:after="0" w:line="162" w:lineRule="exact"/>
              <w:rPr>
                <w:sz w:val="20"/>
                <w:szCs w:val="20"/>
                <w:color w:val="auto"/>
              </w:rPr>
            </w:pPr>
            <w:r>
              <w:rPr>
                <w:rFonts w:ascii="Arial" w:cs="Arial" w:eastAsia="Arial" w:hAnsi="Arial"/>
                <w:sz w:val="15"/>
                <w:szCs w:val="15"/>
                <w:b w:val="1"/>
                <w:bCs w:val="1"/>
                <w:color w:val="auto"/>
                <w:w w:val="95"/>
              </w:rPr>
              <w:t>One Liberty Plaza</w:t>
            </w:r>
          </w:p>
        </w:tc>
        <w:tc>
          <w:tcPr>
            <w:tcW w:w="4820" w:type="dxa"/>
            <w:vAlign w:val="bottom"/>
          </w:tcPr>
          <w:p>
            <w:pPr>
              <w:jc w:val="center"/>
              <w:ind w:left="2544"/>
              <w:spacing w:after="0" w:line="162" w:lineRule="exact"/>
              <w:rPr>
                <w:sz w:val="20"/>
                <w:szCs w:val="20"/>
                <w:color w:val="auto"/>
              </w:rPr>
            </w:pPr>
            <w:r>
              <w:rPr>
                <w:rFonts w:ascii="Arial" w:cs="Arial" w:eastAsia="Arial" w:hAnsi="Arial"/>
                <w:sz w:val="15"/>
                <w:szCs w:val="15"/>
                <w:b w:val="1"/>
                <w:bCs w:val="1"/>
                <w:color w:val="auto"/>
                <w:w w:val="95"/>
              </w:rPr>
              <w:t>Simpson Thacher &amp; Bartlett LLP</w:t>
            </w:r>
          </w:p>
        </w:tc>
      </w:tr>
      <w:tr>
        <w:trPr>
          <w:trHeight w:val="162"/>
        </w:trPr>
        <w:tc>
          <w:tcPr>
            <w:tcW w:w="3120" w:type="dxa"/>
            <w:vAlign w:val="bottom"/>
          </w:tcPr>
          <w:p>
            <w:pPr>
              <w:jc w:val="center"/>
              <w:ind w:right="484"/>
              <w:spacing w:after="0" w:line="162" w:lineRule="exact"/>
              <w:rPr>
                <w:sz w:val="20"/>
                <w:szCs w:val="20"/>
                <w:color w:val="auto"/>
              </w:rPr>
            </w:pPr>
            <w:r>
              <w:rPr>
                <w:rFonts w:ascii="Arial" w:cs="Arial" w:eastAsia="Arial" w:hAnsi="Arial"/>
                <w:sz w:val="15"/>
                <w:szCs w:val="15"/>
                <w:b w:val="1"/>
                <w:bCs w:val="1"/>
                <w:color w:val="auto"/>
                <w:w w:val="94"/>
              </w:rPr>
              <w:t>New York, New York 10006</w:t>
            </w:r>
          </w:p>
        </w:tc>
        <w:tc>
          <w:tcPr>
            <w:tcW w:w="4820" w:type="dxa"/>
            <w:vAlign w:val="bottom"/>
          </w:tcPr>
          <w:p>
            <w:pPr>
              <w:jc w:val="center"/>
              <w:ind w:left="2544"/>
              <w:spacing w:after="0" w:line="162" w:lineRule="exact"/>
              <w:rPr>
                <w:sz w:val="20"/>
                <w:szCs w:val="20"/>
                <w:color w:val="auto"/>
              </w:rPr>
            </w:pPr>
            <w:r>
              <w:rPr>
                <w:rFonts w:ascii="Arial" w:cs="Arial" w:eastAsia="Arial" w:hAnsi="Arial"/>
                <w:sz w:val="15"/>
                <w:szCs w:val="15"/>
                <w:b w:val="1"/>
                <w:bCs w:val="1"/>
                <w:color w:val="auto"/>
                <w:w w:val="90"/>
              </w:rPr>
              <w:t>425 Lexington Avenue</w:t>
            </w:r>
          </w:p>
        </w:tc>
      </w:tr>
      <w:tr>
        <w:trPr>
          <w:trHeight w:val="162"/>
        </w:trPr>
        <w:tc>
          <w:tcPr>
            <w:tcW w:w="3120" w:type="dxa"/>
            <w:vAlign w:val="bottom"/>
          </w:tcPr>
          <w:p>
            <w:pPr>
              <w:jc w:val="center"/>
              <w:ind w:right="484"/>
              <w:spacing w:after="0" w:line="162" w:lineRule="exact"/>
              <w:rPr>
                <w:sz w:val="20"/>
                <w:szCs w:val="20"/>
                <w:color w:val="auto"/>
              </w:rPr>
            </w:pPr>
            <w:r>
              <w:rPr>
                <w:rFonts w:ascii="Arial" w:cs="Arial" w:eastAsia="Arial" w:hAnsi="Arial"/>
                <w:sz w:val="15"/>
                <w:szCs w:val="15"/>
                <w:b w:val="1"/>
                <w:bCs w:val="1"/>
                <w:color w:val="auto"/>
                <w:w w:val="93"/>
              </w:rPr>
              <w:t>(212) 225-2000</w:t>
            </w:r>
          </w:p>
        </w:tc>
        <w:tc>
          <w:tcPr>
            <w:tcW w:w="4820" w:type="dxa"/>
            <w:vAlign w:val="bottom"/>
          </w:tcPr>
          <w:p>
            <w:pPr>
              <w:jc w:val="center"/>
              <w:ind w:left="2544"/>
              <w:spacing w:after="0" w:line="162" w:lineRule="exact"/>
              <w:rPr>
                <w:sz w:val="20"/>
                <w:szCs w:val="20"/>
                <w:color w:val="auto"/>
              </w:rPr>
            </w:pPr>
            <w:r>
              <w:rPr>
                <w:rFonts w:ascii="Arial" w:cs="Arial" w:eastAsia="Arial" w:hAnsi="Arial"/>
                <w:sz w:val="15"/>
                <w:szCs w:val="15"/>
                <w:b w:val="1"/>
                <w:bCs w:val="1"/>
                <w:color w:val="auto"/>
                <w:w w:val="94"/>
              </w:rPr>
              <w:t>New York, New York 10017</w:t>
            </w:r>
          </w:p>
        </w:tc>
      </w:tr>
      <w:tr>
        <w:trPr>
          <w:trHeight w:val="198"/>
        </w:trPr>
        <w:tc>
          <w:tcPr>
            <w:tcW w:w="3120" w:type="dxa"/>
            <w:vAlign w:val="bottom"/>
          </w:tcPr>
          <w:p>
            <w:pPr>
              <w:spacing w:after="0"/>
              <w:rPr>
                <w:sz w:val="17"/>
                <w:szCs w:val="17"/>
                <w:color w:val="auto"/>
              </w:rPr>
            </w:pPr>
          </w:p>
        </w:tc>
        <w:tc>
          <w:tcPr>
            <w:tcW w:w="4820" w:type="dxa"/>
            <w:vAlign w:val="bottom"/>
          </w:tcPr>
          <w:p>
            <w:pPr>
              <w:jc w:val="center"/>
              <w:ind w:left="2544"/>
              <w:spacing w:after="0"/>
              <w:rPr>
                <w:sz w:val="20"/>
                <w:szCs w:val="20"/>
                <w:color w:val="auto"/>
              </w:rPr>
            </w:pPr>
            <w:r>
              <w:rPr>
                <w:rFonts w:ascii="Arial" w:cs="Arial" w:eastAsia="Arial" w:hAnsi="Arial"/>
                <w:sz w:val="15"/>
                <w:szCs w:val="15"/>
                <w:b w:val="1"/>
                <w:bCs w:val="1"/>
                <w:color w:val="auto"/>
                <w:w w:val="93"/>
              </w:rPr>
              <w:t>(212) 455-2000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5"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hereof.</w:t>
      </w:r>
    </w:p>
    <w:p>
      <w:pPr>
        <w:spacing w:after="0" w:line="32" w:lineRule="exact"/>
        <w:rPr>
          <w:sz w:val="24"/>
          <w:szCs w:val="24"/>
          <w:color w:val="auto"/>
        </w:rPr>
      </w:pPr>
    </w:p>
    <w:p>
      <w:pPr>
        <w:ind w:left="5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6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6"/>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2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39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1760" w:type="dxa"/>
            <w:vAlign w:val="bottom"/>
            <w:tcBorders>
              <w:right w:val="single" w:sz="8" w:color="auto"/>
            </w:tcBorders>
          </w:tcPr>
          <w:p>
            <w:pPr>
              <w:jc w:val="center"/>
              <w:ind w:left="9"/>
              <w:spacing w:after="0" w:line="116" w:lineRule="exact"/>
              <w:rPr>
                <w:sz w:val="20"/>
                <w:szCs w:val="20"/>
                <w:color w:val="auto"/>
              </w:rPr>
            </w:pPr>
            <w:r>
              <w:rPr>
                <w:rFonts w:ascii="Arial" w:cs="Arial" w:eastAsia="Arial" w:hAnsi="Arial"/>
                <w:sz w:val="13"/>
                <w:szCs w:val="13"/>
                <w:b w:val="1"/>
                <w:bCs w:val="1"/>
                <w:color w:val="auto"/>
                <w:w w:val="93"/>
              </w:rPr>
              <w:t>Proposed</w:t>
            </w:r>
          </w:p>
        </w:tc>
        <w:tc>
          <w:tcPr>
            <w:tcW w:w="17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78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9"/>
              </w:rPr>
              <w:t>Maximum</w:t>
            </w:r>
          </w:p>
        </w:tc>
        <w:tc>
          <w:tcPr>
            <w:tcW w:w="176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9"/>
              </w:rPr>
              <w:t>Maximum</w:t>
            </w:r>
          </w:p>
        </w:tc>
        <w:tc>
          <w:tcPr>
            <w:tcW w:w="17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98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76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registered(1)</w:t>
            </w:r>
          </w:p>
        </w:tc>
        <w:tc>
          <w:tcPr>
            <w:tcW w:w="178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8"/>
              </w:rPr>
              <w:t>Registered</w:t>
            </w:r>
          </w:p>
        </w:tc>
        <w:tc>
          <w:tcPr>
            <w:tcW w:w="17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1"/>
              </w:rPr>
              <w:t>Per Share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Price(1)(2)</w:t>
            </w:r>
          </w:p>
        </w:tc>
        <w:tc>
          <w:tcPr>
            <w:tcW w:w="17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Registration Fees</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$0.01 par value per share</w:t>
            </w:r>
          </w:p>
        </w:tc>
        <w:tc>
          <w:tcPr>
            <w:tcW w:w="178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1"/>
              </w:rPr>
              <w:t>28,750,000</w:t>
            </w:r>
          </w:p>
        </w:tc>
        <w:tc>
          <w:tcPr>
            <w:tcW w:w="176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w w:val="93"/>
              </w:rPr>
              <w:t>$28.53</w:t>
            </w:r>
          </w:p>
        </w:tc>
        <w:tc>
          <w:tcPr>
            <w:tcW w:w="1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$820,237,500</w:t>
            </w:r>
          </w:p>
        </w:tc>
        <w:tc>
          <w:tcPr>
            <w:tcW w:w="17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4"/>
              </w:rPr>
              <w:t>$89,487.91</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common stock that the underwriters may purchase, including pursuant to the option to purchase additional shares, if any.</w:t>
      </w:r>
    </w:p>
    <w:p>
      <w:pPr>
        <w:ind w:left="540" w:right="40" w:hanging="424"/>
        <w:spacing w:after="0" w:line="232"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of 1933, as amended, the maximum offering price per share and maximum aggregate offering price are based on the average of the $29.32 (high) and $27.73 (low) sale price of the registrant’s common stock as reported on The Nasdaq Global Select Market on March 12, 2021, which date is within five business days prior to filing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p>
      <w:pPr>
        <w:ind w:left="120" w:right="36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89" w:lineRule="auto"/>
        <w:rPr>
          <w:sz w:val="20"/>
          <w:szCs w:val="20"/>
          <w:color w:val="auto"/>
        </w:rPr>
      </w:pPr>
      <w:r>
        <w:rPr>
          <w:rFonts w:ascii="Arial" w:cs="Arial" w:eastAsia="Arial" w:hAnsi="Arial"/>
          <w:sz w:val="17"/>
          <w:szCs w:val="17"/>
          <w:b w:val="1"/>
          <w:bCs w:val="1"/>
          <w:color w:val="EB0029"/>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offers to buy the securities in any jurisdiction where the offer or sale is not permitted.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EB0029"/>
        </w:rPr>
        <w:t>SUBJECT TO COMPLETION, DATED MARCH 15,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25,000,000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178435</wp:posOffset>
            </wp:positionV>
            <wp:extent cx="156019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Sotera Health Company</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is a public offering of shares of common stock of Sotera Health Company.</w:t>
      </w:r>
    </w:p>
    <w:p>
      <w:pPr>
        <w:spacing w:after="0" w:line="225"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The selling stockholders identified in this prospectus are offering 25,000,000 shares of our common stock. We are not selling any shares of common stock under this prospectus and will not receive any proceeds from the sale of the shares by the selling stockholders. Our common stock is listed and traded on the Nasdaq Global Select Market (“Nasdaq”) under the symbol “SHC.” On March 12, 2021, the last reported sale price of our common stock on Nasdaq was $28.98 per share.</w:t>
      </w:r>
    </w:p>
    <w:p>
      <w:pPr>
        <w:spacing w:after="0" w:line="18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and as such, have elected to comply with certain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44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2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19 to read about factors you should consider before deciding to invest in our common stock.</w:t>
      </w:r>
    </w:p>
    <w:p>
      <w:pPr>
        <w:spacing w:after="0" w:line="171" w:lineRule="exact"/>
        <w:rPr>
          <w:sz w:val="20"/>
          <w:szCs w:val="20"/>
          <w:color w:val="auto"/>
        </w:rPr>
      </w:pPr>
    </w:p>
    <w:p>
      <w:pPr>
        <w:ind w:left="120" w:right="34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13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7"/>
              </w:rPr>
              <w:t>Per share</w:t>
            </w:r>
          </w:p>
        </w:tc>
        <w:tc>
          <w:tcPr>
            <w:tcW w:w="62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Underwriting discounts(1)</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to selling stockholders, before expenses</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selling stockholders have agreed to reimburse the underwriters for certain expenses in connection with this offering. See “Underwriting.”</w:t>
      </w:r>
    </w:p>
    <w:p>
      <w:pPr>
        <w:spacing w:after="0" w:line="24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selling stockholders have granted the underwriters an option to purchase up to 3,750,000 additional shares of common stock at the public offering price less the underwriting discount for a period of 30 days after the date of this prospectus.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w w:val="98"/>
              </w:rPr>
              <w:t>Delivery of the shares of common stock will be made on or about</w:t>
            </w:r>
          </w:p>
        </w:tc>
        <w:tc>
          <w:tcPr>
            <w:tcW w:w="8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20"/>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Jefferies</w:t>
      </w:r>
    </w:p>
    <w:p>
      <w:pPr>
        <w:spacing w:after="0" w:line="211" w:lineRule="exact"/>
        <w:rPr>
          <w:sz w:val="20"/>
          <w:szCs w:val="20"/>
          <w:color w:val="auto"/>
        </w:rPr>
      </w:pPr>
    </w:p>
    <w:p>
      <w:pPr>
        <w:sectPr>
          <w:pgSz w:w="11900" w:h="16838" w:orient="portrait"/>
          <w:cols w:equalWidth="0" w:num="4">
            <w:col w:w="2420" w:space="720"/>
            <w:col w:w="2340" w:space="720"/>
            <w:col w:w="3400" w:space="500"/>
            <w:col w:w="1040"/>
          </w:cols>
          <w:pgMar w:left="320" w:top="459" w:right="439" w:bottom="1143" w:gutter="0" w:footer="0" w:header="0"/>
          <w:type w:val="continuous"/>
        </w:sectPr>
      </w:pPr>
    </w:p>
    <w:p>
      <w:pPr>
        <w:spacing w:after="0" w:line="19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Barclays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Citigroup</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RBC Capital Markets</w:t>
      </w:r>
    </w:p>
    <w:p>
      <w:pPr>
        <w:spacing w:after="0" w:line="200" w:lineRule="exact"/>
        <w:rPr>
          <w:sz w:val="20"/>
          <w:szCs w:val="20"/>
          <w:color w:val="auto"/>
        </w:rPr>
      </w:pPr>
    </w:p>
    <w:p>
      <w:pPr>
        <w:sectPr>
          <w:pgSz w:w="11900" w:h="16838" w:orient="portrait"/>
          <w:cols w:equalWidth="0" w:num="3">
            <w:col w:w="4500" w:space="720"/>
            <w:col w:w="2480" w:space="720"/>
            <w:col w:w="2720"/>
          </w:cols>
          <w:pgMar w:left="320" w:top="459" w:right="439" w:bottom="1143" w:gutter="0" w:footer="0" w:header="0"/>
          <w:type w:val="continuous"/>
        </w:sectPr>
      </w:pPr>
    </w:p>
    <w:p>
      <w:pPr>
        <w:spacing w:after="0" w:line="19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BNP PARIBAS</w:t>
      </w:r>
    </w:p>
    <w:p>
      <w:pPr>
        <w:spacing w:after="0" w:line="117" w:lineRule="exact"/>
        <w:rPr>
          <w:sz w:val="20"/>
          <w:szCs w:val="20"/>
          <w:color w:val="auto"/>
        </w:rPr>
      </w:pPr>
    </w:p>
    <w:p>
      <w:pPr>
        <w:jc w:val="center"/>
        <w:ind w:left="360"/>
        <w:spacing w:after="0"/>
        <w:rPr>
          <w:sz w:val="20"/>
          <w:szCs w:val="20"/>
          <w:color w:val="auto"/>
        </w:rPr>
      </w:pPr>
      <w:r>
        <w:rPr>
          <w:rFonts w:ascii="Arial" w:cs="Arial" w:eastAsia="Arial" w:hAnsi="Arial"/>
          <w:sz w:val="15"/>
          <w:szCs w:val="15"/>
          <w:b w:val="1"/>
          <w:bCs w:val="1"/>
          <w:color w:val="auto"/>
        </w:rPr>
        <w:t>Academy Securities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KeyBanc Capital Markets</w:t>
      </w:r>
    </w:p>
    <w:p>
      <w:pPr>
        <w:spacing w:after="0" w:line="11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Loop Capital Markets</w:t>
      </w:r>
      <w:r>
        <w:rPr>
          <w:sz w:val="20"/>
          <w:szCs w:val="20"/>
          <w:color w:val="auto"/>
        </w:rPr>
        <w:tab/>
      </w:r>
      <w:r>
        <w:rPr>
          <w:rFonts w:ascii="Arial" w:cs="Arial" w:eastAsia="Arial" w:hAnsi="Arial"/>
          <w:sz w:val="16"/>
          <w:szCs w:val="16"/>
          <w:b w:val="1"/>
          <w:bCs w:val="1"/>
          <w:color w:val="auto"/>
        </w:rPr>
        <w:t>Penserra Securities LLC</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180"/>
        <w:spacing w:after="0" w:line="328" w:lineRule="auto"/>
        <w:rPr>
          <w:sz w:val="20"/>
          <w:szCs w:val="20"/>
          <w:color w:val="auto"/>
        </w:rPr>
      </w:pPr>
      <w:r>
        <w:rPr>
          <w:rFonts w:ascii="Arial" w:cs="Arial" w:eastAsia="Arial" w:hAnsi="Arial"/>
          <w:sz w:val="18"/>
          <w:szCs w:val="18"/>
          <w:b w:val="1"/>
          <w:bCs w:val="1"/>
          <w:color w:val="auto"/>
        </w:rPr>
        <w:t>Citizens Capital Markets Siebert Williams Shank</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ING</w:t>
      </w:r>
    </w:p>
    <w:p>
      <w:pPr>
        <w:spacing w:after="0" w:line="117"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Tigress Financial</w:t>
      </w:r>
    </w:p>
    <w:p>
      <w:pPr>
        <w:spacing w:after="0" w:line="50"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Partners</w:t>
      </w:r>
    </w:p>
    <w:p>
      <w:pPr>
        <w:spacing w:after="0" w:line="206" w:lineRule="exact"/>
        <w:rPr>
          <w:sz w:val="20"/>
          <w:szCs w:val="20"/>
          <w:color w:val="auto"/>
        </w:rPr>
      </w:pPr>
    </w:p>
    <w:p>
      <w:pPr>
        <w:sectPr>
          <w:pgSz w:w="11900" w:h="16838" w:orient="portrait"/>
          <w:cols w:equalWidth="0" w:num="4">
            <w:col w:w="1860" w:space="400"/>
            <w:col w:w="3780" w:space="680"/>
            <w:col w:w="2100" w:space="720"/>
            <w:col w:w="1600"/>
          </w:cols>
          <w:pgMar w:left="320" w:top="459" w:right="439" w:bottom="1143" w:gutter="0" w:footer="0" w:header="0"/>
          <w:type w:val="continuous"/>
        </w:sectPr>
      </w:pPr>
    </w:p>
    <w:p>
      <w:pPr>
        <w:ind w:left="4360"/>
        <w:spacing w:after="0"/>
        <w:rPr>
          <w:sz w:val="20"/>
          <w:szCs w:val="20"/>
          <w:color w:val="auto"/>
        </w:rPr>
      </w:pPr>
      <w:r>
        <w:rPr>
          <w:rFonts w:ascii="Arial" w:cs="Arial" w:eastAsia="Arial" w:hAnsi="Arial"/>
          <w:sz w:val="15"/>
          <w:szCs w:val="15"/>
          <w:b w:val="1"/>
          <w:b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2021.</w:t>
      </w:r>
    </w:p>
    <w:p>
      <w:pPr>
        <w:sectPr>
          <w:pgSz w:w="11900" w:h="16838" w:orient="portrait"/>
          <w:cols w:equalWidth="0" w:num="2">
            <w:col w:w="5680" w:space="720"/>
            <w:col w:w="4740"/>
          </w:cols>
          <w:pgMar w:left="320" w:top="459" w:right="439" w:bottom="114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1030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w:t>
              </w:r>
            </w:hyperlink>
          </w:p>
        </w:tc>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30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CAUTIONARY NOTE REGARDING FORWARD-LOOKING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DIVIDEND POLICY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CAPITALIZATION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PRINCIPAL AND SELLING STOCKHOLDERS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DESCRIPTION OF CAPITAL STOCK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SHARES ELIGIBLE FOR FUTURE SALE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MATERIAL U.S. FEDERAL INCOME TAX CONSIDERATIONS FOR NON-U.S.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UNDERWRITING</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LEGAL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EXPERTS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WHERE YOU CAN FIND MORE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30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INCORPORATION BY REFERENCE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b w:val="1"/>
          <w:bCs w:val="1"/>
          <w:color w:val="auto"/>
        </w:rPr>
        <w:t>You should rely only on the information contained in this prospectus, any amendment or supplement to this prospectus and any free writing prospectus prepared by us or on our behalf that we have referred you to. We and the selling stockholders have not, and the underwriters have not, authorized anyone to provide you with different or additional information or to make any representations other than those contained in this prospectus or in any free writing prospectuses we have authorized for use with respect to this offering. We and the selling stockholders take no responsibility for, and can provide no assurance as to the reliability of, any other information that others may give you or any representation that others may make to you. We and the selling stockholders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prospects, financial condition or results of operations may have changed since the date of the applicable document. Information contained in our web site does not constitute part of this prospectus.</w:t>
      </w:r>
    </w:p>
    <w:p>
      <w:pPr>
        <w:spacing w:after="0" w:line="161" w:lineRule="exact"/>
        <w:rPr>
          <w:sz w:val="20"/>
          <w:szCs w:val="20"/>
          <w:color w:val="auto"/>
        </w:rPr>
      </w:pPr>
    </w:p>
    <w:p>
      <w:pPr>
        <w:jc w:val="both"/>
        <w:ind w:left="300" w:right="160" w:firstLine="426"/>
        <w:spacing w:after="0" w:line="314" w:lineRule="auto"/>
        <w:rPr>
          <w:sz w:val="20"/>
          <w:szCs w:val="20"/>
          <w:color w:val="auto"/>
        </w:rPr>
      </w:pPr>
      <w:r>
        <w:rPr>
          <w:rFonts w:ascii="Arial" w:cs="Arial" w:eastAsia="Arial" w:hAnsi="Arial"/>
          <w:sz w:val="16"/>
          <w:szCs w:val="16"/>
          <w:b w:val="1"/>
          <w:bCs w:val="1"/>
          <w:color w:val="auto"/>
        </w:rPr>
        <w:t>No action is being taken in any jurisdiction outside the United States to permit a public offering of our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Trademarks, Service Marks and Trade Names</w:t>
      </w:r>
    </w:p>
    <w:p>
      <w:pPr>
        <w:spacing w:after="0" w:line="121"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 xml:space="preserve">We own or otherwise have rights to the trademarks, service marks and trade names, including those mentioned in this prospectus, used in conjunction with the marketing and sale of our products and services. This prospectus includes trademarks, service marks and trade names, which are protected under applicable intellectual property laws and are our property and/or the property of our subsidiaries. This prospectus may also contain trademarks, service marks and trade names of other companies, which are the property of their respective owners. We do not intend our use or display of other companies’ trademarks, service marks or trade names to imply a relationship with, or endorsement or sponsorship of us by, any other companies. Solely for convenience, trademarks, service marks and trade names referred to in this prospectus may appear without the </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3"/>
          <w:szCs w:val="13"/>
          <w:color w:val="auto"/>
        </w:rPr>
        <w:t>™</w:t>
      </w:r>
      <w:r>
        <w:rPr>
          <w:rFonts w:ascii="Arial" w:cs="Arial" w:eastAsia="Arial" w:hAnsi="Arial"/>
          <w:sz w:val="16"/>
          <w:szCs w:val="16"/>
          <w:color w:val="auto"/>
        </w:rPr>
        <w:t>,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20"/>
          </w:cols>
          <w:pgMar w:left="320" w:top="459" w:right="6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452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14528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Industry and Other Data</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Historical and current market data used throughout this prospectus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and in Sotera Health Company’s Annual Report on Form 10-K for the fiscal year ended December 31, 2020 (“Sotera Health’s 2020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20"/>
          </w:cols>
          <w:pgMar w:left="320" w:top="459" w:right="8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50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i w:val="1"/>
          <w:iCs w:val="1"/>
          <w:color w:val="auto"/>
        </w:rPr>
        <w:t>The following summary highlights selected information about our company and this offering that is included elsewhere in this prospectus in greater detail or incorporated by reference herein from our filings with the SEC listed under “Incorporation by Reference.”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“Cautionary Note Regarding Forward-Looking Statements” and “Summary Historical Consolidated Financial and Other Data” and the information incorporated herein by reference.</w:t>
      </w:r>
    </w:p>
    <w:p>
      <w:pPr>
        <w:spacing w:after="0" w:line="192"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i w:val="1"/>
          <w:iCs w:val="1"/>
          <w:color w:val="auto"/>
        </w:rPr>
        <w:t>In this prospectus, unless we indicate otherwise or the context requires, “Sotera Health,” “Sotera Health Company,” “our company,” “the company,” “we,” “our,” “ours” and “us” refer to Sotera Health Company and its consolidated subsidiaries.</w:t>
      </w:r>
    </w:p>
    <w:p>
      <w:pPr>
        <w:spacing w:after="0" w:line="38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right="960" w:firstLine="426"/>
        <w:spacing w:after="0" w:line="277" w:lineRule="auto"/>
        <w:rPr>
          <w:sz w:val="20"/>
          <w:szCs w:val="20"/>
          <w:color w:val="auto"/>
        </w:rPr>
      </w:pPr>
      <w:r>
        <w:rPr>
          <w:rFonts w:ascii="Arial" w:cs="Arial" w:eastAsia="Arial" w:hAnsi="Arial"/>
          <w:sz w:val="18"/>
          <w:szCs w:val="18"/>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5"/>
          <w:szCs w:val="15"/>
          <w:color w:val="auto"/>
        </w:rPr>
        <w:t>®</w:t>
      </w:r>
      <w:r>
        <w:rPr>
          <w:rFonts w:ascii="Arial" w:cs="Arial" w:eastAsia="Arial" w:hAnsi="Arial"/>
          <w:sz w:val="18"/>
          <w:szCs w:val="18"/>
          <w:color w:val="auto"/>
        </w:rPr>
        <w:t>. We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9" w:right="7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76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64 facilities worldwide, we have nearly 3,000 employees who are dedicated to safety and quality. We are a trusted partner to more than 5,800 customers in over 50 countries.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Businesses</w:t>
      </w:r>
    </w:p>
    <w:p>
      <w:pPr>
        <w:spacing w:after="0" w:line="117" w:lineRule="exact"/>
        <w:rPr>
          <w:sz w:val="20"/>
          <w:szCs w:val="20"/>
          <w:color w:val="auto"/>
        </w:rPr>
      </w:pPr>
    </w:p>
    <w:p>
      <w:pPr>
        <w:ind w:left="300" w:right="160" w:firstLine="426"/>
        <w:spacing w:after="0" w:line="273"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Cobalt-60 (“Co-60”) supply business, makes us the only vertically integrated global gamma sterilization provider in the sterilization industry. This provides us with additional insights and allows us to better serve our customers.</w:t>
      </w:r>
    </w:p>
    <w:p>
      <w:pPr>
        <w:spacing w:after="0" w:line="326" w:lineRule="exact"/>
        <w:rPr>
          <w:sz w:val="20"/>
          <w:szCs w:val="20"/>
          <w:color w:val="auto"/>
        </w:rPr>
      </w:pPr>
    </w:p>
    <w:p>
      <w:pPr>
        <w:ind w:left="700" w:hanging="30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Sterilization Services (our Sterigenics and Nordion brands):</w:t>
      </w:r>
    </w:p>
    <w:p>
      <w:pPr>
        <w:spacing w:after="0" w:line="130" w:lineRule="exact"/>
        <w:rPr>
          <w:rFonts w:ascii="Arial" w:cs="Arial" w:eastAsia="Arial" w:hAnsi="Arial"/>
          <w:sz w:val="18"/>
          <w:szCs w:val="18"/>
          <w:color w:val="auto"/>
        </w:rPr>
      </w:pPr>
    </w:p>
    <w:p>
      <w:pPr>
        <w:ind w:left="1240" w:right="20" w:hanging="415"/>
        <w:spacing w:after="0" w:line="272" w:lineRule="auto"/>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personal protective equipment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ethylene oxide (“EO”) processing and electron beam (“E-beam”) irradiation.</w:t>
      </w:r>
    </w:p>
    <w:p>
      <w:pPr>
        <w:spacing w:after="0" w:line="78" w:lineRule="exact"/>
        <w:rPr>
          <w:rFonts w:ascii="Arial" w:cs="Arial" w:eastAsia="Arial" w:hAnsi="Arial"/>
          <w:sz w:val="17"/>
          <w:szCs w:val="17"/>
          <w:color w:val="auto"/>
        </w:rPr>
      </w:pPr>
    </w:p>
    <w:p>
      <w:pPr>
        <w:ind w:left="1640" w:right="320" w:hanging="397"/>
        <w:spacing w:after="0" w:line="266" w:lineRule="auto"/>
        <w:tabs>
          <w:tab w:leader="none" w:pos="1640" w:val="left"/>
        </w:tabs>
        <w:numPr>
          <w:ilvl w:val="2"/>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Gamma irradiation: </w:t>
      </w:r>
      <w:r>
        <w:rPr>
          <w:rFonts w:ascii="Arial" w:cs="Arial" w:eastAsia="Arial" w:hAnsi="Arial"/>
          <w:sz w:val="18"/>
          <w:szCs w:val="18"/>
          <w:color w:val="auto"/>
        </w:rPr>
        <w:t>A process in which products are exposed to gamma rays emitted by Co-60. Gamma rays can penetrate</w:t>
      </w:r>
      <w:r>
        <w:rPr>
          <w:rFonts w:ascii="Arial" w:cs="Arial" w:eastAsia="Arial" w:hAnsi="Arial"/>
          <w:sz w:val="18"/>
          <w:szCs w:val="18"/>
          <w:b w:val="1"/>
          <w:bCs w:val="1"/>
          <w:color w:val="auto"/>
        </w:rPr>
        <w:t xml:space="preserve"> </w:t>
      </w:r>
      <w:r>
        <w:rPr>
          <w:rFonts w:ascii="Arial" w:cs="Arial" w:eastAsia="Arial" w:hAnsi="Arial"/>
          <w:sz w:val="18"/>
          <w:szCs w:val="18"/>
          <w:color w:val="auto"/>
        </w:rPr>
        <w:t>even dense materials to kill microbes. Gamma is particularly effective at sterilizing high-density medical products such as sutures, surgical tools and stents.</w:t>
      </w:r>
    </w:p>
    <w:p>
      <w:pPr>
        <w:spacing w:after="0" w:line="81" w:lineRule="exact"/>
        <w:rPr>
          <w:rFonts w:ascii="Arial" w:cs="Arial" w:eastAsia="Arial" w:hAnsi="Arial"/>
          <w:sz w:val="18"/>
          <w:szCs w:val="18"/>
          <w:color w:val="auto"/>
        </w:rPr>
      </w:pPr>
    </w:p>
    <w:p>
      <w:pPr>
        <w:ind w:left="1640" w:right="80" w:hanging="397"/>
        <w:spacing w:after="0" w:line="256" w:lineRule="auto"/>
        <w:tabs>
          <w:tab w:leader="none" w:pos="1640" w:val="left"/>
        </w:tabs>
        <w:numPr>
          <w:ilvl w:val="2"/>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EO processing: </w:t>
      </w:r>
      <w:r>
        <w:rPr>
          <w:rFonts w:ascii="Arial" w:cs="Arial" w:eastAsia="Arial" w:hAnsi="Arial"/>
          <w:sz w:val="18"/>
          <w:szCs w:val="18"/>
          <w:color w:val="auto"/>
        </w:rPr>
        <w:t>A gas sterilization process in which pallets of packaged goods are loaded into a secure chamber that is then</w:t>
      </w:r>
      <w:r>
        <w:rPr>
          <w:rFonts w:ascii="Arial" w:cs="Arial" w:eastAsia="Arial" w:hAnsi="Arial"/>
          <w:sz w:val="18"/>
          <w:szCs w:val="18"/>
          <w:b w:val="1"/>
          <w:bCs w:val="1"/>
          <w:color w:val="auto"/>
        </w:rPr>
        <w:t xml:space="preserve"> </w:t>
      </w:r>
      <w:r>
        <w:rPr>
          <w:rFonts w:ascii="Arial" w:cs="Arial" w:eastAsia="Arial" w:hAnsi="Arial"/>
          <w:sz w:val="18"/>
          <w:szCs w:val="18"/>
          <w:color w:val="auto"/>
        </w:rPr>
        <w:t>injected 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92" w:lineRule="exact"/>
        <w:rPr>
          <w:rFonts w:ascii="Arial" w:cs="Arial" w:eastAsia="Arial" w:hAnsi="Arial"/>
          <w:sz w:val="18"/>
          <w:szCs w:val="18"/>
          <w:color w:val="auto"/>
        </w:rPr>
      </w:pPr>
    </w:p>
    <w:p>
      <w:pPr>
        <w:ind w:left="1640" w:right="100" w:hanging="397"/>
        <w:spacing w:after="0" w:line="261" w:lineRule="auto"/>
        <w:tabs>
          <w:tab w:leader="none" w:pos="1640" w:val="left"/>
        </w:tabs>
        <w:numPr>
          <w:ilvl w:val="2"/>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electrons. E-beam is particularly effective for low density homogenous products such as glass labware. Several medical devices products also rely on E-beam as an effective form of sterilization, including certain types of syringes. In addition to medical device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60"/>
        <w:spacing w:after="0" w:line="277" w:lineRule="auto"/>
        <w:rPr>
          <w:sz w:val="20"/>
          <w:szCs w:val="20"/>
          <w:color w:val="auto"/>
        </w:rPr>
      </w:pPr>
      <w:r>
        <w:rPr>
          <w:rFonts w:ascii="Arial" w:cs="Arial" w:eastAsia="Arial" w:hAnsi="Arial"/>
          <w:sz w:val="18"/>
          <w:szCs w:val="18"/>
          <w:color w:val="auto"/>
        </w:rPr>
        <w:t>sterilization, E-beam can also be used as an effective technology for materials modification, such as the crosslinking of certain polymers or for enriching the color of gemstones.</w:t>
      </w:r>
    </w:p>
    <w:p>
      <w:pPr>
        <w:spacing w:after="0" w:line="76" w:lineRule="exact"/>
        <w:rPr>
          <w:sz w:val="20"/>
          <w:szCs w:val="20"/>
          <w:color w:val="auto"/>
        </w:rPr>
      </w:pPr>
    </w:p>
    <w:p>
      <w:pPr>
        <w:ind w:left="1240" w:right="20" w:hanging="415"/>
        <w:spacing w:after="0" w:line="271"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4"/>
          <w:szCs w:val="14"/>
          <w:color w:val="auto"/>
        </w:rPr>
        <w:t>®</w:t>
      </w:r>
      <w:r>
        <w:rPr>
          <w:rFonts w:ascii="Arial" w:cs="Arial" w:eastAsia="Arial" w:hAnsi="Arial"/>
          <w:sz w:val="17"/>
          <w:szCs w:val="17"/>
          <w:color w:val="auto"/>
        </w:rPr>
        <w:t>), which are used for certain oncology applications.</w:t>
      </w:r>
    </w:p>
    <w:p>
      <w:pPr>
        <w:spacing w:after="0" w:line="322" w:lineRule="exact"/>
        <w:rPr>
          <w:rFonts w:ascii="Arial" w:cs="Arial" w:eastAsia="Arial" w:hAnsi="Arial"/>
          <w:sz w:val="17"/>
          <w:szCs w:val="17"/>
          <w:color w:val="auto"/>
        </w:rPr>
      </w:pPr>
    </w:p>
    <w:p>
      <w:pPr>
        <w:ind w:left="700" w:hanging="307"/>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Lab Services (our Nelson Labs brand):</w:t>
      </w:r>
    </w:p>
    <w:p>
      <w:pPr>
        <w:spacing w:after="0" w:line="134" w:lineRule="exact"/>
        <w:rPr>
          <w:rFonts w:ascii="Arial" w:cs="Arial" w:eastAsia="Arial" w:hAnsi="Arial"/>
          <w:sz w:val="18"/>
          <w:szCs w:val="18"/>
          <w:b w:val="1"/>
          <w:bCs w:val="1"/>
          <w:color w:val="auto"/>
        </w:rPr>
      </w:pPr>
    </w:p>
    <w:p>
      <w:pPr>
        <w:ind w:left="1240" w:right="200" w:hanging="415"/>
        <w:spacing w:after="0" w:line="279"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76" w:lineRule="exact"/>
        <w:rPr>
          <w:rFonts w:ascii="Arial" w:cs="Arial" w:eastAsia="Arial" w:hAnsi="Arial"/>
          <w:sz w:val="17"/>
          <w:szCs w:val="17"/>
          <w:color w:val="auto"/>
        </w:rPr>
      </w:pPr>
    </w:p>
    <w:p>
      <w:pPr>
        <w:ind w:left="1640" w:right="540" w:hanging="397"/>
        <w:spacing w:after="0" w:line="277" w:lineRule="auto"/>
        <w:tabs>
          <w:tab w:leader="none" w:pos="1640" w:val="left"/>
        </w:tabs>
        <w:numPr>
          <w:ilvl w:val="2"/>
          <w:numId w:val="4"/>
        </w:numPr>
        <w:rPr>
          <w:rFonts w:ascii="Arial" w:cs="Arial" w:eastAsia="Arial" w:hAnsi="Arial"/>
          <w:sz w:val="18"/>
          <w:szCs w:val="18"/>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w:t>
      </w:r>
    </w:p>
    <w:p>
      <w:pPr>
        <w:spacing w:after="0" w:line="75" w:lineRule="exact"/>
        <w:rPr>
          <w:rFonts w:ascii="Arial" w:cs="Arial" w:eastAsia="Arial" w:hAnsi="Arial"/>
          <w:sz w:val="18"/>
          <w:szCs w:val="18"/>
          <w:color w:val="auto"/>
        </w:rPr>
      </w:pPr>
    </w:p>
    <w:p>
      <w:pPr>
        <w:ind w:left="1640" w:right="580" w:hanging="397"/>
        <w:spacing w:after="0" w:line="263" w:lineRule="auto"/>
        <w:tabs>
          <w:tab w:leader="none" w:pos="1640" w:val="left"/>
        </w:tabs>
        <w:numPr>
          <w:ilvl w:val="2"/>
          <w:numId w:val="4"/>
        </w:numPr>
        <w:rPr>
          <w:rFonts w:ascii="Arial" w:cs="Arial" w:eastAsia="Arial" w:hAnsi="Arial"/>
          <w:sz w:val="18"/>
          <w:szCs w:val="18"/>
          <w:color w:val="auto"/>
        </w:rPr>
      </w:pPr>
      <w:r>
        <w:rPr>
          <w:rFonts w:ascii="Arial" w:cs="Arial" w:eastAsia="Arial" w:hAnsi="Arial"/>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9" w:lineRule="exact"/>
        <w:rPr>
          <w:rFonts w:ascii="Arial" w:cs="Arial" w:eastAsia="Arial" w:hAnsi="Arial"/>
          <w:sz w:val="18"/>
          <w:szCs w:val="18"/>
          <w:color w:val="auto"/>
        </w:rPr>
      </w:pPr>
    </w:p>
    <w:p>
      <w:pPr>
        <w:ind w:left="1640" w:right="220" w:hanging="397"/>
        <w:spacing w:after="0" w:line="277" w:lineRule="auto"/>
        <w:tabs>
          <w:tab w:leader="none" w:pos="1640" w:val="left"/>
        </w:tabs>
        <w:numPr>
          <w:ilvl w:val="2"/>
          <w:numId w:val="4"/>
        </w:numPr>
        <w:rPr>
          <w:rFonts w:ascii="Arial" w:cs="Arial" w:eastAsia="Arial" w:hAnsi="Arial"/>
          <w:sz w:val="18"/>
          <w:szCs w:val="18"/>
          <w:color w:val="auto"/>
        </w:rPr>
      </w:pPr>
      <w:r>
        <w:rPr>
          <w:rFonts w:ascii="Arial" w:cs="Arial" w:eastAsia="Arial" w:hAnsi="Arial"/>
          <w:sz w:val="18"/>
          <w:szCs w:val="18"/>
          <w:color w:val="auto"/>
        </w:rPr>
        <w:t>We also provide expert advisory services to aid customers in navigating the regulatory requirements applicable throughout the product lifecycle.</w:t>
      </w:r>
    </w:p>
    <w:p>
      <w:pPr>
        <w:spacing w:after="0" w:line="62" w:lineRule="exact"/>
        <w:rPr>
          <w:sz w:val="20"/>
          <w:szCs w:val="20"/>
          <w:color w:val="auto"/>
        </w:rPr>
      </w:pPr>
    </w:p>
    <w:p>
      <w:pPr>
        <w:ind w:left="1260" w:right="160"/>
        <w:spacing w:after="0" w:line="279" w:lineRule="auto"/>
        <w:rPr>
          <w:sz w:val="20"/>
          <w:szCs w:val="20"/>
          <w:color w:val="auto"/>
        </w:rPr>
      </w:pPr>
      <w:r>
        <w:rPr>
          <w:rFonts w:ascii="Arial" w:cs="Arial" w:eastAsia="Arial" w:hAnsi="Arial"/>
          <w:sz w:val="17"/>
          <w:szCs w:val="17"/>
          <w:color w:val="auto"/>
        </w:rPr>
        <w:t>Nelson Labs serves over 3,800 customers across 14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77" w:lineRule="exact"/>
        <w:rPr>
          <w:sz w:val="20"/>
          <w:szCs w:val="20"/>
          <w:color w:val="auto"/>
        </w:rPr>
      </w:pPr>
    </w:p>
    <w:p>
      <w:pPr>
        <w:ind w:left="1640" w:right="480" w:hanging="397"/>
        <w:spacing w:after="0" w:line="311" w:lineRule="auto"/>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54" w:lineRule="exact"/>
        <w:rPr>
          <w:rFonts w:ascii="Arial" w:cs="Arial" w:eastAsia="Arial" w:hAnsi="Arial"/>
          <w:sz w:val="16"/>
          <w:szCs w:val="16"/>
          <w:color w:val="auto"/>
        </w:rPr>
      </w:pPr>
    </w:p>
    <w:p>
      <w:pPr>
        <w:jc w:val="both"/>
        <w:ind w:left="1640" w:right="560" w:hanging="397"/>
        <w:spacing w:after="0" w:line="263"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76" w:lineRule="exact"/>
        <w:rPr>
          <w:sz w:val="20"/>
          <w:szCs w:val="20"/>
          <w:color w:val="auto"/>
        </w:rPr>
      </w:pPr>
    </w:p>
    <w:p>
      <w:pPr>
        <w:ind w:left="1260" w:right="640"/>
        <w:spacing w:after="0" w:line="277" w:lineRule="auto"/>
        <w:rPr>
          <w:sz w:val="20"/>
          <w:szCs w:val="20"/>
          <w:color w:val="auto"/>
        </w:rPr>
      </w:pPr>
      <w:r>
        <w:rPr>
          <w:rFonts w:ascii="Arial" w:cs="Arial" w:eastAsia="Arial" w:hAnsi="Arial"/>
          <w:sz w:val="18"/>
          <w:szCs w:val="18"/>
          <w:color w:val="auto"/>
        </w:rPr>
        <w:t>Nelson Labs is highly complementary to our sterilization services business. In particular, microbiological testing validates the configuration and effectiveness of the sterilization process.</w:t>
      </w:r>
    </w:p>
    <w:p>
      <w:pPr>
        <w:spacing w:after="0" w:line="170"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Markets and Customers</w:t>
      </w:r>
    </w:p>
    <w:p>
      <w:pPr>
        <w:spacing w:after="0" w:line="117" w:lineRule="exact"/>
        <w:rPr>
          <w:sz w:val="20"/>
          <w:szCs w:val="20"/>
          <w:color w:val="auto"/>
        </w:rPr>
      </w:pPr>
    </w:p>
    <w:p>
      <w:pPr>
        <w:ind w:left="300" w:right="220" w:firstLine="426"/>
        <w:spacing w:after="0" w:line="308" w:lineRule="auto"/>
        <w:rPr>
          <w:sz w:val="20"/>
          <w:szCs w:val="20"/>
          <w:color w:val="auto"/>
        </w:rPr>
      </w:pPr>
      <w:r>
        <w:rPr>
          <w:rFonts w:ascii="Arial" w:cs="Arial" w:eastAsia="Arial" w:hAnsi="Arial"/>
          <w:sz w:val="17"/>
          <w:szCs w:val="17"/>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46" w:lineRule="exact"/>
        <w:rPr>
          <w:sz w:val="20"/>
          <w:szCs w:val="20"/>
          <w:color w:val="auto"/>
        </w:rPr>
      </w:pPr>
    </w:p>
    <w:p>
      <w:pPr>
        <w:ind w:left="300" w:firstLine="426"/>
        <w:spacing w:after="0" w:line="267" w:lineRule="auto"/>
        <w:rPr>
          <w:sz w:val="20"/>
          <w:szCs w:val="20"/>
          <w:color w:val="auto"/>
        </w:rPr>
      </w:pPr>
      <w:r>
        <w:rPr>
          <w:rFonts w:ascii="Arial" w:cs="Arial" w:eastAsia="Arial" w:hAnsi="Arial"/>
          <w:sz w:val="17"/>
          <w:szCs w:val="17"/>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with approximately $3 billion attributable to medical devices and approximately $26 billion attributable to pharmaceuticals.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 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We also benefit from minimal customer concentration, as no single customer accounted for more than 4% of our total revenues in 2019. Given the critical nature of our services, a significant portion of our revenues is supported by multi-year contracts. More than 90% of our sterilization services revenues in each of the years ended December 31, 2020 and 2019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Network and Expertise</w:t>
      </w:r>
    </w:p>
    <w:p>
      <w:pPr>
        <w:spacing w:after="0" w:line="117"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7"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With 64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92"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For the year ended December 31, 2020, we recorded net revenues of $818.2 million, net loss of $37.5 million, Adjusted Net Income of $99.1 million and Adjusted EBITDA of $419.9 million. For the definition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8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77" w:lineRule="auto"/>
        <w:rPr>
          <w:sz w:val="20"/>
          <w:szCs w:val="20"/>
          <w:color w:val="auto"/>
        </w:rPr>
      </w:pPr>
      <w:r>
        <w:rPr>
          <w:rFonts w:ascii="Arial" w:cs="Arial" w:eastAsia="Arial" w:hAnsi="Arial"/>
          <w:sz w:val="18"/>
          <w:szCs w:val="18"/>
          <w:color w:val="auto"/>
        </w:rPr>
        <w:t>Adjusted Net Income and Adjusted EBITDA and the reconciliation of these measures from net income (loss), please see “Summary—Summary Historical Consolidated Financial and Other Data.”</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expect several positive secular trends to drive increased demand for our services, including:</w:t>
      </w:r>
    </w:p>
    <w:p>
      <w:pPr>
        <w:spacing w:after="0" w:line="127" w:lineRule="exact"/>
        <w:rPr>
          <w:sz w:val="20"/>
          <w:szCs w:val="20"/>
          <w:color w:val="auto"/>
        </w:rPr>
      </w:pPr>
    </w:p>
    <w:p>
      <w:pPr>
        <w:ind w:left="1240" w:right="20" w:hanging="415"/>
        <w:spacing w:after="0" w:line="271"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Favorable demographic trends for healthcare worldwide: </w:t>
      </w:r>
      <w:r>
        <w:rPr>
          <w:rFonts w:ascii="Arial" w:cs="Arial" w:eastAsia="Arial" w:hAnsi="Arial"/>
          <w:sz w:val="17"/>
          <w:szCs w:val="17"/>
          <w:color w:val="auto"/>
        </w:rPr>
        <w:t>Healthcare demand is increasing globally, driven primarily by an aging</w:t>
      </w:r>
      <w:r>
        <w:rPr>
          <w:rFonts w:ascii="Arial" w:cs="Arial" w:eastAsia="Arial" w:hAnsi="Arial"/>
          <w:sz w:val="17"/>
          <w:szCs w:val="17"/>
          <w:b w:val="1"/>
          <w:bCs w:val="1"/>
          <w:color w:val="auto"/>
        </w:rPr>
        <w:t xml:space="preserve"> </w:t>
      </w:r>
      <w:r>
        <w:rPr>
          <w:rFonts w:ascii="Arial" w:cs="Arial" w:eastAsia="Arial" w:hAnsi="Arial"/>
          <w:sz w:val="17"/>
          <w:szCs w:val="17"/>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Centers for Medicare &amp; Medicaid Services (the “CMS”) estimated that health expenditures in the United States will increase from approximately 18% of gross domestic product in 2018 to approximately 20% in 2028.</w:t>
      </w:r>
    </w:p>
    <w:p>
      <w:pPr>
        <w:spacing w:after="0" w:line="79" w:lineRule="exact"/>
        <w:rPr>
          <w:rFonts w:ascii="Arial" w:cs="Arial" w:eastAsia="Arial" w:hAnsi="Arial"/>
          <w:sz w:val="17"/>
          <w:szCs w:val="17"/>
          <w:color w:val="auto"/>
        </w:rPr>
      </w:pPr>
    </w:p>
    <w:p>
      <w:pPr>
        <w:ind w:left="1240" w:hanging="415"/>
        <w:spacing w:after="0" w:line="294"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Increased demand for healthcare services in global markets: </w:t>
      </w:r>
      <w:r>
        <w:rPr>
          <w:rFonts w:ascii="Arial" w:cs="Arial" w:eastAsia="Arial" w:hAnsi="Arial"/>
          <w:sz w:val="16"/>
          <w:szCs w:val="16"/>
          <w:color w:val="auto"/>
        </w:rPr>
        <w:t>Stricter healthcare standards coupled with heightened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coronavirus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65" w:lineRule="exact"/>
        <w:rPr>
          <w:rFonts w:ascii="Arial" w:cs="Arial" w:eastAsia="Arial" w:hAnsi="Arial"/>
          <w:sz w:val="16"/>
          <w:szCs w:val="16"/>
          <w:color w:val="auto"/>
        </w:rPr>
      </w:pPr>
    </w:p>
    <w:p>
      <w:pPr>
        <w:ind w:left="1240" w:hanging="415"/>
        <w:spacing w:after="0" w:line="273"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Growth in R&amp;D spending and innovation across healthcare: </w:t>
      </w:r>
      <w:r>
        <w:rPr>
          <w:rFonts w:ascii="Arial" w:cs="Arial" w:eastAsia="Arial" w:hAnsi="Arial"/>
          <w:sz w:val="17"/>
          <w:szCs w:val="17"/>
          <w:color w:val="auto"/>
        </w:rPr>
        <w:t>The pharmaceutical and medical device industries are continuously</w:t>
      </w:r>
      <w:r>
        <w:rPr>
          <w:rFonts w:ascii="Arial" w:cs="Arial" w:eastAsia="Arial" w:hAnsi="Arial"/>
          <w:sz w:val="17"/>
          <w:szCs w:val="17"/>
          <w:b w:val="1"/>
          <w:bCs w:val="1"/>
          <w:color w:val="auto"/>
        </w:rPr>
        <w:t xml:space="preserve"> </w:t>
      </w:r>
      <w:r>
        <w:rPr>
          <w:rFonts w:ascii="Arial" w:cs="Arial" w:eastAsia="Arial" w:hAnsi="Arial"/>
          <w:sz w:val="17"/>
          <w:szCs w:val="17"/>
          <w:color w:val="auto"/>
        </w:rPr>
        <w:t>innovating and developing new products, which we anticipate will increase the demand for sterilization and lab services. Worldwide pharmaceutical R&amp;D spend is forecasted to grow steadily at a compound annual growth rate (“CAGR”) of approximately 3% between 2019 and 2026, reaching $233 billion by 2026 (EvaluatePharma</w:t>
      </w:r>
      <w:r>
        <w:rPr>
          <w:rFonts w:ascii="Arial" w:cs="Arial" w:eastAsia="Arial" w:hAnsi="Arial"/>
          <w:sz w:val="14"/>
          <w:szCs w:val="14"/>
          <w:color w:val="auto"/>
        </w:rPr>
        <w:t>®</w:t>
      </w:r>
      <w:r>
        <w:rPr>
          <w:rFonts w:ascii="Arial" w:cs="Arial" w:eastAsia="Arial" w:hAnsi="Arial"/>
          <w:sz w:val="17"/>
          <w:szCs w:val="17"/>
          <w:color w:val="auto"/>
        </w:rPr>
        <w:t xml:space="preserve"> July 2020, Evaluate Ltd.). In the medical devices market, the global top twenty companies based on R&amp;D spending spent a combined $18 billion on R&amp;D in 2017 (EvaluateMedTech</w:t>
      </w:r>
      <w:r>
        <w:rPr>
          <w:rFonts w:ascii="Arial" w:cs="Arial" w:eastAsia="Arial" w:hAnsi="Arial"/>
          <w:sz w:val="14"/>
          <w:szCs w:val="14"/>
          <w:color w:val="auto"/>
        </w:rPr>
        <w:t>®</w:t>
      </w:r>
      <w:r>
        <w:rPr>
          <w:rFonts w:ascii="Arial" w:cs="Arial" w:eastAsia="Arial" w:hAnsi="Arial"/>
          <w:sz w:val="17"/>
          <w:szCs w:val="17"/>
          <w:color w:val="auto"/>
        </w:rPr>
        <w:t xml:space="preserve"> World Preview 2018, Evaluate Ltd.). This number is expected to grow at a 4% CAGR, reaching approximately $24 billion by 2024 (EvaluateMedTech</w:t>
      </w:r>
      <w:r>
        <w:rPr>
          <w:rFonts w:ascii="Arial" w:cs="Arial" w:eastAsia="Arial" w:hAnsi="Arial"/>
          <w:sz w:val="14"/>
          <w:szCs w:val="14"/>
          <w:color w:val="auto"/>
        </w:rPr>
        <w:t>®</w:t>
      </w:r>
      <w:r>
        <w:rPr>
          <w:rFonts w:ascii="Arial" w:cs="Arial" w:eastAsia="Arial" w:hAnsi="Arial"/>
          <w:sz w:val="17"/>
          <w:szCs w:val="17"/>
          <w:color w:val="auto"/>
        </w:rPr>
        <w:t xml:space="preserve"> World Preview 2018, Evaluate Ltd.).</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Strengths</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Arial" w:cs="Arial" w:eastAsia="Arial" w:hAnsi="Arial"/>
          <w:sz w:val="14"/>
          <w:szCs w:val="14"/>
          <w:color w:val="auto"/>
        </w:rPr>
        <w:t>®</w:t>
      </w:r>
      <w:r>
        <w:rPr>
          <w:rFonts w:ascii="Arial" w:cs="Arial" w:eastAsia="Arial" w:hAnsi="Arial"/>
          <w:sz w:val="17"/>
          <w:szCs w:val="17"/>
          <w:color w:val="auto"/>
        </w:rPr>
        <w:t>. These key strengths make us a global leader in our markets.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Comprehensive, global provider of mission-critical sterilization and lab services for the healthcare industry</w:t>
      </w:r>
    </w:p>
    <w:p>
      <w:pPr>
        <w:spacing w:after="0" w:line="117"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1" w:lineRule="auto"/>
        <w:rPr>
          <w:sz w:val="20"/>
          <w:szCs w:val="20"/>
          <w:color w:val="auto"/>
        </w:rPr>
      </w:pPr>
      <w:r>
        <w:rPr>
          <w:rFonts w:ascii="Arial" w:cs="Arial" w:eastAsia="Arial" w:hAnsi="Arial"/>
          <w:sz w:val="17"/>
          <w:szCs w:val="17"/>
          <w:color w:val="auto"/>
        </w:rPr>
        <w:t>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Industry leading participant in large and growing markets, underpinned by trends in global healthcare</w:t>
      </w:r>
    </w:p>
    <w:p>
      <w:pPr>
        <w:spacing w:after="0" w:line="117" w:lineRule="exact"/>
        <w:rPr>
          <w:sz w:val="20"/>
          <w:szCs w:val="20"/>
          <w:color w:val="auto"/>
        </w:rPr>
      </w:pPr>
    </w:p>
    <w:p>
      <w:pPr>
        <w:ind w:left="300" w:right="100" w:firstLine="426"/>
        <w:spacing w:after="0" w:line="311"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49" w:lineRule="exact"/>
        <w:rPr>
          <w:sz w:val="20"/>
          <w:szCs w:val="20"/>
          <w:color w:val="auto"/>
        </w:rPr>
      </w:pPr>
    </w:p>
    <w:p>
      <w:pPr>
        <w:ind w:left="300" w:right="120" w:firstLine="426"/>
        <w:spacing w:after="0" w:line="290" w:lineRule="auto"/>
        <w:rPr>
          <w:sz w:val="20"/>
          <w:szCs w:val="20"/>
          <w:color w:val="auto"/>
        </w:rPr>
      </w:pPr>
      <w:r>
        <w:rPr>
          <w:rFonts w:ascii="Arial" w:cs="Arial" w:eastAsia="Arial" w:hAnsi="Arial"/>
          <w:sz w:val="16"/>
          <w:szCs w:val="16"/>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 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73" w:lineRule="exact"/>
        <w:rPr>
          <w:sz w:val="20"/>
          <w:szCs w:val="20"/>
          <w:color w:val="auto"/>
        </w:rPr>
      </w:pPr>
    </w:p>
    <w:p>
      <w:pPr>
        <w:ind w:left="300" w:right="460"/>
        <w:spacing w:after="0" w:line="277" w:lineRule="auto"/>
        <w:rPr>
          <w:sz w:val="20"/>
          <w:szCs w:val="20"/>
          <w:color w:val="auto"/>
        </w:rPr>
      </w:pPr>
      <w:r>
        <w:rPr>
          <w:rFonts w:ascii="Arial" w:cs="Arial" w:eastAsia="Arial" w:hAnsi="Arial"/>
          <w:sz w:val="18"/>
          <w:szCs w:val="18"/>
          <w:b w:val="1"/>
          <w:bCs w:val="1"/>
          <w:i w:val="1"/>
          <w:iCs w:val="1"/>
          <w:color w:val="auto"/>
        </w:rPr>
        <w:t>Sterilization services business with an established and durable customer base supported by long-term contracts provides highly recurring revenue streams</w:t>
      </w:r>
    </w:p>
    <w:p>
      <w:pPr>
        <w:spacing w:after="0" w:line="62"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Food and Drug Administration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Expertise and strong track record in highly regulated markets</w:t>
      </w:r>
    </w:p>
    <w:p>
      <w:pPr>
        <w:spacing w:after="0" w:line="117"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We and our customers operate in highly complex and regulated markets that require deep knowledge and technical expertise. We believe that the operational discipline that we employ to manage intricate quality assurance and environmental health and safety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w:t>
      </w: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Global scale and integrated facility network provide differentiated services to our customers</w:t>
      </w:r>
    </w:p>
    <w:p>
      <w:pPr>
        <w:spacing w:after="0" w:line="117"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We have a global network of 64 facilities, consisting of 50 sterilization services facilities and 14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2020.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Experienced management team with proven track record of execution and financial performance</w:t>
      </w:r>
    </w:p>
    <w:p>
      <w:pPr>
        <w:spacing w:after="0" w:line="117" w:lineRule="exact"/>
        <w:rPr>
          <w:sz w:val="20"/>
          <w:szCs w:val="20"/>
          <w:color w:val="auto"/>
        </w:rPr>
      </w:pPr>
    </w:p>
    <w:p>
      <w:pPr>
        <w:ind w:left="300" w:right="40" w:firstLine="426"/>
        <w:spacing w:after="0" w:line="270" w:lineRule="auto"/>
        <w:rPr>
          <w:sz w:val="20"/>
          <w:szCs w:val="20"/>
          <w:color w:val="auto"/>
        </w:rPr>
      </w:pPr>
      <w:r>
        <w:rPr>
          <w:rFonts w:ascii="Arial" w:cs="Arial" w:eastAsia="Arial" w:hAnsi="Arial"/>
          <w:sz w:val="17"/>
          <w:szCs w:val="17"/>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3,000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eight bolt-on acquisitions over the past seven years. In addition, we are disciplined in our capital deployment strategy, which is focused on achieving attractive returns on investment. We pursue capacity expansions that will allow us to consistently grow earnings.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Our strategy is designed to deliver on our mission of Safeguarding Global Health</w:t>
      </w:r>
      <w:r>
        <w:rPr>
          <w:rFonts w:ascii="Arial" w:cs="Arial" w:eastAsia="Arial" w:hAnsi="Arial"/>
          <w:sz w:val="15"/>
          <w:szCs w:val="15"/>
          <w:color w:val="auto"/>
        </w:rPr>
        <w:t>®</w:t>
      </w:r>
      <w:r>
        <w:rPr>
          <w:rFonts w:ascii="Arial" w:cs="Arial" w:eastAsia="Arial" w:hAnsi="Arial"/>
          <w:sz w:val="18"/>
          <w:szCs w:val="18"/>
          <w:color w:val="auto"/>
        </w:rPr>
        <w:t>, while generating sustainable growth, margins and cash flows for our business: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Drive organic growth by leveraging our leading capabilities, scale and global network</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We believe that our established and durable relationships with our diverse customer base, along with the breadth and depth of our service offerings, provide us with a distinct leadership position within the markets that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9" w:lineRule="auto"/>
        <w:rPr>
          <w:sz w:val="20"/>
          <w:szCs w:val="20"/>
          <w:color w:val="auto"/>
        </w:rPr>
      </w:pPr>
      <w:r>
        <w:rPr>
          <w:rFonts w:ascii="Arial" w:cs="Arial" w:eastAsia="Arial" w:hAnsi="Arial"/>
          <w:sz w:val="18"/>
          <w:szCs w:val="18"/>
          <w:color w:val="auto"/>
        </w:rPr>
        <w:t>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Deepen our customer relationships with our comprehensive service offerings in sterilization and lab services</w:t>
      </w:r>
    </w:p>
    <w:p>
      <w:pPr>
        <w:spacing w:after="0" w:line="117"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footprint to meet the local needs of our growing global customer base</w:t>
      </w:r>
    </w:p>
    <w:p>
      <w:pPr>
        <w:spacing w:after="0" w:line="11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 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 in technical and regulatory capabilities to enhance our leadership position</w:t>
      </w:r>
    </w:p>
    <w:p>
      <w:pPr>
        <w:spacing w:after="0" w:line="117"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Continue our commitment to operational excellence to drive business efficiency and results</w:t>
      </w:r>
    </w:p>
    <w:p>
      <w:pPr>
        <w:spacing w:after="0" w:line="117"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Our focus on operational excellence has allowed us to increase capacity utilization and improve working capital, thereby growing our revenues while expanding margins and improving the customer experience. Our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3" w:lineRule="auto"/>
        <w:rPr>
          <w:sz w:val="20"/>
          <w:szCs w:val="20"/>
          <w:color w:val="auto"/>
        </w:rPr>
      </w:pPr>
      <w:r>
        <w:rPr>
          <w:rFonts w:ascii="Arial" w:cs="Arial" w:eastAsia="Arial" w:hAnsi="Arial"/>
          <w:sz w:val="16"/>
          <w:szCs w:val="16"/>
          <w:color w:val="auto"/>
        </w:rPr>
        <w:t>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Pursue value-creating strategic acquisitions to expand our addressable market and enhance our global capabilities and footprint</w:t>
      </w:r>
    </w:p>
    <w:p>
      <w:pPr>
        <w:spacing w:after="0" w:line="129"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Iotron Industries Canada, Inc. (“lotron”) and BioScience Laboratories, LLC (“BioScience”),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38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left="300" w:right="120" w:firstLine="426"/>
        <w:spacing w:after="0" w:line="263" w:lineRule="auto"/>
        <w:rPr>
          <w:sz w:val="20"/>
          <w:szCs w:val="20"/>
          <w:color w:val="auto"/>
        </w:rPr>
      </w:pPr>
      <w:r>
        <w:rPr>
          <w:rFonts w:ascii="Arial" w:cs="Arial" w:eastAsia="Arial" w:hAnsi="Arial"/>
          <w:sz w:val="18"/>
          <w:szCs w:val="18"/>
          <w:color w:val="auto"/>
        </w:rPr>
        <w:t>Investing in our common stock involves a high degree of risk. These risks are discussed in more detail in “Risk Factors” beginning on page 19, and you should carefully consider these risks before making a decision to invest in our common stock. The following is a summary of some of the principal risks we believe we face:</w:t>
      </w:r>
    </w:p>
    <w:p>
      <w:pPr>
        <w:spacing w:after="0" w:line="89" w:lineRule="exact"/>
        <w:rPr>
          <w:sz w:val="20"/>
          <w:szCs w:val="20"/>
          <w:color w:val="auto"/>
        </w:rPr>
      </w:pPr>
    </w:p>
    <w:p>
      <w:pPr>
        <w:ind w:left="1240" w:right="2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EO, Co-60 or our direct materials, services and supplies, including as a result of geopolitical instability arising from U.S. relations with Russia and related sanctions;</w:t>
      </w:r>
    </w:p>
    <w:p>
      <w:pPr>
        <w:spacing w:after="0" w:line="75"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industry trends, environmental, health and safety regulations or preferences and general economic, social and business conditions;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health and safety risks associated with the use, transportation and disposal of potentially hazardous materials such as EO and Co-60;</w:t>
      </w:r>
    </w:p>
    <w:p>
      <w:pPr>
        <w:spacing w:after="0" w:line="153" w:lineRule="exact"/>
        <w:rPr>
          <w:rFonts w:ascii="Arial" w:cs="Arial" w:eastAsia="Arial" w:hAnsi="Arial"/>
          <w:sz w:val="16"/>
          <w:szCs w:val="16"/>
          <w:color w:val="auto"/>
        </w:rPr>
      </w:pPr>
    </w:p>
    <w:p>
      <w:pPr>
        <w:ind w:left="1240" w:right="160" w:hanging="415"/>
        <w:spacing w:after="0" w:line="25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and outcome of current and future legal proceedings and liability claims, including lawsuits alleging personal injury, property devaluation and other injuries by purported exposure to emissions of EO from our facilities in Willowbrook, Atlanta and Santa Teresa and the possibility that other claims will be made in the future relating to these or other facilities and any inadequacy of our insurance coverage to pay any judgments rendered against us, including that our per occurrence limit for claims relating to Willowbrook’s EO emissions has been reached;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8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regulatory requirements to which we are subject and the related costs, and any failures to receive or maintain, or delays in receiving, required clearance or approvals;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w:t>
      </w:r>
    </w:p>
    <w:p>
      <w:pPr>
        <w:spacing w:after="0" w:line="130" w:lineRule="exact"/>
        <w:rPr>
          <w:rFonts w:ascii="Arial" w:cs="Arial" w:eastAsia="Arial" w:hAnsi="Arial"/>
          <w:sz w:val="18"/>
          <w:szCs w:val="18"/>
          <w:color w:val="auto"/>
        </w:rPr>
      </w:pPr>
    </w:p>
    <w:p>
      <w:pPr>
        <w:ind w:left="1240" w:right="5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renew leases for our facilities and build new facilities in a timely and cost-effective manner;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 security breaches and data leaks, and our dependence on information technology systems;</w:t>
      </w:r>
    </w:p>
    <w:p>
      <w:pPr>
        <w:spacing w:after="0" w:line="130" w:lineRule="exact"/>
        <w:rPr>
          <w:rFonts w:ascii="Arial" w:cs="Arial" w:eastAsia="Arial" w:hAnsi="Arial"/>
          <w:sz w:val="18"/>
          <w:szCs w:val="18"/>
          <w:color w:val="auto"/>
        </w:rPr>
      </w:pPr>
    </w:p>
    <w:p>
      <w:pPr>
        <w:ind w:left="1240" w:right="600" w:hanging="415"/>
        <w:spacing w:after="0" w:line="30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inability to implement effective internal controls over financial reporting;</w:t>
      </w:r>
    </w:p>
    <w:p>
      <w:pPr>
        <w:spacing w:after="0" w:line="130" w:lineRule="exact"/>
        <w:rPr>
          <w:rFonts w:ascii="Arial" w:cs="Arial" w:eastAsia="Arial" w:hAnsi="Arial"/>
          <w:sz w:val="18"/>
          <w:szCs w:val="18"/>
          <w:color w:val="auto"/>
        </w:rPr>
      </w:pPr>
    </w:p>
    <w:p>
      <w:pPr>
        <w:ind w:left="1240" w:right="160" w:hanging="415"/>
        <w:spacing w:after="0" w:line="34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history of net operating losses, including a net loss attributable to Sotera Health Company of $38.6 million and $20.9 million for the years ended December 31, 2020 and 2019, and the risk that we may not achieve or maintain profitability in the future;</w:t>
      </w:r>
    </w:p>
    <w:p>
      <w:pPr>
        <w:spacing w:after="0" w:line="29" w:lineRule="exact"/>
        <w:rPr>
          <w:rFonts w:ascii="Arial" w:cs="Arial" w:eastAsia="Arial" w:hAnsi="Arial"/>
          <w:sz w:val="16"/>
          <w:szCs w:val="16"/>
          <w:color w:val="auto"/>
        </w:rPr>
      </w:pPr>
    </w:p>
    <w:p>
      <w:pPr>
        <w:ind w:left="1240" w:hanging="415"/>
        <w:spacing w:after="0" w:line="275"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substantial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As of December 31, 2020, our indebtedness totaled approximately $1,863.6 million, and our debt service obligations (principal and interest) represented approximately 68% of our net cash flows from operating activities (before giving effect to the payment of interest);</w:t>
      </w:r>
    </w:p>
    <w:p>
      <w:pPr>
        <w:spacing w:after="0" w:line="81" w:lineRule="exact"/>
        <w:rPr>
          <w:rFonts w:ascii="Arial" w:cs="Arial" w:eastAsia="Arial" w:hAnsi="Arial"/>
          <w:sz w:val="17"/>
          <w:szCs w:val="17"/>
          <w:color w:val="auto"/>
        </w:rPr>
      </w:pPr>
    </w:p>
    <w:p>
      <w:pPr>
        <w:ind w:left="1240" w:right="4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investment funds and entities affiliated with Warburg Pincus LLC (“Warburg Pincus”) and GTCR, LLC (“GTCR”) continue to have substantial control over us, which could limit stockholders’ ability to influence the outcome of key transactions, including a change of control; and</w:t>
      </w:r>
    </w:p>
    <w:p>
      <w:pPr>
        <w:spacing w:after="0" w:line="89" w:lineRule="exact"/>
        <w:rPr>
          <w:rFonts w:ascii="Arial" w:cs="Arial" w:eastAsia="Arial" w:hAnsi="Arial"/>
          <w:sz w:val="18"/>
          <w:szCs w:val="18"/>
          <w:color w:val="auto"/>
        </w:rPr>
      </w:pPr>
    </w:p>
    <w:p>
      <w:pPr>
        <w:ind w:left="1240" w:right="180" w:hanging="415"/>
        <w:spacing w:after="0" w:line="286"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fact that we may be considered a “controlled company” within the meaning of the Nasdaq corporate governance standards and would qualify for exemptions from certain corporate governance requirements, which means that our stockholders may not have the same protections afforded to stockholders of companies that are subject to such requirements.</w:t>
      </w: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Corporate Information and Our Initial Public Offering</w:t>
      </w:r>
    </w:p>
    <w:p>
      <w:pPr>
        <w:spacing w:after="0" w:line="229"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Sotera Health Company was incorporated in Delaware in November 2017 as the parent company for Sterigenics, Nordion and Nelson Labs. In May 2015, investment funds and entities affiliated with either Warburg Pincus or GTCR acquired a controlling interest in our predecessor through Sterigenics-Nordion Topco Parent LLC, now known as Sotera Health Topco Parent, L.P. (“Topco Parent”). On October 23, 2020, we changed our name from Sotera Health Topco, Inc. to Sotera Health Company.</w:t>
      </w:r>
    </w:p>
    <w:p>
      <w:pPr>
        <w:spacing w:after="0" w:line="187"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On November 24, 2020, we completed our initial public offering (“IPO”) of 53,590,000 shares of common stock at a price of $23.00 per share. Our common stock began trading on the Nasdaq on November 20, 2020 under the ticker symbol “SHC.” After underwriting discounts and commissions but before expenses, we received net proceeds from our IPO of approximately $1,161.7 million. We used these proceeds to (i) redeem all of the outstanding $770.0 million aggregate principal amount of our senior secured second lien notes at a redemption price of 102% of principal (plus accrued and unpaid interest, which was paid with cash on hand), (ii) repay $341.0 million of indebtedness (including accrued and unpaid interest) under our first lien term loan 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0" w:hanging="2"/>
        <w:spacing w:after="0" w:line="279" w:lineRule="auto"/>
        <w:tabs>
          <w:tab w:leader="none" w:pos="615"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repurchase 1,568,445 shares of our common stock from certain of our executive officers at a purchase price per share equal to the initial public offering price per share of our common stock less an amount equal to the underwriting discounts and commissions payable thereon. Pursuant to the terms of the corporate reorganization that was completed in connection with our IPO, Topco Parent distributed the shares of Sotera Health Company common stock to its partners in accordance with the limited partnership agreement of Topco Parent.</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principal executive offices are located at 9100 South Hills Blvd, Suite 300 Broadview Heights, Ohio 44147, and our telephone number is</w:t>
      </w:r>
    </w:p>
    <w:p>
      <w:pPr>
        <w:spacing w:after="0" w:line="46" w:lineRule="exact"/>
        <w:rPr>
          <w:sz w:val="20"/>
          <w:szCs w:val="20"/>
          <w:color w:val="auto"/>
        </w:rPr>
      </w:pPr>
    </w:p>
    <w:p>
      <w:pPr>
        <w:ind w:left="300" w:right="560" w:hanging="2"/>
        <w:spacing w:after="0" w:line="260"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262-1410. Our corporate website address is www.soterahealth.com. We do not incorporate the information contained on, or accessible through, our corporate website into this prospectus, and you should not consider it part of this prospectus.</w:t>
      </w:r>
    </w:p>
    <w:p>
      <w:pPr>
        <w:spacing w:after="0" w:line="185"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Our wholly owned subsidiary, Sotera Health Holdings, LLC (“SHH”) is the borrower under our senior secured first lien credit facilities and the issuer of our senior secured first lien notes. We and certain of our domestic subsidiaries are guarantors of SHH’s obligations under our credit facilities and notes.</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Following this offering, certain investment funds and entities affiliates of Warburg Pincus and GTCR, which we refer to collectively as the “Sponsors,” will own approximately 37.26% and 24.84%, respectively, of our common stock (approximately 36.55% and 24.36%, respectively, if the underwriters’ option to purchase additional shares is exercised in full). Together the Sponsors will own, in the aggregate, approximately 62.10% of our common stock (approximately 60.91% if the underwriters’ option to purchase additional shares is exercised in full).</w:t>
      </w:r>
    </w:p>
    <w:p>
      <w:pPr>
        <w:spacing w:after="0" w:line="157"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Warburg Pincus is a global private equity firm focused on growth investing. The firm’s active portfolio of more than 195 companies is highly diversified by stage, sector and geography. It has invested more than $12 billion of equity in the healthcare industry, and possesses direct knowledge of the sterilization services industry’s end markets and medical device customers through its investments in other healthcare companies. Warburg Pincus is an experienced partner to management teams seeking to build durable companies with sustainable value. Founded in 1966, Warburg Pincus has raised over 20 private equity funds with capital commitments totaling $99 billion and has invested more than $92 billion in over 950 companies across 40 countries. The firm is headquartered in New York with offices in Beijing, Berlin, Hong Kong, Houston, London, Mumbai, San Francisco, São Paulo, Shanghai and Singapore.</w:t>
      </w:r>
    </w:p>
    <w:p>
      <w:pPr>
        <w:spacing w:after="0" w:line="177" w:lineRule="exact"/>
        <w:rPr>
          <w:sz w:val="20"/>
          <w:szCs w:val="20"/>
          <w:color w:val="auto"/>
        </w:rPr>
      </w:pPr>
    </w:p>
    <w:p>
      <w:pPr>
        <w:ind w:left="300" w:right="140" w:firstLine="426"/>
        <w:spacing w:after="0" w:line="296" w:lineRule="auto"/>
        <w:rPr>
          <w:sz w:val="20"/>
          <w:szCs w:val="20"/>
          <w:color w:val="auto"/>
        </w:rPr>
      </w:pPr>
      <w:r>
        <w:rPr>
          <w:rFonts w:ascii="Arial" w:cs="Arial" w:eastAsia="Arial" w:hAnsi="Arial"/>
          <w:sz w:val="16"/>
          <w:szCs w:val="16"/>
          <w:color w:val="auto"/>
        </w:rPr>
        <w:t>Founded in 1980, GTCR is a private equity firm focused on investing in growth companies in the Healthcare, Technology, Media &amp; Telecommunications, Financial Services &amp; Technology and Growth Business Services industries. The Chicago-based firm pioneered The Leaders Strategy</w:t>
      </w:r>
      <w:r>
        <w:rPr>
          <w:rFonts w:ascii="Arial" w:cs="Arial" w:eastAsia="Arial" w:hAnsi="Arial"/>
          <w:sz w:val="13"/>
          <w:szCs w:val="13"/>
          <w:color w:val="auto"/>
        </w:rPr>
        <w:t>™</w:t>
      </w:r>
      <w:r>
        <w:rPr>
          <w:rFonts w:ascii="Arial" w:cs="Arial" w:eastAsia="Arial" w:hAnsi="Arial"/>
          <w:sz w:val="16"/>
          <w:szCs w:val="16"/>
          <w:color w:val="auto"/>
        </w:rPr>
        <w:t>–finding and partnering with management leaders in core domains to identify, acquire and build market-leading companies through transformational acquisitions and organic growth. Since its inception, GTCR has invested more than $20 billion in over 250 companies. GTCR is an active investor in the healthcare products sector and has supported Sotera Health’s significant growth since 2011.</w:t>
      </w:r>
    </w:p>
    <w:p>
      <w:pPr>
        <w:spacing w:after="0" w:line="161"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Pursuant to the stockholders’ agreement entered into in connection with our IPO (the “Stockholders’ Agreement”), we will be required to take all necessary action to cause our board of directors to include individuals designated by the Sponsors pursuant to certain ownership thresholds. Warburg Pincus and GTCR, individually, will be required to vote all of their shares, and take all other necessary actions, to cause our board of directors to include the individuals designated as directors by Warburg Pincus and GTCR, as applicable. After the completion of this offering, the Sponsors will control a majority of the voting power of shares of our common stock with respect to the election of directors and will control a majority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30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3030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300" w:right="240" w:firstLine="426"/>
        <w:spacing w:after="0" w:line="286" w:lineRule="auto"/>
        <w:rPr>
          <w:sz w:val="20"/>
          <w:szCs w:val="20"/>
          <w:color w:val="auto"/>
        </w:rPr>
      </w:pPr>
      <w:r>
        <w:rPr>
          <w:rFonts w:ascii="Arial" w:cs="Arial" w:eastAsia="Arial" w:hAnsi="Arial"/>
          <w:sz w:val="17"/>
          <w:szCs w:val="17"/>
          <w:color w:val="auto"/>
        </w:rPr>
        <w:t>We qualify as an “emerging growth company” as defined in Section 2(a) of the Securities Act, as modified by the Jumpstart Our Business Startups Act of 2012 (the “JOBS Act”). As an emerging growth company, we may choose to take advantage of specified reduced disclosure and other requirements otherwise applicable generally to public companies that are not emerging growth companies.</w:t>
      </w:r>
    </w:p>
    <w:p>
      <w:pPr>
        <w:spacing w:after="0" w:line="165"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We will remain an emerging growth company until the earliest of (i) the last day of the fiscal year following the fifth anniversary of the completion of this offering, (ii) the last day of the fiscal year in which we have total annual gross revenue of at least $1.07 billion, (iii) the date on which we are deemed to be a large accelerated filer under the Securities Exchange Act of 1934, as amended (the “Exchange Act”), which means the market value of our common stock that is held by non-affiliates exceeds $700.0 million as of the prior June 30 and (iv) the date on which we have issued more than $1.0 billion in non-convertible debt during the prior three-year period. We may choose to take advantage of some but not all of these reduced disclosure obligations in future filings. If we do, the information that we provide to stockholders may be different than you might get from other public companies in which you hold stock.</w:t>
      </w:r>
    </w:p>
    <w:p>
      <w:pPr>
        <w:spacing w:after="0" w:line="192" w:lineRule="exact"/>
        <w:rPr>
          <w:sz w:val="20"/>
          <w:szCs w:val="20"/>
          <w:color w:val="auto"/>
        </w:rPr>
      </w:pPr>
    </w:p>
    <w:p>
      <w:pPr>
        <w:ind w:left="300" w:right="280" w:firstLine="426"/>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7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25,000,000 shares.</w:t>
      </w:r>
    </w:p>
    <w:p>
      <w:pPr>
        <w:spacing w:after="0" w:line="211" w:lineRule="exact"/>
        <w:rPr>
          <w:sz w:val="20"/>
          <w:szCs w:val="20"/>
          <w:color w:val="auto"/>
        </w:rPr>
      </w:pPr>
    </w:p>
    <w:p>
      <w:pPr>
        <w:sectPr>
          <w:pgSz w:w="11900" w:h="16838" w:orient="portrait"/>
          <w:cols w:equalWidth="0" w:num="2">
            <w:col w:w="3920" w:space="420"/>
            <w:col w:w="660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selling stockholders may sell up to 3,750,000 additional shares if the underwriters exercise their option to purchase additional shares.</w:t>
      </w:r>
    </w:p>
    <w:p>
      <w:pPr>
        <w:spacing w:after="0" w:line="197" w:lineRule="exact"/>
        <w:rPr>
          <w:sz w:val="20"/>
          <w:szCs w:val="20"/>
          <w:color w:val="auto"/>
        </w:rPr>
      </w:pPr>
    </w:p>
    <w:p>
      <w:pPr>
        <w:sectPr>
          <w:pgSz w:w="11900" w:h="16838" w:orient="portrait"/>
          <w:cols w:equalWidth="0" w:num="2">
            <w:col w:w="3940" w:space="40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See “Principal and Selling Stockholders.”</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282,899,968 shares.</w:t>
      </w:r>
    </w:p>
    <w:p>
      <w:pPr>
        <w:spacing w:after="0" w:line="211" w:lineRule="exact"/>
        <w:rPr>
          <w:sz w:val="20"/>
          <w:szCs w:val="20"/>
          <w:color w:val="auto"/>
        </w:rPr>
      </w:pPr>
    </w:p>
    <w:p>
      <w:pPr>
        <w:sectPr>
          <w:pgSz w:w="11900" w:h="16838" w:orient="portrait"/>
          <w:cols w:equalWidth="0" w:num="2">
            <w:col w:w="3980" w:space="360"/>
            <w:col w:w="660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selling stockholders will receive all of the net proceeds from the sale of shares of common stock in this offering. We will not receive any proceeds from the sale of shares of common stock by the selling stockholders or if the underwriters exercise their option to purchase additional shares.</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We currently do not expect to pay dividends on our common stock for the foreseeable future. Instead, we anticipate that all of our earnings in the foreseeable future will be used for the operation and growth of our business and the repayment of indebtedness. See “Dividend Policy.”</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340"/>
        <w:spacing w:after="0" w:line="263" w:lineRule="auto"/>
        <w:rPr>
          <w:sz w:val="20"/>
          <w:szCs w:val="20"/>
          <w:color w:val="auto"/>
        </w:rPr>
      </w:pPr>
      <w:r>
        <w:rPr>
          <w:rFonts w:ascii="Arial" w:cs="Arial" w:eastAsia="Arial" w:hAnsi="Arial"/>
          <w:sz w:val="18"/>
          <w:szCs w:val="18"/>
          <w:color w:val="auto"/>
        </w:rPr>
        <w:t>Investing in our common stock involves a high degree of risk. See “Risk Factors”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“SHC”</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Except as otherwise noted, the number of shares of common stock to be outstanding after the offering is based on 282,899,968 shares of common stock outstanding as of February 24, 2021 and excludes as of such date:</w:t>
      </w:r>
    </w:p>
    <w:p>
      <w:pPr>
        <w:spacing w:after="0" w:line="76" w:lineRule="exact"/>
        <w:rPr>
          <w:sz w:val="20"/>
          <w:szCs w:val="20"/>
          <w:color w:val="auto"/>
        </w:rPr>
      </w:pPr>
    </w:p>
    <w:p>
      <w:pPr>
        <w:ind w:left="1240" w:right="20" w:hanging="415"/>
        <w:spacing w:after="0" w:line="31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2,389,258 shares of common stock issuable upon the exercise of outstanding options as of December 31, 2020, with a weighted average exercise price of $23.00 per share, and 2,475 shares of common stock issuable upon the exercise of outstanding options due to grants and forfeitures subsequent to December 31, 2020, with a weighted-average exercise price of $24.20 per share;</w:t>
      </w:r>
    </w:p>
    <w:p>
      <w:pPr>
        <w:spacing w:after="0" w:line="54" w:lineRule="exact"/>
        <w:rPr>
          <w:rFonts w:ascii="Arial" w:cs="Arial" w:eastAsia="Arial" w:hAnsi="Arial"/>
          <w:sz w:val="16"/>
          <w:szCs w:val="16"/>
          <w:color w:val="auto"/>
        </w:rPr>
      </w:pPr>
    </w:p>
    <w:p>
      <w:pPr>
        <w:ind w:left="1240" w:right="22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768,505 shares issuable pursuant to restricted stock units (“RSUs”) outstanding as of December 31, 2020, and 3,151 shares issuable pursuant to RSUs either granted or forfeited subsequent to December 31, 2020;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24,766,434 shares of common stock reserved for future issuance under our 2020 Omnibus Incentive Plan (the “2020 Plan”).</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following tables present our summary historical consolidated financial and other data. The summary historical consolidated statements of operations data and statements of cash flows data for the years ended December 31, 2020, 2019 and 2018 and the summary historical balance sheet data as of December 31, 2020, December 31, 2019 and December 31, 2018 have been derived from our audited consolidated financial statements incorporated by reference from Sotera Health’s 2020 10-K.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6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color w:val="auto"/>
        </w:rPr>
        <w:t>The following summary consolidated financial data should be read in conjunction with the information contained in “Risk Factors” and “Capitalization” in this prospectus and “Management’s Discussion and Analysis of Financial Condition and Results of Operations” and the consolidated financial statements and related notes thereto incorporated by reference from Sotera Health’s 2020 10-K. Our historical results are not necessarily indicative of our results in any future period.</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Operations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gridSpan w:val="2"/>
            <w:vMerge w:val="restart"/>
          </w:tcPr>
          <w:p>
            <w:pPr>
              <w:ind w:left="180"/>
              <w:spacing w:after="0"/>
              <w:rPr>
                <w:sz w:val="20"/>
                <w:szCs w:val="20"/>
                <w:color w:val="auto"/>
              </w:rPr>
            </w:pPr>
            <w:r>
              <w:rPr>
                <w:rFonts w:ascii="Arial" w:cs="Arial" w:eastAsia="Arial" w:hAnsi="Arial"/>
                <w:sz w:val="14"/>
                <w:szCs w:val="14"/>
                <w:i w:val="1"/>
                <w:iCs w:val="1"/>
                <w:color w:val="auto"/>
              </w:rPr>
              <w:t>(in thousands, except per share amounts)</w:t>
            </w:r>
          </w:p>
        </w:tc>
        <w:tc>
          <w:tcPr>
            <w:tcW w:w="1200" w:type="dxa"/>
            <w:vAlign w:val="bottom"/>
          </w:tcPr>
          <w:p>
            <w:pPr>
              <w:spacing w:after="0"/>
              <w:rPr>
                <w:sz w:val="14"/>
                <w:szCs w:val="14"/>
                <w:color w:val="auto"/>
              </w:rPr>
            </w:pPr>
          </w:p>
        </w:tc>
        <w:tc>
          <w:tcPr>
            <w:tcW w:w="3000" w:type="dxa"/>
            <w:vAlign w:val="bottom"/>
            <w:gridSpan w:val="11"/>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Service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$713,520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673,037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615,510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105,290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130,639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net revenues</w:t>
            </w:r>
          </w:p>
        </w:tc>
        <w:tc>
          <w:tcPr>
            <w:tcW w:w="1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818,158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778,327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746,149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Service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333,359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333,290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326,559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20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41,227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49,606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62,338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1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382,896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388,897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443,572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395,431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357,252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147,480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133,363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80" w:type="dxa"/>
            <w:vAlign w:val="bottom"/>
            <w:gridSpan w:val="3"/>
          </w:tcPr>
          <w:p>
            <w:pPr>
              <w:jc w:val="right"/>
              <w:ind w:right="101"/>
              <w:spacing w:after="0"/>
              <w:rPr>
                <w:sz w:val="20"/>
                <w:szCs w:val="20"/>
                <w:color w:val="auto"/>
              </w:rPr>
            </w:pPr>
            <w:r>
              <w:rPr>
                <w:rFonts w:ascii="Arial" w:cs="Arial" w:eastAsia="Arial" w:hAnsi="Arial"/>
                <w:sz w:val="18"/>
                <w:szCs w:val="18"/>
                <w:color w:val="auto"/>
              </w:rPr>
              <w:t>59,029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58,562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57,975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34,981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1200" w:type="dxa"/>
            <w:vAlign w:val="bottom"/>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211,834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276,405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183,597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143,326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080" w:type="dxa"/>
            <w:vAlign w:val="bottom"/>
            <w:gridSpan w:val="3"/>
          </w:tcPr>
          <w:p>
            <w:pPr>
              <w:jc w:val="right"/>
              <w:ind w:right="101"/>
              <w:spacing w:after="0"/>
              <w:rPr>
                <w:sz w:val="20"/>
                <w:szCs w:val="20"/>
                <w:color w:val="auto"/>
              </w:rPr>
            </w:pPr>
            <w:r>
              <w:rPr>
                <w:rFonts w:ascii="Arial" w:cs="Arial" w:eastAsia="Arial" w:hAnsi="Arial"/>
                <w:sz w:val="18"/>
                <w:szCs w:val="18"/>
                <w:color w:val="auto"/>
              </w:rPr>
              <w:t>44,262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30,168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2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13,075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Gain on sale of Medical Isotopes business</w:t>
            </w:r>
          </w:p>
        </w:tc>
        <w:tc>
          <w:tcPr>
            <w:tcW w:w="12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(95,910)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(9,413)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Income (loss) before income taxes</w:t>
            </w:r>
          </w:p>
        </w:tc>
        <w:tc>
          <w:tcPr>
            <w:tcW w:w="1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19,509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30,098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w:t>
            </w:r>
          </w:p>
        </w:tc>
        <w:tc>
          <w:tcPr>
            <w:tcW w:w="1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(20,425)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Net income (loss) attributable to noncontrolling interests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 attributable to the company</w:t>
            </w:r>
          </w:p>
        </w:tc>
        <w:tc>
          <w:tcPr>
            <w:tcW w:w="1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(38,617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(20,850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2080" w:type="dxa"/>
            <w:vAlign w:val="bottom"/>
            <w:gridSpan w:val="3"/>
          </w:tcPr>
          <w:p>
            <w:pPr>
              <w:jc w:val="right"/>
              <w:ind w:right="41"/>
              <w:spacing w:after="0"/>
              <w:rPr>
                <w:sz w:val="20"/>
                <w:szCs w:val="20"/>
                <w:color w:val="auto"/>
              </w:rPr>
            </w:pPr>
            <w:r>
              <w:rPr>
                <w:rFonts w:ascii="Arial" w:cs="Arial" w:eastAsia="Arial" w:hAnsi="Arial"/>
                <w:sz w:val="18"/>
                <w:szCs w:val="18"/>
                <w:color w:val="auto"/>
              </w:rPr>
              <w:t>$ (17,030)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(12,126)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2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(67,917)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(72,920)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the company</w:t>
            </w:r>
          </w:p>
        </w:tc>
        <w:tc>
          <w:tcPr>
            <w:tcW w:w="2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(38,072)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(5,280)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(72,734)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820" w:type="dxa"/>
            <w:vAlign w:val="bottom"/>
            <w:gridSpan w:val="2"/>
          </w:tcPr>
          <w:p>
            <w:pPr>
              <w:jc w:val="right"/>
              <w:ind w:right="1130"/>
              <w:spacing w:after="0"/>
              <w:rPr>
                <w:sz w:val="20"/>
                <w:szCs w:val="20"/>
                <w:color w:val="auto"/>
              </w:rPr>
            </w:pPr>
            <w:r>
              <w:rPr>
                <w:rFonts w:ascii="Arial" w:cs="Arial" w:eastAsia="Arial" w:hAnsi="Arial"/>
                <w:sz w:val="18"/>
                <w:szCs w:val="18"/>
                <w:color w:val="auto"/>
              </w:rPr>
              <w:t>14</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93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 (continued):</w:t>
            </w: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per share:</w:t>
            </w:r>
          </w:p>
        </w:tc>
        <w:tc>
          <w:tcPr>
            <w:tcW w:w="1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86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237,696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232,400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232,400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cash flow data:</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120,585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149,041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r>
              <w:rPr>
                <w:rFonts w:ascii="Arial" w:cs="Arial" w:eastAsia="Arial" w:hAnsi="Arial"/>
                <w:sz w:val="15"/>
                <w:szCs w:val="15"/>
                <w:color w:val="auto"/>
              </w:rPr>
              <w:t>(a)</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(158,694)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73,432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(126,030)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(191,857)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(b)</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99,124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100,386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(b)</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419,859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379,932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380" w:hanging="422"/>
        <w:spacing w:after="0" w:line="25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purchases of property, plant and equipment of $53,507, $57,257 and 72,613, respectively (which includes Co-60 held at gamma irradiation sites).</w:t>
      </w:r>
    </w:p>
    <w:p>
      <w:pPr>
        <w:spacing w:after="0" w:line="1" w:lineRule="exact"/>
        <w:rPr>
          <w:rFonts w:ascii="Arial" w:cs="Arial" w:eastAsia="Arial" w:hAnsi="Arial"/>
          <w:sz w:val="18"/>
          <w:szCs w:val="18"/>
          <w:color w:val="auto"/>
        </w:rPr>
      </w:pPr>
    </w:p>
    <w:p>
      <w:pPr>
        <w:ind w:left="720" w:right="480" w:hanging="422"/>
        <w:spacing w:after="0" w:line="26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Net Income and Adjusted EBITDA are non-GAAP financial measures. For a definition of Adjusted Net Income and Adjusted EBITDA and a reconciliation to net income (loss), see “—Non-GAAP Financial Measures.”</w:t>
      </w:r>
    </w:p>
    <w:p>
      <w:pPr>
        <w:spacing w:after="0" w:line="20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As of</w:t>
      </w:r>
    </w:p>
    <w:p>
      <w:pPr>
        <w:jc w:val="center"/>
        <w:ind w:left="71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6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2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(as of period end):</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102,447</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62,863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96,272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(a)</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174,417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128,364</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169,488</w:t>
            </w: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2,761,279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2,580,674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2,708,584</w:t>
            </w:r>
          </w:p>
        </w:tc>
        <w:tc>
          <w:tcPr>
            <w:tcW w:w="60" w:type="dxa"/>
            <w:vAlign w:val="bottom"/>
            <w:shd w:val="clear" w:color="auto" w:fill="CCEEFF"/>
          </w:tcPr>
          <w:p>
            <w:pPr>
              <w:spacing w:after="0"/>
              <w:rPr>
                <w:sz w:val="18"/>
                <w:szCs w:val="18"/>
                <w:color w:val="auto"/>
              </w:rPr>
            </w:pPr>
          </w:p>
        </w:tc>
      </w:tr>
      <w:tr>
        <w:trPr>
          <w:trHeight w:val="202"/>
        </w:trPr>
        <w:tc>
          <w:tcPr>
            <w:tcW w:w="6960" w:type="dxa"/>
            <w:vAlign w:val="bottom"/>
          </w:tcPr>
          <w:p>
            <w:pPr>
              <w:spacing w:after="0" w:line="201" w:lineRule="exact"/>
              <w:rPr>
                <w:sz w:val="20"/>
                <w:szCs w:val="20"/>
                <w:color w:val="auto"/>
              </w:rPr>
            </w:pPr>
            <w:r>
              <w:rPr>
                <w:rFonts w:ascii="Arial" w:cs="Arial" w:eastAsia="Arial" w:hAnsi="Arial"/>
                <w:sz w:val="18"/>
                <w:szCs w:val="18"/>
                <w:color w:val="auto"/>
                <w:w w:val="92"/>
              </w:rPr>
              <w:t>Total long-term debt (including current portion, less unamortized debt issuance costs and debt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discounts)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1,824,789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2,817,204</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2,204,906</w:t>
            </w:r>
          </w:p>
        </w:tc>
        <w:tc>
          <w:tcPr>
            <w:tcW w:w="60" w:type="dxa"/>
            <w:vAlign w:val="bottom"/>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2,306,705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3,221,806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2,663,093</w:t>
            </w:r>
          </w:p>
        </w:tc>
        <w:tc>
          <w:tcPr>
            <w:tcW w:w="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Total equity (deficit) attributable to the company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452,302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(642,574)</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44,359</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60" w:type="dxa"/>
            <w:vAlign w:val="bottom"/>
            <w:shd w:val="clear" w:color="auto" w:fill="CCEEFF"/>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Total equity (deficit)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454,574</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(641,132)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45,491</w:t>
            </w:r>
          </w:p>
        </w:tc>
      </w:tr>
    </w:tbl>
    <w:p>
      <w:pPr>
        <w:spacing w:after="0" w:line="147" w:lineRule="exact"/>
        <w:rPr>
          <w:sz w:val="20"/>
          <w:szCs w:val="20"/>
          <w:color w:val="auto"/>
        </w:rPr>
      </w:pPr>
    </w:p>
    <w:p>
      <w:pPr>
        <w:ind w:left="300"/>
        <w:spacing w:after="0"/>
        <w:tabs>
          <w:tab w:leader="none" w:pos="700" w:val="left"/>
        </w:tabs>
        <w:rPr>
          <w:sz w:val="20"/>
          <w:szCs w:val="20"/>
          <w:color w:val="auto"/>
        </w:rPr>
      </w:pPr>
      <w:r>
        <w:rPr>
          <w:rFonts w:ascii="Arial" w:cs="Arial" w:eastAsia="Arial" w:hAnsi="Arial"/>
          <w:sz w:val="18"/>
          <w:szCs w:val="18"/>
          <w:color w:val="auto"/>
        </w:rPr>
        <w:t>(a)</w:t>
        <w:tab/>
        <w:t>Working capital represents current assets less current liabilities.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184"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53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68" w:lineRule="exact"/>
        <w:rPr>
          <w:sz w:val="20"/>
          <w:szCs w:val="20"/>
          <w:color w:val="auto"/>
        </w:rPr>
      </w:pPr>
    </w:p>
    <w:p>
      <w:pPr>
        <w:ind w:left="300" w:right="60" w:firstLine="426"/>
        <w:spacing w:after="0" w:line="286" w:lineRule="auto"/>
        <w:rPr>
          <w:sz w:val="20"/>
          <w:szCs w:val="20"/>
          <w:color w:val="auto"/>
        </w:rPr>
      </w:pPr>
      <w:r>
        <w:rPr>
          <w:rFonts w:ascii="Arial" w:cs="Arial" w:eastAsia="Arial" w:hAnsi="Arial"/>
          <w:sz w:val="17"/>
          <w:szCs w:val="17"/>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exclude:</w:t>
      </w:r>
    </w:p>
    <w:p>
      <w:pPr>
        <w:spacing w:after="0" w:line="71" w:lineRule="exact"/>
        <w:rPr>
          <w:sz w:val="20"/>
          <w:szCs w:val="20"/>
          <w:color w:val="auto"/>
        </w:rPr>
      </w:pPr>
    </w:p>
    <w:p>
      <w:pPr>
        <w:ind w:left="1240" w:right="10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acquiring and integrating businesses, which will continue to be a part of our growth strategy;</w:t>
      </w:r>
    </w:p>
    <w:p>
      <w:pPr>
        <w:spacing w:after="0" w:line="130" w:lineRule="exact"/>
        <w:rPr>
          <w:rFonts w:ascii="Arial" w:cs="Arial" w:eastAsia="Arial" w:hAnsi="Arial"/>
          <w:sz w:val="18"/>
          <w:szCs w:val="18"/>
          <w:color w:val="auto"/>
        </w:rPr>
      </w:pPr>
    </w:p>
    <w:p>
      <w:pPr>
        <w:jc w:val="both"/>
        <w:ind w:left="1240" w:right="30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charges on long-lived assets and intangible assets;</w:t>
      </w:r>
    </w:p>
    <w:p>
      <w:pPr>
        <w:spacing w:after="0" w:line="130" w:lineRule="exact"/>
        <w:rPr>
          <w:rFonts w:ascii="Arial" w:cs="Arial" w:eastAsia="Arial" w:hAnsi="Arial"/>
          <w:sz w:val="18"/>
          <w:szCs w:val="18"/>
          <w:color w:val="auto"/>
        </w:rPr>
      </w:pPr>
    </w:p>
    <w:p>
      <w:pPr>
        <w:ind w:left="1240" w:right="800" w:hanging="415"/>
        <w:spacing w:after="0" w:line="342"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expenses and charges related to the litigation and other activities associated with our ethylene oxide sterilization facilities in Willowbrook, Illinois, Atlanta, Georgia and Santa Teresa, New Mexico, even though that litigation remains ongoing;</w:t>
      </w:r>
    </w:p>
    <w:p>
      <w:pPr>
        <w:spacing w:after="0" w:line="29" w:lineRule="exact"/>
        <w:rPr>
          <w:rFonts w:ascii="Arial" w:cs="Arial" w:eastAsia="Arial" w:hAnsi="Arial"/>
          <w:sz w:val="16"/>
          <w:szCs w:val="16"/>
          <w:color w:val="auto"/>
        </w:rPr>
      </w:pPr>
    </w:p>
    <w:p>
      <w:pPr>
        <w:ind w:left="1240" w:right="12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Adjusted EBITDA, interest expense or the cash requirements necessary to service interest or principal payments on our indebtedness; and</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left="300" w:right="160" w:firstLine="426"/>
        <w:spacing w:after="0" w:line="257" w:lineRule="auto"/>
        <w:rPr>
          <w:sz w:val="20"/>
          <w:szCs w:val="20"/>
          <w:color w:val="auto"/>
        </w:rPr>
      </w:pPr>
      <w:r>
        <w:rPr>
          <w:rFonts w:ascii="Arial" w:cs="Arial" w:eastAsia="Arial" w:hAnsi="Arial"/>
          <w:sz w:val="18"/>
          <w:szCs w:val="18"/>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68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78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(37,491)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(20,425)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80,255</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80,048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79,906</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 and intangible assets</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85,067</w:t>
            </w: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Gain on sale of Medical Isotopes business</w:t>
            </w:r>
            <w:r>
              <w:rPr>
                <w:rFonts w:ascii="Arial" w:cs="Arial" w:eastAsia="Arial" w:hAnsi="Arial"/>
                <w:sz w:val="15"/>
                <w:szCs w:val="15"/>
                <w:color w:val="auto"/>
              </w:rPr>
              <w:t>(b)</w:t>
            </w:r>
          </w:p>
        </w:tc>
        <w:tc>
          <w:tcPr>
            <w:tcW w:w="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(95,910)</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(c)</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10,987</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Capital restructuring bonuses</w:t>
            </w:r>
            <w:r>
              <w:rPr>
                <w:rFonts w:ascii="Arial" w:cs="Arial" w:eastAsia="Arial" w:hAnsi="Arial"/>
                <w:sz w:val="15"/>
                <w:szCs w:val="15"/>
                <w:color w:val="auto"/>
              </w:rPr>
              <w:t>(d)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2,702</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15"/>
                <w:szCs w:val="15"/>
                <w:color w:val="auto"/>
              </w:rPr>
              <w:t>(e)</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15"/>
                <w:szCs w:val="15"/>
                <w:color w:val="auto"/>
              </w:rPr>
              <w:t>(f)</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3,932</w:t>
            </w:r>
          </w:p>
        </w:tc>
        <w:tc>
          <w:tcPr>
            <w:tcW w:w="1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15"/>
                <w:szCs w:val="15"/>
                <w:color w:val="auto"/>
              </w:rPr>
              <w:t>(g)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Plant closure expense</w:t>
            </w:r>
            <w:r>
              <w:rPr>
                <w:rFonts w:ascii="Arial" w:cs="Arial" w:eastAsia="Arial" w:hAnsi="Arial"/>
                <w:sz w:val="15"/>
                <w:szCs w:val="15"/>
                <w:color w:val="auto"/>
              </w:rPr>
              <w:t>(h)</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2,649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15"/>
                <w:szCs w:val="15"/>
                <w:color w:val="auto"/>
              </w:rPr>
              <w:t>(i)</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44,262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15"/>
                <w:szCs w:val="15"/>
                <w:color w:val="auto"/>
              </w:rPr>
              <w:t>(j)</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36,671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15"/>
                <w:szCs w:val="15"/>
                <w:color w:val="auto"/>
              </w:rPr>
              <w:t>(k)</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COVID-19 expenses</w:t>
            </w:r>
            <w:r>
              <w:rPr>
                <w:rFonts w:ascii="Arial" w:cs="Arial" w:eastAsia="Arial" w:hAnsi="Arial"/>
                <w:sz w:val="15"/>
                <w:szCs w:val="15"/>
                <w:color w:val="auto"/>
              </w:rPr>
              <w:t>(l)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benefit associated with pre-tax adjustments</w:t>
            </w:r>
            <w:r>
              <w:rPr>
                <w:rFonts w:ascii="Arial" w:cs="Arial" w:eastAsia="Arial" w:hAnsi="Arial"/>
                <w:sz w:val="15"/>
                <w:szCs w:val="15"/>
                <w:color w:val="auto"/>
              </w:rPr>
              <w:t>(m)</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(43,536)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(24,988)</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215,259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Depreciation</w:t>
            </w:r>
            <w:r>
              <w:rPr>
                <w:rFonts w:ascii="Arial" w:cs="Arial" w:eastAsia="Arial" w:hAnsi="Arial"/>
                <w:sz w:val="15"/>
                <w:szCs w:val="15"/>
                <w:color w:val="auto"/>
              </w:rPr>
              <w:t>(n)</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63,309</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66,671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66,910</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 applicable to Adjusted Net Income</w:t>
            </w:r>
            <w:r>
              <w:rPr>
                <w:rFonts w:ascii="Arial" w:cs="Arial" w:eastAsia="Arial" w:hAnsi="Arial"/>
                <w:sz w:val="15"/>
                <w:szCs w:val="15"/>
                <w:color w:val="auto"/>
              </w:rPr>
              <w:t>(o)</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42,167</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55,146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55,086</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419,859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379,932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340,637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740" w:hanging="422"/>
        <w:spacing w:after="0" w:line="258"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impairment charges related to the decision to not reopen the Willowbrook, Illinois facility in September 2019. For 2018, represents impairment charges associated with the withdrawal of the GA-MURR project.</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gain on the divestiture of the Medical Isotopes business in July 2018.</w:t>
      </w:r>
    </w:p>
    <w:p>
      <w:pPr>
        <w:spacing w:after="0" w:line="9" w:lineRule="exact"/>
        <w:rPr>
          <w:rFonts w:ascii="Arial" w:cs="Arial" w:eastAsia="Arial" w:hAnsi="Arial"/>
          <w:sz w:val="18"/>
          <w:szCs w:val="18"/>
          <w:color w:val="auto"/>
        </w:rPr>
      </w:pPr>
    </w:p>
    <w:p>
      <w:pPr>
        <w:ind w:left="720" w:right="100" w:hanging="422"/>
        <w:spacing w:after="0" w:line="265"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non-cash share-based compensation expense. 2019 also includes $10.0 million of one-time cash share-based compensation expense related to the pre-IPO Class C Units, which vested in the third quarter of 2019. See Note 16. Share-Based Compensation in the notes to our consolidated financial statements incorporated by reference from Sotera Health’s 2020 10-K.</w:t>
      </w:r>
    </w:p>
    <w:p>
      <w:pPr>
        <w:ind w:left="720" w:hanging="422"/>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cash bonuses for members of management relating to the November 2020 IPO and the December 2019 refinancing.</w:t>
      </w:r>
    </w:p>
    <w:p>
      <w:pPr>
        <w:spacing w:after="0" w:line="20" w:lineRule="exact"/>
        <w:rPr>
          <w:rFonts w:ascii="Arial" w:cs="Arial" w:eastAsia="Arial" w:hAnsi="Arial"/>
          <w:sz w:val="17"/>
          <w:szCs w:val="17"/>
          <w:color w:val="auto"/>
        </w:rPr>
      </w:pPr>
    </w:p>
    <w:p>
      <w:pPr>
        <w:jc w:val="both"/>
        <w:ind w:left="720" w:right="540" w:hanging="422"/>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8"/>
          <w:szCs w:val="18"/>
          <w:color w:val="auto"/>
        </w:rPr>
      </w:pPr>
    </w:p>
    <w:p>
      <w:pPr>
        <w:ind w:left="720" w:right="200" w:hanging="422"/>
        <w:spacing w:after="0" w:line="25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04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3304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60" w:hanging="422"/>
        <w:spacing w:after="0" w:line="254"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Nordion and Nelson Labs, including the divestiture of Medical Isotopes, the withdrawal from the GA-MURR project, the Sotera Health rebranding, operating structure realignment and other process enhancement projects.</w:t>
      </w:r>
    </w:p>
    <w:p>
      <w:pPr>
        <w:spacing w:after="0" w:line="2" w:lineRule="exact"/>
        <w:rPr>
          <w:rFonts w:ascii="Arial" w:cs="Arial" w:eastAsia="Arial" w:hAnsi="Arial"/>
          <w:sz w:val="18"/>
          <w:szCs w:val="18"/>
          <w:color w:val="auto"/>
        </w:rPr>
      </w:pPr>
    </w:p>
    <w:p>
      <w:pPr>
        <w:ind w:left="720" w:right="14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w:t>
      </w:r>
    </w:p>
    <w:p>
      <w:pPr>
        <w:jc w:val="both"/>
        <w:ind w:left="720" w:right="220" w:hanging="422"/>
        <w:spacing w:after="0" w:line="265"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expenses incurred in connection with the refinancing of our debt capital structure in December 2019 and paydown of debt with the proceeds from our IPO, including accelerated amortization of prior debt issuance and discount costs, premiums paid in connection with early extinguishment and debt issuance and discount costs incurred for the new debt.</w:t>
      </w:r>
    </w:p>
    <w:p>
      <w:pPr>
        <w:ind w:left="720" w:right="24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professional fees related to litigation associated with our EO sterilization facilities and other related professional fees. See Item 3.” Legal Proceedings” incorporated by reference from Sotera Health’s 2020 10-K.</w:t>
      </w:r>
    </w:p>
    <w:p>
      <w:pPr>
        <w:jc w:val="both"/>
        <w:ind w:left="720" w:right="40" w:hanging="422"/>
        <w:spacing w:after="0" w:line="265"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72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donations to related charitable causes and special bonuses for front-line personnel working on-site during lockdown periods.</w:t>
      </w:r>
    </w:p>
    <w:p>
      <w:pPr>
        <w:ind w:left="720" w:right="16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9" w:lineRule="exact"/>
        <w:rPr>
          <w:rFonts w:ascii="Arial" w:cs="Arial" w:eastAsia="Arial" w:hAnsi="Arial"/>
          <w:sz w:val="18"/>
          <w:szCs w:val="18"/>
          <w:color w:val="auto"/>
        </w:rPr>
      </w:pPr>
    </w:p>
    <w:p>
      <w:pPr>
        <w:ind w:left="720" w:right="40" w:hanging="422"/>
        <w:spacing w:after="0" w:line="26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difference between income tax expense or benefit as determined under U.S. GAAP and the income tax benefit associated with pre-tax adjustments described in footnote (m).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together will the other information included or incorporated by reference in this prospectus before deciding to invest in our common stock, including the risks described under “Risk Factors” in Part I, Item. 1A of Sotera Health’s 2020 10-K.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Company</w:t>
      </w:r>
    </w:p>
    <w:p>
      <w:pPr>
        <w:spacing w:after="0" w:line="121" w:lineRule="exact"/>
        <w:rPr>
          <w:sz w:val="20"/>
          <w:szCs w:val="20"/>
          <w:color w:val="auto"/>
        </w:rPr>
      </w:pPr>
    </w:p>
    <w:p>
      <w:pPr>
        <w:ind w:left="120" w:right="240"/>
        <w:spacing w:after="0" w:line="340" w:lineRule="auto"/>
        <w:rPr>
          <w:sz w:val="20"/>
          <w:szCs w:val="20"/>
          <w:color w:val="auto"/>
        </w:rPr>
      </w:pPr>
      <w:r>
        <w:rPr>
          <w:rFonts w:ascii="Arial" w:cs="Arial" w:eastAsia="Arial" w:hAnsi="Arial"/>
          <w:sz w:val="15"/>
          <w:szCs w:val="15"/>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23"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7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source a substantial portion of our Co-60 supply from three nuclear reactor operators in Canada and Russia under contracts that extend to between 2024 and 2064. See Item 1. “Business—Our Businesses—Nordion—Nuclear Reactor Operators” in Sotera Health’s 2020 10-K, which is incorporated herein by reference.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8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Further, approximately 20% of our supply of Co-60 currently is generated by Russian nuclear reactors. Over the next few years, we expect that there will be periods when, due to planned or unplanned outages and variability in supply from individual reactors, the proportion of our supply from Russian reactors may increase to as much as 50% for a given year. The United States, Canada and the European Union have imposed sanctions against Russian officials and certain Russian companies and individuals. Russia has responded with countermeasures, including limiting the import of certain goods from the United States and other countries. Expanded sanctions could target government-owned operations, including Russian nuclear reactor operators, and could prevent us from doing business with them.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the U.S. government significantly broadens the scope of, or Canada</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or the European Union imposes, sanctions against Russia and prevents the importation of Russian-sourced Co-60 or the Russian government responds with further countersanctions, it may make it generally more difficult to do business with Russian entities. Any sanctions or countermeasures could have a material adverse effect on our business, prospects, financial condition or results of operations.</w:t>
      </w:r>
    </w:p>
    <w:p>
      <w:pPr>
        <w:spacing w:after="0" w:line="16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Any interruptions that we experience with our key suppliers, regarding the availability of Co-60, changes in regulatory requirements regarding the use of Co-60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Industry trends could impact the demand for our products and services and could have a material adverse effect on our business.</w:t>
      </w:r>
    </w:p>
    <w:p>
      <w:pPr>
        <w:spacing w:after="0" w:line="129"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environmental, health and safety regulations or preferences may negatively impact our business.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Federal, state and international authorities regulate the operation of our gamma irradiation and EO processing plants, as well as the operations of our customers. If any of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made proactive, voluntary investments to enhance emissions controls. However, new regulations or changes to existing or expected regulations may require additional investments in new emissions control technology or otherwise increase the cost of our gamma irradiation or EO processing. See related risk factor “—We are subject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negatively impact our revenues, profitability, financial condition or value.” Reconfiguring a gamma irradiation or EO processing plant so that it is suitable for a different sterilization technology, in response to changes in demand or other factors, would require significant capital investment and require us to suspend operations at the affected facility during the conversion. Any of the foregoing could have a material adverse effect on our business, prospects, financial condition or results of operations.</w:t>
      </w:r>
    </w:p>
    <w:p>
      <w:pPr>
        <w:spacing w:after="0" w:line="28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use and disposal of potentially hazardous materials, such as EO and Co-60, may result in accidents or liabilities that materially affect our results of operations.</w:t>
      </w:r>
    </w:p>
    <w:p>
      <w:pPr>
        <w:spacing w:after="0" w:line="6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EO is flammable and potentially explosive. An explosion or fire could occur at the sterilization facilities at which we use EO, including due to an accidental ignition of EO in an uncontrolled environment.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5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Because Co-60 is radioactive, its containment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9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Potentially hazardous materials must be handled and disposed of properly. Accidents involving disposal or handling of these substances, including accidents resulting from employees failing to follow safety protocols, could result in injury to property, the environment and human health,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Any incident at any of our EO or gamma facilities that causes harm to workers or others or the interruption of normal operations at such facility could result in substantial liability to us. We are currently the subject of lawsuits alleging that purported EO emissions from certain of our current and former facilities have resulted in toxicological or health-related impacts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and Co-60 may subject us to future liability claims.”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 provisions, quality assurance programs and the 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9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currently carry pollution liability insurance for all our facilities and related operations and liability insurance, including from third party bodily injury or property damage allegedly arising from the storage, use, transportation or accident involving EO and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ability to increase pollution liability insurance limits or replace any policies upon their expiration without exclusions for claims related to alleged EO exposure may be adversely impacted by claims against us, including current claims alleging that purported EO emissions from certain of our facilities have resulted in toxicological or health-related impacts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27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6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6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health risks associated with the use of EO may subject us to future liability claims and other adverse effects.</w:t>
      </w:r>
    </w:p>
    <w:p>
      <w:pPr>
        <w:spacing w:after="0" w:line="117"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Potential health risks associated with exposure to EO under certain conditions subject us to the risk of liability claims being made against us by workers, contractors and others, including individuals who reside or have resided near our EO sterilization facilities and employees of our customers. Assessments of the potential health risks of exposure to EO have evolved over time. For example, although EO is present in the environment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from a variety of sources and naturally produced by the human body, the U.S. Environmental Protection Agency (“USEPA”) has identified a potential for increased risk of certain cancers from exposure to EO. In 2016, the USEPA published its Integrated Risk Information System toxicity assessment of EO (the “IRIS Assessment”), and in 2018, the USEPA published its most recent National Air Toxics Assessment, which utilized the IRIS Assessment and data collected in 2014, identifying EO as a potential cancer concern in several areas across the country, including areas surrounding our Willowbrook facility and our facilities in Atlanta and Santa Teresa, New Mexico. Another organization has disagreed with aspects of the IRIS Assessment on the carcinogenic potency of EO, and we expect risk assessments related to EO will continue to evolve and be examined. We can give no assurance as to their impact on our business, prospects, financial condition or results of operations.</w:t>
      </w:r>
    </w:p>
    <w:p>
      <w:pPr>
        <w:spacing w:after="0" w:line="17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are currently the subject of tort lawsuits alleging personal injury by purported exposure to emissions and releases of EO from our facilities in Willowbrook and Atlanta. Additionally, we are defendants in a lawsuit by certain employees of a contract sterilization customer in Georgia who allege personal injury by workplace exposure to EO. We are also defendants in lawsuits alleging that our Atlanta facility has devalued and harmed plaintiffs’ use of real properties they own in Smyrna, Georgia and caused other damages. Additional personal injury and property devaluation claims have been threatened. We are also defendants in a lawsuit brought by the State of New Mexico, ex rel. Hector Balderas, Attorney General alleging that emissions of EO from our Santa Teresa facility constitute a public nuisance, have materially contributed to increased health risks suffered by residents in the area, and that injunctive relief should be awarded requiring us to cease any and all uncontrolled emissions or releases of EO from the Santa Teresa facility, including by making certain modifications to sterilization processes at the facility. We deny the allegations and are vigorously defending these claims. See related Risk Factors“—We are currently defending certain litigation, and we are likely to be subject to additional litigation in the future,” Item 3. “Legal Proceedings,” and Note 20. “Commitments and Contingencies” to our consolidated financial statements in Sotera Health’s 2020 10-K, which is incorporated herein by reference. It is likely that we will be subject to other claims by or on behalf of similar groups of plaintiffs in the future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officials of these communities. This publicity may also have other adverse impacts, including damage to our reputation and public pressure against our facilities that may affect our ability to conduct our business.</w:t>
      </w:r>
    </w:p>
    <w:p>
      <w:pPr>
        <w:spacing w:after="0" w:line="16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liability insurance coverage may not be adequate to cover any liabilities arising out of such allegations or remain available to us at acceptable costs. A successful claim brought against us in excess of the insurance coverage then available to us could have a material adverse effect on our business, prospects, financial condition or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defending certain litigation, and we are likely to be subject to additional litigation in the future.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currently the subject of tort lawsuits alleging personal injury by purported exposure to emissions and releases of EO from our facilities in Willowbrook and Atlanta. Additionally, we are defendants in a lawsuit by certain employees of a contract sterilization customer in Georgia who allege personal injury by purported workplace exposure to EO. We are also defendants in lawsuits alleging that our Atlanta facility has devalued and harmed plaintiffs’ use of real properties they own in Smyrna, Georgia and caused other damages. Additional personal injury and property devaluation claims have been threatened. We are also defendants in a lawsuit brought by the State of New Mexico, ex rel. Hector Balderas, Attorney General alleging that emissions of EO</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from our Santa Teresa facility constitute a public nuisance, have materially contributed to increased health risks suffered by residents in the area, and that injunctive relief should be awarded requiring us to cease any and all uncontrolled emissions or releases of EO from the Santa Teresa facility, including by making certain modifications to sterilization processes at the facility. We deny the allegations and are vigorously defending against the claims. However, one or more adverse judgments could result in significant liability for us and have a material adverse effect on our business, financial condition and results of operations. In addition, we have been involved in litigation in Georgia against local officials to allow us to resume operations at our Atlanta facility that had been suspended while we installed enhancements to our EO emissions control systems, as well as to challenge local officials’ unsupported claims of loss of neighboring residential property values in tax assessments. See Item 3. “Legal Proceedings” and Note 20, “Commitments and Contingencies” to our consolidated financial statements in Sotera Health’s 2020 10-K, which is incorporated herein by reference, for more detail on our pending litigation.</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It is likely that we will be subject to other claims in addition to those described above by or on behalf of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78"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Any claim brought against us, regardless of its merits, could be costly to defend and could result in an increase of our insurance premiums and exhaust our available insurance coverage. The financial impact of litigation, particularly class action and mass action lawsuits, is difficult to assess or quantify. Some claims brought against us might not be covered by our insurance policies or might exhaust our available insurance coverage for such occurrences. Furthermore, an insurer might refuse coverage, and even where the claim should be covered by insurance, we have significant self-insured retention amounts, which we would have to pay in full before obtaining any insurance proceeds. To the extent our insurance coverage is inadequate and we are not successful in identifying or purchasing additional coverage for such claims, we would have to pay the amount of any settlement or judgment that is in excess of policy limits. We have reached the per occurrence limit of our insurance coverage for claims related to Willowbrook’s EO emissions due to legal costs associated with such claims and have not yet been and likely will not be successful in identifying or purchasing additional coverage for such claims. If any judgments are rendered against us and are upheld on appeal, we would not have insurance coverage to cover such judgment.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w:t>
      </w:r>
    </w:p>
    <w:p>
      <w:pPr>
        <w:spacing w:after="0" w:line="2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6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If Co-60 source suppliers in other countries, including China, India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7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25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Certain of our long-term contracts include variable price clauses and are subject to market changes, which could have a material adverse effect on our business.</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aggregate cost of our direct materials and energy represents a significant portion of our cost of revenues.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the cost of direct materials or energy to customers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one of these materials or energy could have a material adverse effect on our business, prospects, financial condition or results of operations.</w:t>
      </w:r>
    </w:p>
    <w:p>
      <w:pPr>
        <w:spacing w:after="0" w:line="27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which could require retesting, and which could result in claims of economic or other loss or which could result in personal injury. To the extent we engage in clinical trials or studies, we will be subject to additional regulatory requirements, including those relating to human subject protection, good clinical practices and data privacy. Any actual or perceived failure to meet such requirements may result in regulatory authorities taking action against us or our customers, and we may face claims or be held liable for harm caused to human subjects. We derive limited revenue from government customers and our government contracts may contain additional requirements that may increase our costs of doing business, subject us to additional government scrutiny and expose us to liability for failure to comply with contractual requirements.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8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Our product and professional liability insurance also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296"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23"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research and marketing, transportation, drug enforcement (governing the handling of controlled substances) and agriculture, fish and wildlife. These laws and regulations regulate our use of potentially hazardous materials, such as EO and Co-60, and can require us to carefully manage, control emissions of or limit human exposure to, these materials. For example, Occupational Safety and Health Administration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U.S. Nuclear Regulatory Commission (the “NRC”) and other agencies also require that equipment</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used at our facilities be designed and operated in a manner that is safe. The use of EO for medical device sterilization is regulated by the USEPA under the Federal Insecticide, Fungicide and Rodenticide Act (“FIFRA”) and the Clean Air Act (the “CAA”). Our supplier maintains a FIFRA registration for the EO they sell in the United States that is used to sterilize or reduce the viable microorganisms on a listed group of products, including medical devices, pharmaceutical products, cosmetics, and spice products. The USEPA is in the process of reviewing EO’s FIFRA re-registration eligibility in accordance with the provisions of FIFRA. In November 2020, the USEPA released a draft risk assessment for public comment regarding the re-registration review, stating that mitigation measures are necessary to protect the health of workers at facilities that use EO and surrounding communities. The next step in the FIFRA re-registration process would be to issue a proposed interim decision, which is used to outline the potential risk management options to address any potential risks of concern. As a condition of continued registration, the USEPA is likely to require enhancements to the processes and equipment for use of EO used for the listed applications. The USEPA is also expected to propose updated National Emission Standards for Hazardous Air Pollutants (“NESHAP”) air emission regulations for commercial EO sterilization facilities, which have not yet been published and with which sterilization facilities like ours will be required to comply. We expect to incur capital costs for enhancements to our equipment and to implement process automation and emission control enhancements to comply with these and other changing requirements. If the future regulations differ from our current expectation, they may require additional modifications and capital costs beyond what we have budgeted for, which could be material. Any future failure of the USEPA to allow reregistration of EO would have a material adverse effect on our business, prospects, financial condition or results of operations.</w:t>
      </w:r>
    </w:p>
    <w:p>
      <w:pPr>
        <w:spacing w:after="0" w:line="18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8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Form 483 findings or warning letters or take other administrative or enforcement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 aggregate in the form of letters of credit, surety bonds or other surety. Such potential decommissioning liabilities may be greater than currently estimated if additional irradiation facilities are licensed, unexpected radioactive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contamination of those facilities occur, regulatory requirements change, waste volume increases, or decommissioning cost factors such as waste disposal costs increase.</w:t>
      </w:r>
    </w:p>
    <w:p>
      <w:pPr>
        <w:spacing w:after="0" w:line="170"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See Item 1. “Business—Government Regulation and Environmental Matters” for more information on the regulatory requirements of our businesses.</w:t>
      </w:r>
    </w:p>
    <w:p>
      <w:pPr>
        <w:spacing w:after="0" w:line="17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Compliance with these regulations, as well as our own voluntary programs that relate to maintaining the safety of our employees and facilities as well as the environment,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16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20. Commitments and Contingencies to our consolidated financial statements included in Sotera Health’s 2020 10-K, which is incorporated herein by reference, and related Risk Factor “—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289"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addition to the other risks described or incorporated by reference herein, our operations are subject to business continuity hazards and risks that include explosions, fires, earthquakes, inclement weather and other natural disasters; utility or other mechanical failures; unscheduled downtime; labor difficulties; disruption of communications; terrorist, security breach or other workplace violence event; changes in the use of government-owned reactors, including repurposing nuclear facilities; and pandemics or other public health crises.</w:t>
      </w:r>
    </w:p>
    <w:p>
      <w:pPr>
        <w:spacing w:after="0" w:line="17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related Risk Factor “—We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Further, governmental action may disrupt the operations of our facilities that process potentially hazardous materials. For example, in February 2019 the Illinois Environmental Protection Agency (“IEPA”) issued a seal order temporarily shutting down our sterilization activities at our Willowbrook facility, and in October 2019, county officials ordered our Atlanta facility, the operations of which we had voluntarily suspended at the time, remain closed until county approval is obtained. Although our Atlanta facility was allowed to resume operations under a Temporary Restraining Order imposed on county officials in April 2020, our facility could be forced to close again upon the resolution of related litigation. The occurrence of any of these or other events might disrupt or shut down operations or otherwise adversely impact the production or profitability of a particular facility or our operations as a whole.</w:t>
      </w:r>
    </w:p>
    <w:p>
      <w:pPr>
        <w:spacing w:after="0" w:line="195"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While we maintain insurance policies covering, among other things, physical damage,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COVID-19 pandemic has had and could continue to have adverse effects on our business, financial condition and results of operations, which could be material.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global impact of the COVID-19 pandemic, including the governmental responses, has had a negative effect on the global economy, disrupting the financial markets and creating increasing volatility, and has 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or other currently unforeseen restrictions that could adversely affect our ability to adequately staff and maintain our operations, and those effects could be material. For example, we experienced delayed deliveries at certain locations as a result of governmental travel restrictions enacted in response to the COVID-19 pandemic. We have implemented business continuity planning, including to transition staff off-site to decrease exposure risk and to manage supply chain risk for critical materials, but we cannot guarantee that these measures will be successful. If the COVID-19 outbreak disrupts our supply chain, it could adversely impact our ability to secure supplies for our facilities, which could adversely affect our operations, and those effects could be material. The pandemic and the response thereto, including vaccination efforts, continue to evolve, and we cannot at this time forecast its ultimate duration, severity or impact to our business, our customers or our supply chain. This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negative impact could continue for an extended period of time or more severely impact our financial condition and results of operations, and continued weak or worsening economic conditions could negatively impact consumer demand for our products and services. Future pandemics and public crises could impact our business in a similar or worse manner. See related Risk Factor “—Our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296"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3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growth strategy depends on expanding capacity in Europe, the Americas and Asia, which may include building new facilities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would adversely affect ongoing development, construction and continuing operation of our facilities. Additionally, even when we maintain the necessary licenses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occupy many of our facilities under long-term leases, and we may be unable to renew our leases at the end of their terms.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Many of our facilities, including many of our EO facilities and some of our gamma facilities, are located on leased premises. The terms of leases for our facilities vary in length and expire over a period ranging from 2021 to 2040, most with options to renew for specified periods of time.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28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maintain significant international operations, including operations in China, Brazil, Canada, Mexico, Costa Rica and other countries in Europe and Asia. As a result, we are subject to a number of risks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complications associated with international sales, services and other operations, as well as risks associated with U.S. foreign policy. These include:</w:t>
      </w:r>
    </w:p>
    <w:p>
      <w:pPr>
        <w:spacing w:after="0" w:line="154" w:lineRule="exact"/>
        <w:rPr>
          <w:sz w:val="20"/>
          <w:szCs w:val="20"/>
          <w:color w:val="auto"/>
        </w:rPr>
      </w:pPr>
    </w:p>
    <w:p>
      <w:pPr>
        <w:ind w:left="1080" w:right="2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89"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social and political conditions in countries where we operate, including international and U.S. trade policies and currency exchange rate fluctuations;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and other laws that restrict our ability to use tax credits, offset gains or repatriate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currency restrictions, transfer pricing regulations and adverse tax consequences, which may affect our ability to transfer capital and profits;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inflation, deflation and stagflation in any country in which we have a manufacturing facility;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customers with longer payment cycles than customers in the United States;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or increases in customs duties and other tariffs.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 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Bribery Act extend beyond bribery of foreign public officials and are more onerous than the FCPA in a number of other respects. Any violation of the FCPA, the CFPOA, the U.K. Bribery Act of 2010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9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adversely affected by global and regional economic and political instability.</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 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2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depend upon our key personnel, the loss of whom could adversely affect our operations. If we fail to attract and retain the talent required for our business, our business could be materially harmed.</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depend to a significant degree on our ability to hire and retain highly qualified personnel with expertise in our industries. The loss of services from any of our key personnel may significantly delay or prevent the achievement of our business objectives. Competition for qualified employees in the industries in which we operate is intense. We may not be able to attract and retain these individuals on acceptable terms or at all, and our inability to do so could have a material adverse effect on our business, prospects, financial condition or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are subject to significant regulatory oversight of our import and export operations due to the nature of some of our product offerings.</w:t>
      </w:r>
    </w:p>
    <w:p>
      <w:pPr>
        <w:spacing w:after="0" w:line="14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products are subject to U.S. laws and regulations that may limit, restrict or require a license to import or export (or re-export from other countries). We are also subject to the export and import laws of those foreign jurisdictions in which we operate, sell our products into and from which we source our materials, including Co-60. In addition, if we introduce new products, we may need to obtain licenses or approvals from the United States and other governments to ship them into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 these permits and licenses could delay or prevent us from fulfilling our obligations to our customers, which could harm our business, financial condition or results of operations.</w:t>
      </w:r>
    </w:p>
    <w:p>
      <w:pPr>
        <w:spacing w:after="0" w:line="17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may be subject to system interruptions, cyber security breaches and unauthorized data disclosures.</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ransomware, other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are working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299"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17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52" w:lineRule="exact"/>
        <w:rPr>
          <w:sz w:val="20"/>
          <w:szCs w:val="20"/>
          <w:color w:val="auto"/>
        </w:rPr>
      </w:pPr>
    </w:p>
    <w:p>
      <w:pPr>
        <w:ind w:left="1080" w:right="1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integrate acquired facilities, companies, products, systems or personnel into our existing business, especially with respect to businesses or operations that are outside of the United States;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minimize any potential interruption to our ongoing business;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enter categories and markets in which we may have limited or no prior experience, and ensure compliance with the regulatory requirements for such categories and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expected synergies and obtain the desired financial or strategic benefits;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detect and address any financial or control deficiencies of the acquired company;</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 key relationships with employees, customers, partners and suppliers of acquired companies as well as our own employees, customers, partners and suppliers;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uniform compliance standards, controls, procedures and policies throughout acquired companies.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related Risk Factor “—Our substantial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6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particular, as part of the acquisition by BWXT of our Medical Isotopes business, we lease one of our Canadian facilities to BWXT through July 2038, and BWXT operates under our Canadian Nuclear Safety Commission (“CNSC”) license in an arrangement we expect to continue through 2021. If BWXT fails to comply with CNSC regulations, we could be liable, and although we are indemnified by BWXT for any such failures, such indemnification may be insufficient to cover any liabilities.</w:t>
      </w:r>
    </w:p>
    <w:p>
      <w:pPr>
        <w:spacing w:after="0" w:line="187"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296"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3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Pursuant to the Sarbanes-Oxley Act, we will be required to furnish a report by our management on the effectiveness of our internal control over financial reporting beginning with our filing of an Annual Report on Form 10-K with the SEC for the year ending December 31, 2021. This assessment will need to include disclosure of any material weaknesses identified by our management in our internal control over financial reporting. It is expected that our independent registered public accounting firm will attest to the effectiveness of our internal controls for our annual report for the year ending December 31, 2021. At such time, if we then have a material weakness, we could receive an adverse opinion regarding our internal control over financial reporting from our independent registered accounting firm.</w:t>
      </w:r>
    </w:p>
    <w:p>
      <w:pPr>
        <w:spacing w:after="0" w:line="19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have begun the process to identify and implement actions to improve the effectiveness of our internal control over financial reporting and disclosure controls and procedures. The process of reviewing and improving our internal controls is both costly and challenging. We will need to (i) continue to dedicate internal resources,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91" w:lineRule="auto"/>
        <w:rPr>
          <w:sz w:val="20"/>
          <w:szCs w:val="20"/>
          <w:color w:val="auto"/>
        </w:rPr>
      </w:pPr>
      <w:r>
        <w:rPr>
          <w:rFonts w:ascii="Arial" w:cs="Arial" w:eastAsia="Arial" w:hAnsi="Arial"/>
          <w:sz w:val="16"/>
          <w:szCs w:val="16"/>
          <w:color w:val="auto"/>
        </w:rPr>
        <w:t>including through hiring additional financial and accounting personnel, (ii) potentially engage outside consultants and adopt a detailed work plan to assess and document the adequacy of internal control over financial reporting, (iii) continue steps to improve control processes as appropriate,</w:t>
      </w:r>
    </w:p>
    <w:p>
      <w:pPr>
        <w:ind w:left="120" w:right="20" w:hanging="4"/>
        <w:spacing w:after="0" w:line="255" w:lineRule="auto"/>
        <w:tabs>
          <w:tab w:leader="none" w:pos="4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validate through testing that controls are functioning as documented and (v) implement a continuous reporting and improvement process for internal control over financial reporting. This process may also require substantial attention from our management team, which may negatively impact other matters that are important to our business.</w:t>
      </w:r>
    </w:p>
    <w:p>
      <w:pPr>
        <w:spacing w:after="0" w:line="19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If we identify a material weakness in connection with this ongoing assessment and we fail to remediate these identified material weaknesses within the prescribed period, we will be unable to assert that our internal controls over financial reporting are effective. We cannot be assured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rely on intellectual property rights to maintain our competitive position and third parties may claim that we infringe or misappropriate their intellectual property rights.</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rely on proprietary technology and are dependent on our ability to protect such technology. We rely primarily on trade secrets and non-disclosure and confidentiality arrangements to protect our intellectual property rights, including such rights that relate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46"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62"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 facilities or related to products and services that we may offer to EU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 This is known as the UK GDPR, and it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net losses and may not achieve or maintain profitability in the future.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a history of net operating losses, including a net loss attributable to Sotera Health Company of $38.6 million and $20.9 million for the years ended December 31, 2020 and 2019, respectively. We may not be able to achieve or maintain profitability for the current or any future fiscal year. Our ability to achieve and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indebtedness and the other risks described or incorporated by reference herein, and we may encounter unforeseen expenses, difficulties, complications and delays and other unknown events. As a result, our operations may not achieve profitability in the future and, even if we do achieve profitability, we may not be able to maintain or increase it.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incur impairment charges on our goodwill and other intangible assets with indefinite lives, which could negatively impact our business, financial condition or results of operations.</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are subject to Accounting Standards Codification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in the future, we determine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Unionization efforts and labor regulations in certain countries in which we operate could materially increase our costs or limit our flexibility.</w:t>
      </w:r>
    </w:p>
    <w:p>
      <w:pPr>
        <w:spacing w:after="0" w:line="14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Both of the collective bargaining agreements applicable to Brazilian employees were finalized and certified by the Ministry of Labor in 2017. The collective bargaining agreement applicable to Canadian employees located in Kanata expired on March 31, 2020. Negotiations were postponed during the COVID-19 pandemic and began in December 2020. Failure to renew the agreements on similar terms could result in labor disruptions and/or increased labor costs, which could negatively affect our business and operations.</w:t>
      </w:r>
    </w:p>
    <w:p>
      <w:pPr>
        <w:spacing w:after="0" w:line="29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marijuana (all parts of the cannabis plant other than those parts that are exempt) is a Schedule I controlled substance under federal law. Our activity related to marijuana in the United States is de minimis and has been limited to the irradiation of marijuana for clinical research under Drug Enforcement Administration authorization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or private civil antitrust actions could harm our business, results of operations, financial condition and cash flows.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particular, certain changes established by the Tax Cuts &amp; Jobs Act (“TCJA”), enacted on December 22, 2017, increased our effective tax rate in prior years, including a new income inclusion item for global intangible low-taxed income (“GILTI”) and the transition tax on deemed repatriated earnings of foreign subsidiaries.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the Coronavirus Aid, Relief, and Economic Security Act (the “CARES Act”), enacted on March 27, 2020 in response to the outbreak of COVID-19 and its consequences, introduced substantial changes to the U.S. tax code, the overall impact of which on our business is uncertain. For example, among other changes, the CARES Act increased interest expense deductibility limitations and waived certain limitations on the use of net operating losses, in each case, for certain years prior to 2021.</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Finally, 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cumulative impact of these and other changes in tax law is uncertain and our business and financial condition could be adversely affected.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 and Liquidity</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Our significant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of December 31, 2020, our total indebtedness was approximately $1,863.6 million, all of which is indebtedness of Sotera Health Holdings, LLC (“SHH”) that is guaranteed by the Company and certain of our other subsidiaries. We also had an additional $347.5 million of unutilized capacity under our Revolving Credit Facility (as defined herein) at that date (without giving effect to $63.9 million of letters of credit that were outstanding). See Item 7. Management’s Discussion and Analysis of Financial Condition and Results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Operations – Liquidity and Capital Resources” in Sotera Health’s 2020 10-K, which is incorporated herein by reference.</w:t>
      </w:r>
    </w:p>
    <w:p>
      <w:pPr>
        <w:spacing w:after="0" w:line="22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estimated debt service obligations for the next 12 months are $67.4 million, based on the outstanding principal amount of indebtedness of $1,863.6 million as of December 31, 2020. For the year ended December 31, 2020, our cash flow used for debt service totaled $227.2 million, which includes principal payments of the Term Loan (as defined herein) of $15.9 million and interest payments on our debt of $211.3 million. In November and December 2020, we repaid $341.0 million aggregate principal amount of the Term Loan and redeemed in full all of the $770.0 million aggregate principal amount of outstanding senior secured second-lien notes (“Second Lien Notes”) of SHH. In connection with the redemption of the Second Lien Notes, we paid a $15.4 million early redemption premium. For the year ended December 31, 2020, our cash flows from operating activities totaled $120.6 million, which includes interest paid of $211.3 million. As such, our cash flows from operating activities (before giving effect to the payment of interest) amounted to $331.9 million. For the year ended December 31, 2020, cash payments used to service our debt represented approximately 68% of our net cash flows from operating activities (before giving effect to the payment of interest).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high degree of leverage could have important consequences, including:</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30" w:lineRule="exact"/>
        <w:rPr>
          <w:rFonts w:ascii="Arial" w:cs="Arial" w:eastAsia="Arial" w:hAnsi="Arial"/>
          <w:sz w:val="18"/>
          <w:szCs w:val="18"/>
          <w:color w:val="auto"/>
        </w:rPr>
      </w:pPr>
    </w:p>
    <w:p>
      <w:pPr>
        <w:ind w:left="1080" w:right="54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our indebtedness is at variable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development, debt service requirements, acquisitions and general corporate or other purposes;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disadvantage compared to our competitors that are less highly leveraged;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causing us to pay higher rates if we need to refinance our indebtedness at a time when prevailing market interest rates are unfavorable.</w:t>
      </w:r>
    </w:p>
    <w:p>
      <w:pPr>
        <w:spacing w:after="0" w:line="24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and our subsidiaries may obtain substantial additional indebtedness in the future, subject to the restrictions contained in SHH’s senior secured credit facilities (the “Senior Secured Credit Facilities”) and the indenture governing SHH’s senior secured first-lien notes (the “First Lien Notes”). If new indebtedness is added to our current debt levels, the related risks that we now face could intensify.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net income (loss) and cash flows, including cash available for servicing our indebtedness, will correspondingly decrease. Based on our indebtedness outstanding as of December 31, 2020, and the interest rate under our Term Loan that went into effect on January 21, 2021, a 1% increase in the London Interbank Offering Rate (“LIBOR”) benchmark interest rate would result in an approximately $2.9 million increase in total annual interest expense under our outstanding debt obligations. Refer to Note 10. “Long-Term Debt” to our consolidated financial statements in Sotera Health’s 2020 10-K, which is incorporated herein by reference.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Senior Secured Credit Facilities and the indentures governing the First Lien Notes contain various covenants that limit our ability to engage in specified types of transactions. These covenants limit our ability and our restricted subsidiaries’ ability to, among other things:</w:t>
      </w:r>
    </w:p>
    <w:p>
      <w:pPr>
        <w:spacing w:after="0" w:line="52"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 or issue certain shares of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addition, under certain circumstances we are required to satisfy and maintain specified financial ratios and other financial condition tests under certain covenants in our Senior Secured Credit Facilities and indenture governing the First Lien Notes. See Item 7. “Management’s Discussion and Analysis of Financial Condition and Results of Operations – Liquidity and Capital Resources” in Sotera Health’s 2020 10-K, which is incorporated herein by reference.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6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A breach of any of these covenants could result in a default under each of our Senior Secured Credit Facilities and/or the indenture governing the First Lien Notes. Upon the occurrence of an event of default, the lenders and/or noteholders, as applicable, could elect to declare all amounts outstanding under the Senior Secured Credit Facilities and the First Lien Notes to be immediately due and payable and terminate all commitments to extend further credit. If we were unable to repay those amounts, the lenders under the Senior Secured Credit Facilities or the indentures governing the First Lien Notes could foreclose on the collateral granted to them to secure each such indebtedness. We have pledged substantially all of our assets as collateral under the Senior Secured Credit Facilities and the indentures governing the First Lien Notes.</w:t>
      </w:r>
    </w:p>
    <w:p>
      <w:pPr>
        <w:spacing w:after="0" w:line="2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ability to make timely payments of principal and interest on our debt obligations, including our obligations under the Senior Secured Credit Facilities and the First Lien Notes,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by rating agencies may increase our future borrowing costs and reduce our access to capital.</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300"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16"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Because our Senior Secured Credit Facilities and First Lien Notes bear interest at variable interest rates, based on the London Interbank Offered Rate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However, the ICE Benchmark Administration, in its capacity as administrator of LIBOR, has published a consultation regarding its intention to continue publication of certain LIBOR tenors by 18 months to June 2023. Notwithstanding this possible extension, a joint statement by key regulatory authorities called on banks to cease entering into new contracts that use LIBOR as a reference rate by no later than December 31, 2021, and it is impossible to predict whether LIBOR rates will continue to be published or supported after the end of 2021. If LIBOR ceases to exist or if the methods of calculating LIBOR change from their current form, interest rates on our current or future debt obligations may be adversely affected.</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If a published U.S. dollar LIBOR rate is unavailable, we may be required to substitute an alternative reference rate, such as a different benchmark interest rate or the Secured Overnight Financing Rate (“SOFR”), in lieu of LIBOR under our Senior Secured Credit Facilities and First Lien Notes. The Alternative Reference Rates Committee has proposed SOFR as its recommended alternative to LIBOR, and the Federal Reserve Bank of New York began publishing SOFR rates in April 2018. SOFR is intended to be a broad measure of the cost of borrowing cash overnight that is collateralized by U.S. Treasury securities. However, because SOFR is a broad U.S. Treasury repo financing rate that represents overnight secured funding transactions, it differs fundamentally from LIBOR. For example, SOFR is a secured overnight rate, while LIBOR is an unsecured rate that represents interbank funding over different maturities. In addition, because SOFR is a transaction-based rate, it is backward-looking, whereas LIBOR is forward-looking. Because of these and other differences, there is no assurance that SOFR will perform in the same way as LIBOR would have performed at any time, and there is no guarantee that it is a comparable substitute for LIBOR. SOFR may fail to gain market acceptance. As of January 2021, we amended our Senior Secured Credit Facilities to provide that, under certain circumstances, our benchmark interest rate will automatically shift to be calculated based on SOFR. The interest rates on our First Lien Notes indexed to LIBOR will be determined in a manner that gives due consideration to the then prevailing market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convention for determining a rate of interest for high yield notes in the United States at such time. A change from LIBOR to any of the proposed alternative reference rates could result in interest obligations that are more than or that do not otherwise correlate over time with the payments that would have been made on this debt if U.S. dollar LIBOR were available in its current form. Any of these proposals or consequences could have a material 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2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6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SHH, the borrower under our Senior Secured Credit Facilities and the issuer of our First Lien Notes, has no direct operations and no significant assets other than the equity interests of its subsidiaries. Because it conducts its operations through its operating subsidiaries, SHH depends on those entities to generate the funds necessary to meet its financial obligations, including its required obligations under our Senior Secured Credit Facilities and our First Lien Notes.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would be substantially impaired.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and trading volume of our common stock may be volatile, and you could lose all or part of your investment.</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If the market price of our common stock declines significantly, you may be unable to resell your shares at or above your purchase price, if at all. The market price of our common stock may fluctuate or decline significantly in the future. Some of the factors that could negatively affect our share price or result in fluctuations in the price or trading volume of our common stock include those listed in “—Risks Related to the Company,” “—Risks Related to Our Indebtedness and Liquidity” and the following, some of which are beyond our control:</w:t>
      </w:r>
    </w:p>
    <w:p>
      <w:pPr>
        <w:spacing w:after="0" w:line="77" w:lineRule="exact"/>
        <w:rPr>
          <w:sz w:val="20"/>
          <w:szCs w:val="20"/>
          <w:color w:val="auto"/>
        </w:rPr>
      </w:pPr>
    </w:p>
    <w:p>
      <w:pPr>
        <w:ind w:left="1080" w:right="4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29"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our litigation matters and governmental investigations or additional significant lawsuits or governmental investigations relating to our services or facilities;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or legal developments in the jurisdictions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publicity about us or the industries in which we participate;</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 or in those of our competitors or of companies in the medical device and pharmaceutical industries;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or the perception that such sales may occur;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publication of research reports about the industries in which we participate;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analysts’ estimates, investors’ perceptions, recommendations by securities analysts, our failure to achieve analysts’ estimates or failure of analysts to maintain coverage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companies similar to us;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market conditions and other factors unrelated to our operating performance or the operating performance of our competitors.</w:t>
      </w:r>
    </w:p>
    <w:p>
      <w:pPr>
        <w:spacing w:after="0" w:line="23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62"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future issuance of additional common stock in connection with our incentive plans, acquisitions or otherwise will dilute all other stockholdings.</w:t>
      </w:r>
    </w:p>
    <w:p>
      <w:pPr>
        <w:spacing w:after="0" w:line="15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of February 24, 2021, we had an aggregate of 886,109,800 shares of common stock authorized but unissued that are not currently reserved for issuance under our 2020 Omnibus Incentive Plan (“2020 Plan”), as well as 3,090,232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purchase common stock in this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Future sales of substantial amounts of our common stock in the public market after the lapse of the lock-up agreements and other legal or contractual restrictions on resale discussed herein,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connection with our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stockholders party to the agreement (other than the Sponsors and their affiliates) are subject to contractual restrictions on transfer of shares of our common stock. Those restrictions, however, may be waived at any time by a majority of the members of the compensation committee of the board of directors. See “Certain Relationships and Related Transactions, and Director Independence—Stockholders’ Agreement” in Part III, Item. 13 of Sotera Health’s 2020 10-K, which is incorporated herein by reference.</w:t>
      </w:r>
    </w:p>
    <w:p>
      <w:pPr>
        <w:spacing w:after="0" w:line="17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As of February 24, 2021, we had 282,899,968 shares of common stock outstanding. Of these shares the 53,590,000 shares sold in our IPO are freely tradable, without restriction, in the public market or further registration under the Securities Act, except for any shares held by our affiliates, as that term is defined under Rule 144 of the Securities Act (“Rule 144”), including our directors, executive officers and other affiliates (including the Sponsors).</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Sponsors, our directors, officers and the selling stockholders have entered into lock-up agreements with the underwriters in connection with this offering that restrict their ability to sell or transfer their shares. The lock-up agreements pertaining to this offering will expire 90 days from the date of this prospectus. J.P. Morgan Securities LLC, however, may, in its sole discretion, waive the contractual lock-up prior to the expiration of the lock-up agreements. In addition, holders of 223,005,772 shares of our common stock as of February 24, 2021, including each of our directors and officers, have entered into lock-up agreements with the underwriters of our IPO that restrict their ability to sell or transfer their shares until the expiration of the IPO lock-up agreements on May 18, 2021. J.P. Morgan Securities LLC, however, may, in its sole discretion, waive the contractual lock-up prior to the expiration of the IPO lock-up agreements. In connection with this offering, J.P. Morgan Securities LLC has waived certain lock-up restrictions applicable to the 25,000,000 shares being sold by the selling stockholders in this offering (or up to 28,750,000 shares to the extent the underwriters exercise their option to purchase additional shares). After giving effect to this offering and after the lock-up agreements in connection with the IPO and this offering expire, an additional 198,005,772 shares of common stock will be eligible for sale in the public market, of which approximately 22,000,000 shares are subject to vesting requirements and the transfer restrictions contained in the Stockholders’ Agreement, unless such transfer restrictions are waived by a majority of the members of the compensation committee of the board of directors, as described above. In addition to the approximately 22,000,000 shares, an additional approximately 6,000,000 shares of our outstanding common stock as of February 24, 2021, are not subject to lock-up agreements but are subject to vesting requirements and contractual restrictions on transfer under the terms of our Stockholders’ Agreement.</w:t>
      </w:r>
    </w:p>
    <w:p>
      <w:pPr>
        <w:spacing w:after="0" w:line="17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Further, upon completion of this offering, 183,698,804 shares of our outstanding common stock will be held by directors, executive officers and other affiliates and are subject to volume limitations under Rule 144 under the Securities Act. All of such holders have rights to require us to file registration statements covering their shares or to include their shares in registration statements that we may file for ourselves or our stockholders.</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filed a registration statement on Form S-8 under the Securities Act to register all of the shares of common stock issued or issuable under our 2020 Plan. The shares covered by this registration statement will be eligible for sale in the public markets, subject to Rule 144 limitations applicable to affiliates and any applicable contractual restrictions described above.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sale of shares of common stock being offered hereby and any future sales of securities by any of our stockholders described above could have a material adverse effect on the market price of our common stock.</w:t>
      </w:r>
    </w:p>
    <w:p>
      <w:pPr>
        <w:spacing w:after="0" w:line="170"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57"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Although we do not currently rely on the “controlled company” exemption, if we are a “controlled company” within the meaning of the Nasdaq corporate governance standards we would qualify for exemptions from certain corporate governance requirements.</w:t>
      </w:r>
    </w:p>
    <w:p>
      <w:pPr>
        <w:spacing w:after="0" w:line="3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Because the Sponsors will own a majority of our outstanding common stock following the completion of this offering, we may be considered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9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we conduct an annual performance evaluation of the nominating and corporate governance and compensation committees.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These requirements would not apply to us as long as we remain a “controlled company.” Although we may qualify as a “controlled company” upon completion of this offering, we are not currently relying on this exemption and intend to fully comply with all corporate governance requirements under the Nasdaq corporate governance standards. However, if we were to utilize some or all of these exemptions, you may not have the same protections afforded to stockholders of companies that are subject to all of the Nasdaq corporate governance requirements. The Sponsors’ significant ownership interest could adversely affect investors’ perceptions of our corporate governance. See “Description of Capital Stock—Anti-Takeover Effects of Provisions of Our Amended and Restated Certification of Incorporation, Our Amended and Restated Bylaws and Delaware Law.”</w:t>
      </w:r>
    </w:p>
    <w:p>
      <w:pPr>
        <w:spacing w:after="0" w:line="27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Following the completion of this offering, the Sponsors will own approximately 62.10% of our outstanding common stock, or 60.91% if the underwriters’ option to purchase additional shares is fully exercised. As a result, the Sponsors will own shares sufficient for the majority vote over all matters requiring a stockholder vote. Our Stockholders’ Agreement contains agreements among the parties with respect to certain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purchased their shares at prices substantially below the price at which shares are being sold in this offering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certain losses arising out of any threatened or actual litigation by reason of the fact that the indemnified persons is or was a holder of our common stock or of equity interests in Sotera Health Company. Public stockholders will not benefit from this indemnification provision.</w:t>
      </w:r>
    </w:p>
    <w:p>
      <w:pPr>
        <w:spacing w:after="0" w:line="19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stockholders have the right to engage or invest in the same or similar businesses as us.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26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have increased and are expected to continue to increase our costs and occupy management, and we may be unable to comply with these requirements in a timely or cost-effective manner.</w:t>
      </w:r>
    </w:p>
    <w:p>
      <w:pPr>
        <w:spacing w:after="0" w:line="7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As a public company with shares listed on a U.S. exchange, we need to comply with new laws, regulations and requirements, certain corporate governance provisions of the Sarbanes-Oxley Act, the Dodd-Frank Act, related regulations of the SEC, the requirements of the Nasdaq and other applicable rules and regulations, with which we were not required to comply with as a private company. Complying with these statutes, regulations and requirements will occupy a significant amount of time of our board of directors and management and will significantly increase our legal and financial compliance costs and expenses. We have or are in the process of:</w:t>
      </w:r>
    </w:p>
    <w:p>
      <w:pPr>
        <w:spacing w:after="0" w:line="8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instituting a more comprehensive compliance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rules promulgated by the Nasdaq;</w:t>
      </w:r>
    </w:p>
    <w:p>
      <w:pPr>
        <w:spacing w:after="0" w:line="130" w:lineRule="exact"/>
        <w:rPr>
          <w:rFonts w:ascii="Arial" w:cs="Arial" w:eastAsia="Arial" w:hAnsi="Arial"/>
          <w:sz w:val="18"/>
          <w:szCs w:val="18"/>
          <w:color w:val="auto"/>
        </w:rPr>
      </w:pPr>
    </w:p>
    <w:p>
      <w:pPr>
        <w:ind w:left="5540" w:right="1520" w:hanging="4884"/>
        <w:spacing w:after="0" w:line="449" w:lineRule="auto"/>
        <w:tabs>
          <w:tab w:leader="none" w:pos="10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preparing and distributing periodic public reports in compliance with our obligations under the federal securities laws; 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new internal policies, such as those relating to insider trading;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involving and retaining, to a greater degree, outside counsel and accountants in the above activities.</w:t>
      </w:r>
    </w:p>
    <w:p>
      <w:pPr>
        <w:spacing w:after="0" w:line="33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an “emerging growth company,” as defined in the JOBS Act and may remain an emerging growth company until the earliest of (a) the last day of the fiscal year during which we had total annual gross revenues of $1.07 billion or more, (b) the last day of our fiscal year following the fifth anniversary of this offering, (c) the date on which we have issued more than $1.0 billion in non-convertible debt during the previous three-year period or</w:t>
      </w:r>
    </w:p>
    <w:p>
      <w:pPr>
        <w:spacing w:after="0" w:line="2" w:lineRule="exact"/>
        <w:rPr>
          <w:sz w:val="20"/>
          <w:szCs w:val="20"/>
          <w:color w:val="auto"/>
        </w:rPr>
      </w:pPr>
    </w:p>
    <w:p>
      <w:pPr>
        <w:ind w:left="120" w:right="120" w:hanging="4"/>
        <w:spacing w:after="0" w:line="252"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9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chose to take advantage of this extended transition period and, as a result, we will comply with new or revised accounting standards on the relevant dates on which adoption of such standards is required for private companies or at which time we conclude it is appropriate to avail ourselves of early adoption provisions of applicable standards. Accordingly, our financial statements may not be comparable to companies that comply with public company effective dates, and our stockholders and potential investors may have difficulty in analyzing our operating results by comparing us to such companies.</w:t>
      </w:r>
    </w:p>
    <w:p>
      <w:pPr>
        <w:spacing w:after="0" w:line="300"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1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our Stockholders’ Agreement and Delaware law contain provisions that might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77"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entitled to cast in any annual election of directors or class of directors and with the consent of Warburg Pincus or GTCR, respectively;</w:t>
      </w:r>
    </w:p>
    <w:p>
      <w:pPr>
        <w:spacing w:after="0" w:line="142" w:lineRule="exact"/>
        <w:rPr>
          <w:sz w:val="20"/>
          <w:szCs w:val="20"/>
          <w:color w:val="auto"/>
        </w:rPr>
      </w:pPr>
    </w:p>
    <w:p>
      <w:pPr>
        <w:ind w:left="1080" w:right="300" w:hanging="424"/>
        <w:spacing w:after="0" w:line="25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93"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89"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w:t>
      </w:r>
    </w:p>
    <w:p>
      <w:pPr>
        <w:spacing w:after="0" w:line="92" w:lineRule="exact"/>
        <w:rPr>
          <w:rFonts w:ascii="Arial" w:cs="Arial" w:eastAsia="Arial" w:hAnsi="Arial"/>
          <w:sz w:val="18"/>
          <w:szCs w:val="18"/>
          <w:color w:val="auto"/>
        </w:rPr>
      </w:pPr>
    </w:p>
    <w:p>
      <w:pPr>
        <w:ind w:left="1080" w:right="100" w:hanging="424"/>
        <w:spacing w:after="0" w:line="275"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81" w:lineRule="exact"/>
        <w:rPr>
          <w:rFonts w:ascii="Arial" w:cs="Arial" w:eastAsia="Arial" w:hAnsi="Arial"/>
          <w:sz w:val="17"/>
          <w:szCs w:val="17"/>
          <w:color w:val="auto"/>
        </w:rPr>
      </w:pPr>
    </w:p>
    <w:p>
      <w:pPr>
        <w:ind w:left="1080" w:right="40" w:hanging="424"/>
        <w:spacing w:after="0" w:line="271"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83" w:lineRule="exact"/>
        <w:rPr>
          <w:rFonts w:ascii="Arial" w:cs="Arial" w:eastAsia="Arial" w:hAnsi="Arial"/>
          <w:sz w:val="17"/>
          <w:szCs w:val="17"/>
          <w:color w:val="auto"/>
        </w:rPr>
      </w:pPr>
    </w:p>
    <w:p>
      <w:pPr>
        <w:ind w:left="1080" w:right="6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to issue blank check preferred stock without stockholder approval, which could be used to dilute the stock ownership of a potential hostile acquirer or adopt a stockholder rights plan;</w:t>
      </w:r>
    </w:p>
    <w:p>
      <w:pPr>
        <w:spacing w:after="0" w:line="75"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66"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ability of stockholders to call and bring business before special meetings; provided that for so long as investment funds and entities affiliated with either Warburg Pincus or GTCR, collectively,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beneficially own a majority of our outstanding capital stock, special meetings of our stockholders may be called by the affirmative vote of the holders of a majority of our outstanding voting stock; and</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the forum to Delaware or Federal Court for certain litigation against us.</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w:t>
      </w:r>
    </w:p>
    <w:p>
      <w:pPr>
        <w:spacing w:after="0" w:line="18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These provisions might discourage, delay or prevent a change in control of our company or a change in our management. For example, because investment funds and entities affiliated with either Warburg Pincus or GTCR together will own a majority of the voting power of our common stock upon the completion of this offering,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2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7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86" w:lineRule="auto"/>
        <w:tabs>
          <w:tab w:leader="none" w:pos="3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6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 and, consequently, your ability to achieve a return on your investment will depend on appreciation in the price of our common stock.</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and the First Lien Notes. As a result, capital appreciation, if any, of our common stock will be the sole source of potential gain for the foreseeable future, and stockholders will have to sell some or all of their common stock holdings to generate cash flow from their investment. See “Dividend Policy.”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Some of the statements included or incorporated by reference in this prospectus contains forward-looking statements that reflect our plans, beliefs, expectations and current views with respect to, among other things, future events and financial performance.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70" w:lineRule="exact"/>
        <w:rPr>
          <w:sz w:val="20"/>
          <w:szCs w:val="20"/>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disruption in the availability of, or increases in the price of, EO, Co-60 or our other direct materials, services and supplies, including as a result of current geopolitical instability arising from U.S. relations with Russia and related sanctions;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changes in environmental, health and safety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accidents resulting from the safety risks associated with the use and disposal of potentially hazardous materials such as EO and Co-60;</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accidents resulting from the safety risks associated with the transportation of potentially hazardous materials such as EO and Co-60;</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claims relating to health risks associated with the use of EO and Co-60;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current and future legal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intensity of competition we face;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market changes that impact our long-term supply contracts with variable price clauses;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allegations of our failure to properly perform our services and any potential product liability claims, recalls, penalties and reputational harm;</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regulatory requirements to which we are subject, and any failures to receive or maintain, or delays in receiving, required clearance or approvals;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 including our reliance on the use and sale of products and services from a single location;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and build new facilities in a timely and cost-effective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renew the long-term leases for our facilities at the end of their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instability in global and regional economic and political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retain key personnel and attract talent;</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significant regulatory oversight to which our import and export operations are subject, and any failure to comply with applicable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cyber security breaches and data leaks as a result of our dependence on information technology systems;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risks of pursuing strategic transactions, including acquisitions, and our ability to find suitable acquisition targets or integrate strategic acquisitions successfully into our business;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implement effective internal controls over financial reporting;</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privacy and security laws and regulations to which we are subject, and any ineffective compliance efforts with such laws and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unionization efforts and labor regulations in certain countries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variety of laws involving the cannabis industry to which we are subject, and any failure to comply with those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of government or private civil antitrust actions;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substantial leverage could adversely affect our ability to raise additional capital, limit our ability to react to changes in the economy or our industry and prevent us from meeting our obligations under our existing and future indebtedness;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sufficient cash flows or access sufficient additional capital to meet our debt obligations or to fund our other liquidity needs;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other risks described in the “Risk Factors” section of this prospectus and in Sotera Health’s 2020 10-K, which is incorporated herein by reference.</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the selling stockholders, the underwriters or any other person that the future plans, estimates or expectations contemplated by us will be achieved.</w:t>
      </w:r>
    </w:p>
    <w:p>
      <w:pPr>
        <w:spacing w:after="0" w:line="15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You should carefully consider the “Risk Factors” included or incorporated by reference herein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filing the registration statement of which this prospectus is a part to permit holders of the shares of our common stock included in the section entitled “Principal and Selling Stockholders” to resell such shares. The selling stockholders will receive all of the net proceeds from the sale of shares of common stock in this offering. We are not selling any shares of common stock under this prospectus and will not receive any proceeds from the sale of shares by the selling stockholders or if the underwriters exercise their option to purchase additional shares.</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32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do not currently expect to pay any dividends on our common stock. Instead, we intend to use any future earnings for the operation and growth of our business and the repayment of indebtedness.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 See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7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For a discussion of the application of withholding taxes on dividends, see “Material U.S. Federal Income Tax Considerations for Non-U.S. Holders.”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9"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2020.</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You should read the following table in conjunction with the sections titled “Prospectus Summary—Summary Consolidated Financial Data” and “Use of Proceeds” in this prospectus, as well as “Management’s Discussion and Analysis of Financial Condition and Results of Operations” and our financial statements and related notes included in Sotera Health’s 2020 10-K, which is incorporated herein by reference.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w w:val="96"/>
              </w:rPr>
              <w:t>As of December 31, 2020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ind w:left="440"/>
              <w:spacing w:after="0"/>
              <w:rPr>
                <w:sz w:val="20"/>
                <w:szCs w:val="20"/>
                <w:color w:val="auto"/>
              </w:rPr>
            </w:pPr>
            <w:r>
              <w:rPr>
                <w:rFonts w:ascii="Arial" w:cs="Arial" w:eastAsia="Arial" w:hAnsi="Arial"/>
                <w:sz w:val="18"/>
                <w:szCs w:val="18"/>
                <w:color w:val="auto"/>
              </w:rPr>
              <w:t>Long-term debt, including current portion:</w:t>
            </w: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Revolving credit facility</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tcPr>
          <w:p>
            <w:pPr>
              <w:ind w:left="360"/>
              <w:spacing w:after="0"/>
              <w:rPr>
                <w:sz w:val="20"/>
                <w:szCs w:val="20"/>
                <w:color w:val="auto"/>
              </w:rPr>
            </w:pPr>
            <w:r>
              <w:rPr>
                <w:rFonts w:ascii="Arial" w:cs="Arial" w:eastAsia="Arial" w:hAnsi="Arial"/>
                <w:sz w:val="18"/>
                <w:szCs w:val="18"/>
                <w:color w:val="auto"/>
              </w:rPr>
              <w:t>Term Loan, due 2026</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1,763,100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First Lien Notes, due 2026</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Unamortized debt issuance costs and debt discounts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(38,761)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rPr>
              <w:t>Total debt</w:t>
            </w:r>
          </w:p>
        </w:tc>
        <w:tc>
          <w:tcPr>
            <w:tcW w:w="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76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9"/>
              </w:rPr>
              <w:t>Common stock, with $0.01 par value per share, 1,200,000 shares authorized, 285,990 shares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760" w:type="dxa"/>
            <w:vAlign w:val="bottom"/>
            <w:gridSpan w:val="2"/>
          </w:tcPr>
          <w:p>
            <w:pPr>
              <w:ind w:left="540"/>
              <w:spacing w:after="0"/>
              <w:rPr>
                <w:sz w:val="20"/>
                <w:szCs w:val="20"/>
                <w:color w:val="auto"/>
              </w:rPr>
            </w:pPr>
            <w:r>
              <w:rPr>
                <w:rFonts w:ascii="Arial" w:cs="Arial" w:eastAsia="Arial" w:hAnsi="Arial"/>
                <w:sz w:val="18"/>
                <w:szCs w:val="18"/>
                <w:color w:val="auto"/>
              </w:rPr>
              <w:t>issued and 283,248 shares outstanding</w:t>
            </w:r>
            <w:r>
              <w:rPr>
                <w:rFonts w:ascii="Arial" w:cs="Arial" w:eastAsia="Arial" w:hAnsi="Arial"/>
                <w:sz w:val="15"/>
                <w:szCs w:val="15"/>
                <w:color w:val="auto"/>
              </w:rPr>
              <w:t>(a)</w:t>
            </w: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2,860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shares - at cost (2,742 shares)</w:t>
            </w:r>
            <w:r>
              <w:rPr>
                <w:rFonts w:ascii="Arial" w:cs="Arial" w:eastAsia="Arial" w:hAnsi="Arial"/>
                <w:sz w:val="15"/>
                <w:szCs w:val="15"/>
                <w:color w:val="auto"/>
              </w:rPr>
              <w:t>(a)</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1,166,412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deficit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(589,128)</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7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(93,842)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equity attributable to the company</w:t>
            </w:r>
          </w:p>
        </w:tc>
        <w:tc>
          <w:tcPr>
            <w:tcW w:w="7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rPr>
              <w:t>Noncontrolling interests</w:t>
            </w:r>
          </w:p>
        </w:tc>
        <w:tc>
          <w:tcPr>
            <w:tcW w:w="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equity</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980" w:type="dxa"/>
            <w:vAlign w:val="bottom"/>
          </w:tcPr>
          <w:p>
            <w:pPr>
              <w:ind w:left="300"/>
              <w:spacing w:after="0"/>
              <w:rPr>
                <w:sz w:val="20"/>
                <w:szCs w:val="20"/>
                <w:color w:val="auto"/>
              </w:rPr>
            </w:pPr>
            <w:r>
              <w:rPr>
                <w:rFonts w:ascii="Arial" w:cs="Arial" w:eastAsia="Arial" w:hAnsi="Arial"/>
                <w:sz w:val="18"/>
                <w:szCs w:val="18"/>
                <w:color w:val="auto"/>
              </w:rPr>
              <w:t>Total capitalization</w:t>
            </w:r>
          </w:p>
        </w:tc>
        <w:tc>
          <w:tcPr>
            <w:tcW w:w="7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2,279,363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Numbers in table may not foot, due to rounding.</w:t>
      </w:r>
    </w:p>
    <w:p>
      <w:pPr>
        <w:spacing w:after="0" w:line="131" w:lineRule="exact"/>
        <w:rPr>
          <w:sz w:val="20"/>
          <w:szCs w:val="20"/>
          <w:color w:val="auto"/>
        </w:rPr>
      </w:pPr>
    </w:p>
    <w:p>
      <w:pPr>
        <w:ind w:left="540" w:right="260" w:hanging="424"/>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January 1, 2021 and February 15, 2021, 323,785 and 24,197 shares of our common stock outstanding, respectively, were forfeited to the Company, resulting in a corresponding increase in treasury shares.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880"/>
          </w:cols>
          <w:pgMar w:left="320" w:top="459" w:right="6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24, 2021 by:</w:t>
      </w:r>
    </w:p>
    <w:p>
      <w:pPr>
        <w:spacing w:after="0" w:line="131"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outstanding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of the executive officers and directors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selling stockholders.</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282,899,968 shares of common stock outstanding, as of February 24, 2021. For purposes of calculating each person’s percentage ownership, common stock issuable pursuant to options exercisable within 60 days of February 24, 2021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otherwise indicated in the table or footnotes below, the address for each beneficial owner is c/o Sotera Health, 9100 South Hills Blvd, Suite 300 Broadview Heights, Ohio 44147.</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60" w:type="dxa"/>
            <w:vAlign w:val="bottom"/>
          </w:tcPr>
          <w:p>
            <w:pPr>
              <w:spacing w:after="0"/>
              <w:rPr>
                <w:sz w:val="13"/>
                <w:szCs w:val="13"/>
                <w:color w:val="auto"/>
              </w:rPr>
            </w:pPr>
          </w:p>
        </w:tc>
        <w:tc>
          <w:tcPr>
            <w:tcW w:w="1380" w:type="dxa"/>
            <w:vAlign w:val="bottom"/>
            <w:gridSpan w:val="5"/>
            <w:vMerge w:val="restart"/>
          </w:tcPr>
          <w:p>
            <w:pPr>
              <w:jc w:val="center"/>
              <w:ind w:right="240"/>
              <w:spacing w:after="0"/>
              <w:rPr>
                <w:sz w:val="20"/>
                <w:szCs w:val="20"/>
                <w:color w:val="auto"/>
              </w:rPr>
            </w:pPr>
            <w:r>
              <w:rPr>
                <w:rFonts w:ascii="Arial" w:cs="Arial" w:eastAsia="Arial" w:hAnsi="Arial"/>
                <w:sz w:val="13"/>
                <w:szCs w:val="13"/>
                <w:b w:val="1"/>
                <w:bCs w:val="1"/>
                <w:color w:val="auto"/>
                <w:w w:val="85"/>
              </w:rPr>
              <w:t>Shares Beneficially</w:t>
            </w: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rPr>
              <w:t>Shares Beneficially Owned After the Offering</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66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38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Owned Prior to</w:t>
            </w:r>
          </w:p>
        </w:tc>
        <w:tc>
          <w:tcPr>
            <w:tcW w:w="2480" w:type="dxa"/>
            <w:vAlign w:val="bottom"/>
            <w:gridSpan w:val="7"/>
          </w:tcPr>
          <w:p>
            <w:pPr>
              <w:jc w:val="right"/>
              <w:ind w:right="280"/>
              <w:spacing w:after="0" w:line="135" w:lineRule="exact"/>
              <w:rPr>
                <w:sz w:val="20"/>
                <w:szCs w:val="20"/>
                <w:color w:val="auto"/>
              </w:rPr>
            </w:pPr>
            <w:r>
              <w:rPr>
                <w:rFonts w:ascii="Arial" w:cs="Arial" w:eastAsia="Arial" w:hAnsi="Arial"/>
                <w:sz w:val="13"/>
                <w:szCs w:val="13"/>
                <w:b w:val="1"/>
                <w:bCs w:val="1"/>
                <w:color w:val="auto"/>
                <w:w w:val="89"/>
              </w:rPr>
              <w:t>Assuming No Exercise of Underwriters’</w:t>
            </w:r>
          </w:p>
        </w:tc>
        <w:tc>
          <w:tcPr>
            <w:tcW w:w="1960" w:type="dxa"/>
            <w:vAlign w:val="bottom"/>
            <w:gridSpan w:val="4"/>
          </w:tcPr>
          <w:p>
            <w:pPr>
              <w:jc w:val="center"/>
              <w:ind w:left="311"/>
              <w:spacing w:after="0" w:line="135" w:lineRule="exact"/>
              <w:rPr>
                <w:sz w:val="20"/>
                <w:szCs w:val="20"/>
                <w:color w:val="auto"/>
              </w:rPr>
            </w:pPr>
            <w:r>
              <w:rPr>
                <w:rFonts w:ascii="Arial" w:cs="Arial" w:eastAsia="Arial" w:hAnsi="Arial"/>
                <w:sz w:val="13"/>
                <w:szCs w:val="13"/>
                <w:b w:val="1"/>
                <w:bCs w:val="1"/>
                <w:color w:val="auto"/>
                <w:w w:val="85"/>
              </w:rPr>
              <w:t>Assuming Full Exercise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90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3"/>
                <w:szCs w:val="13"/>
                <w:b w:val="1"/>
                <w:bCs w:val="1"/>
                <w:color w:val="auto"/>
                <w:w w:val="89"/>
              </w:rPr>
              <w:t>the Offering</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3"/>
                <w:szCs w:val="13"/>
                <w:b w:val="1"/>
                <w:bCs w:val="1"/>
                <w:color w:val="auto"/>
                <w:w w:val="90"/>
              </w:rPr>
              <w:t>Option</w:t>
            </w: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3"/>
                <w:szCs w:val="13"/>
                <w:b w:val="1"/>
                <w:bCs w:val="1"/>
                <w:color w:val="auto"/>
                <w:w w:val="89"/>
              </w:rPr>
              <w:t>of Underwriters’ Option</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89"/>
              </w:rPr>
              <w:t>Shares</w:t>
            </w:r>
          </w:p>
        </w:tc>
        <w:tc>
          <w:tcPr>
            <w:tcW w:w="60" w:type="dxa"/>
            <w:vAlign w:val="bottom"/>
          </w:tcPr>
          <w:p>
            <w:pPr>
              <w:spacing w:after="0"/>
              <w:rPr>
                <w:sz w:val="9"/>
                <w:szCs w:val="9"/>
                <w:color w:val="auto"/>
              </w:rPr>
            </w:pPr>
          </w:p>
        </w:tc>
        <w:tc>
          <w:tcPr>
            <w:tcW w:w="9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6"/>
              </w:rPr>
              <w:t>Number</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89"/>
              </w:rPr>
              <w:t>Shares</w:t>
            </w:r>
          </w:p>
        </w:tc>
        <w:tc>
          <w:tcPr>
            <w:tcW w:w="92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9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Number of</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Offered</w:t>
            </w:r>
          </w:p>
        </w:tc>
        <w:tc>
          <w:tcPr>
            <w:tcW w:w="6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0"/>
              </w:rPr>
              <w:t>of Shares</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Offered</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of Shares</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Arial" w:cs="Arial" w:eastAsia="Arial" w:hAnsi="Arial"/>
                <w:sz w:val="13"/>
                <w:szCs w:val="13"/>
                <w:b w:val="1"/>
                <w:bCs w:val="1"/>
                <w:color w:val="auto"/>
              </w:rPr>
              <w:t>Name of Beneficial Owner</w:t>
            </w:r>
            <w:r>
              <w:rPr>
                <w:rFonts w:ascii="Arial" w:cs="Arial" w:eastAsia="Arial" w:hAnsi="Arial"/>
                <w:sz w:val="8"/>
                <w:szCs w:val="8"/>
                <w:b w:val="1"/>
                <w:bCs w:val="1"/>
                <w:color w:val="auto"/>
              </w:rPr>
              <w:t>(1)</w:t>
            </w:r>
          </w:p>
        </w:tc>
        <w:tc>
          <w:tcPr>
            <w:tcW w:w="9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5"/>
              </w:rPr>
              <w:t>Shares Held</w:t>
            </w:r>
          </w:p>
        </w:tc>
        <w:tc>
          <w:tcPr>
            <w:tcW w:w="260" w:type="dxa"/>
            <w:vAlign w:val="bottom"/>
          </w:tcPr>
          <w:p>
            <w:pPr>
              <w:jc w:val="right"/>
              <w:ind w:right="29"/>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Hereby</w:t>
            </w:r>
          </w:p>
        </w:tc>
        <w:tc>
          <w:tcPr>
            <w:tcW w:w="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Held</w:t>
            </w:r>
          </w:p>
        </w:tc>
        <w:tc>
          <w:tcPr>
            <w:tcW w:w="380" w:type="dxa"/>
            <w:vAlign w:val="bottom"/>
          </w:tcPr>
          <w:p>
            <w:pPr>
              <w:jc w:val="right"/>
              <w:ind w:right="4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Hereby</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Held</w:t>
            </w:r>
          </w:p>
        </w:tc>
        <w:tc>
          <w:tcPr>
            <w:tcW w:w="360" w:type="dxa"/>
            <w:vAlign w:val="bottom"/>
          </w:tcPr>
          <w:p>
            <w:pPr>
              <w:jc w:val="right"/>
              <w:ind w:right="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5% Stockholders:</w:t>
            </w: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ind w:left="280"/>
              <w:spacing w:after="0" w:line="149" w:lineRule="exact"/>
              <w:rPr>
                <w:sz w:val="20"/>
                <w:szCs w:val="20"/>
                <w:color w:val="auto"/>
              </w:rPr>
            </w:pPr>
            <w:r>
              <w:rPr>
                <w:rFonts w:ascii="Arial" w:cs="Arial" w:eastAsia="Arial" w:hAnsi="Arial"/>
                <w:sz w:val="14"/>
                <w:szCs w:val="14"/>
                <w:color w:val="auto"/>
              </w:rPr>
              <w:t>Investment funds and entities affiliated with Warburg Pincus</w:t>
            </w:r>
            <w:r>
              <w:rPr>
                <w:rFonts w:ascii="Arial" w:cs="Arial" w:eastAsia="Arial" w:hAnsi="Arial"/>
                <w:sz w:val="12"/>
                <w:szCs w:val="12"/>
                <w:color w:val="auto"/>
              </w:rPr>
              <w:t>(2)</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118,929,897</w:t>
            </w:r>
          </w:p>
        </w:tc>
        <w:tc>
          <w:tcPr>
            <w:tcW w:w="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42.0%</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13,512,582</w:t>
            </w:r>
            <w:r>
              <w:rPr>
                <w:rFonts w:ascii="Arial" w:cs="Arial" w:eastAsia="Arial" w:hAnsi="Arial"/>
                <w:sz w:val="12"/>
                <w:szCs w:val="12"/>
                <w:color w:val="auto"/>
                <w:w w:val="94"/>
              </w:rPr>
              <w:t>(13)</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105,417,315</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37.26%</w:t>
            </w:r>
          </w:p>
        </w:tc>
        <w:tc>
          <w:tcPr>
            <w:tcW w:w="19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w w:val="99"/>
              </w:rPr>
              <w:t>15,539,471</w:t>
            </w:r>
            <w:r>
              <w:rPr>
                <w:rFonts w:ascii="Arial" w:cs="Arial" w:eastAsia="Arial" w:hAnsi="Arial"/>
                <w:sz w:val="12"/>
                <w:szCs w:val="12"/>
                <w:color w:val="auto"/>
                <w:w w:val="99"/>
              </w:rPr>
              <w:t>(13)</w:t>
            </w:r>
            <w:r>
              <w:rPr>
                <w:rFonts w:ascii="Arial" w:cs="Arial" w:eastAsia="Arial" w:hAnsi="Arial"/>
                <w:sz w:val="14"/>
                <w:szCs w:val="14"/>
                <w:color w:val="auto"/>
                <w:w w:val="99"/>
              </w:rPr>
              <w:t xml:space="preserve">   103,390,426</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36.55%</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Investment funds and entities affiliated with GTCR</w:t>
            </w:r>
            <w:r>
              <w:rPr>
                <w:rFonts w:ascii="Arial" w:cs="Arial" w:eastAsia="Arial" w:hAnsi="Arial"/>
                <w:sz w:val="12"/>
                <w:szCs w:val="12"/>
                <w:color w:val="auto"/>
              </w:rPr>
              <w:t>(3)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79,286,597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28.0%</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9,008,388</w:t>
            </w:r>
            <w:r>
              <w:rPr>
                <w:rFonts w:ascii="Arial" w:cs="Arial" w:eastAsia="Arial" w:hAnsi="Arial"/>
                <w:sz w:val="12"/>
                <w:szCs w:val="12"/>
                <w:color w:val="auto"/>
              </w:rPr>
              <w:t>(14)</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70,278,209</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24.84%</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10,359,647</w:t>
            </w:r>
            <w:r>
              <w:rPr>
                <w:rFonts w:ascii="Arial" w:cs="Arial" w:eastAsia="Arial" w:hAnsi="Arial"/>
                <w:sz w:val="12"/>
                <w:szCs w:val="12"/>
                <w:color w:val="auto"/>
                <w:w w:val="96"/>
              </w:rPr>
              <w:t>(14)</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68,926,950</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24.36%</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Arial" w:cs="Arial" w:eastAsia="Arial" w:hAnsi="Arial"/>
                <w:sz w:val="14"/>
                <w:szCs w:val="14"/>
                <w:b w:val="1"/>
                <w:bCs w:val="1"/>
                <w:color w:val="auto"/>
              </w:rPr>
              <w:t>Named Executive Officers and Directors: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Michael B. Petras, Jr.</w:t>
            </w:r>
            <w:r>
              <w:rPr>
                <w:rFonts w:ascii="Arial" w:cs="Arial" w:eastAsia="Arial" w:hAnsi="Arial"/>
                <w:sz w:val="12"/>
                <w:szCs w:val="12"/>
                <w:color w:val="auto"/>
              </w:rPr>
              <w:t>(4)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7,194,624</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817,439</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6,377,185</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940,055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6,254,569</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4660" w:type="dxa"/>
            <w:vAlign w:val="bottom"/>
          </w:tcPr>
          <w:p>
            <w:pPr>
              <w:ind w:left="280"/>
              <w:spacing w:after="0" w:line="149" w:lineRule="exact"/>
              <w:rPr>
                <w:sz w:val="20"/>
                <w:szCs w:val="20"/>
                <w:color w:val="auto"/>
              </w:rPr>
            </w:pPr>
            <w:r>
              <w:rPr>
                <w:rFonts w:ascii="Arial" w:cs="Arial" w:eastAsia="Arial" w:hAnsi="Arial"/>
                <w:sz w:val="14"/>
                <w:szCs w:val="14"/>
                <w:color w:val="auto"/>
              </w:rPr>
              <w:t>Scott J. Leffler</w:t>
            </w:r>
            <w:r>
              <w:rPr>
                <w:rFonts w:ascii="Arial" w:cs="Arial" w:eastAsia="Arial" w:hAnsi="Arial"/>
                <w:sz w:val="12"/>
                <w:szCs w:val="12"/>
                <w:color w:val="auto"/>
              </w:rPr>
              <w:t>(5)</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652,927</w:t>
            </w:r>
          </w:p>
        </w:tc>
        <w:tc>
          <w:tcPr>
            <w:tcW w:w="4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652,927</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652,927</w:t>
            </w: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Michael P. Rutz</w:t>
            </w:r>
            <w:r>
              <w:rPr>
                <w:rFonts w:ascii="Arial" w:cs="Arial" w:eastAsia="Arial" w:hAnsi="Arial"/>
                <w:sz w:val="12"/>
                <w:szCs w:val="12"/>
                <w:color w:val="auto"/>
              </w:rPr>
              <w:t>(6)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594,957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594,957</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594,957</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280"/>
              <w:spacing w:after="0" w:line="149" w:lineRule="exact"/>
              <w:rPr>
                <w:sz w:val="20"/>
                <w:szCs w:val="20"/>
                <w:color w:val="auto"/>
              </w:rPr>
            </w:pPr>
            <w:r>
              <w:rPr>
                <w:rFonts w:ascii="Arial" w:cs="Arial" w:eastAsia="Arial" w:hAnsi="Arial"/>
                <w:sz w:val="14"/>
                <w:szCs w:val="14"/>
                <w:color w:val="auto"/>
              </w:rPr>
              <w:t>Ruoxi Chen</w:t>
            </w:r>
            <w:r>
              <w:rPr>
                <w:rFonts w:ascii="Arial" w:cs="Arial" w:eastAsia="Arial" w:hAnsi="Arial"/>
                <w:sz w:val="12"/>
                <w:szCs w:val="12"/>
                <w:color w:val="auto"/>
              </w:rPr>
              <w:t>(7)</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118,929,897</w:t>
            </w:r>
          </w:p>
        </w:tc>
        <w:tc>
          <w:tcPr>
            <w:tcW w:w="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42.0%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13,512,582</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105,417,315</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37.26%</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15,539,472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103,390,425</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36.55%</w:t>
            </w: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Sean L. Cunningham</w:t>
            </w:r>
            <w:r>
              <w:rPr>
                <w:rFonts w:ascii="Arial" w:cs="Arial" w:eastAsia="Arial" w:hAnsi="Arial"/>
                <w:sz w:val="12"/>
                <w:szCs w:val="12"/>
                <w:color w:val="auto"/>
              </w:rPr>
              <w:t>(3)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79,286,597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28.0%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9,008,388</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70,278,209</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24.84%</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10,359,647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68,926,950</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24.36%</w:t>
            </w:r>
          </w:p>
        </w:tc>
        <w:tc>
          <w:tcPr>
            <w:tcW w:w="0" w:type="dxa"/>
            <w:vAlign w:val="bottom"/>
          </w:tcPr>
          <w:p>
            <w:pPr>
              <w:spacing w:after="0"/>
              <w:rPr>
                <w:sz w:val="1"/>
                <w:szCs w:val="1"/>
                <w:color w:val="auto"/>
              </w:rPr>
            </w:pPr>
          </w:p>
        </w:tc>
      </w:tr>
      <w:tr>
        <w:trPr>
          <w:trHeight w:val="148"/>
        </w:trPr>
        <w:tc>
          <w:tcPr>
            <w:tcW w:w="4660" w:type="dxa"/>
            <w:vAlign w:val="bottom"/>
          </w:tcPr>
          <w:p>
            <w:pPr>
              <w:ind w:left="280"/>
              <w:spacing w:after="0" w:line="149" w:lineRule="exact"/>
              <w:rPr>
                <w:sz w:val="20"/>
                <w:szCs w:val="20"/>
                <w:color w:val="auto"/>
              </w:rPr>
            </w:pPr>
            <w:r>
              <w:rPr>
                <w:rFonts w:ascii="Arial" w:cs="Arial" w:eastAsia="Arial" w:hAnsi="Arial"/>
                <w:sz w:val="14"/>
                <w:szCs w:val="14"/>
                <w:color w:val="auto"/>
              </w:rPr>
              <w:t>David A. Donnini</w:t>
            </w:r>
            <w:r>
              <w:rPr>
                <w:rFonts w:ascii="Arial" w:cs="Arial" w:eastAsia="Arial" w:hAnsi="Arial"/>
                <w:sz w:val="12"/>
                <w:szCs w:val="12"/>
                <w:color w:val="auto"/>
              </w:rPr>
              <w:t>(3)</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79,286,597</w:t>
            </w:r>
          </w:p>
        </w:tc>
        <w:tc>
          <w:tcPr>
            <w:tcW w:w="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28.0%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9,008,388</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70,278,209</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24.84%</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10,359,647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68,926,950</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24.36%</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Stephanie Geveda</w:t>
            </w:r>
            <w:r>
              <w:rPr>
                <w:rFonts w:ascii="Arial" w:cs="Arial" w:eastAsia="Arial" w:hAnsi="Arial"/>
                <w:sz w:val="12"/>
                <w:szCs w:val="12"/>
                <w:color w:val="auto"/>
              </w:rPr>
              <w:t>(7)</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118,929,897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42.0%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13,512,582</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105,417,315</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37.26%</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15,539,472</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103,390,425</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36.55%</w:t>
            </w:r>
          </w:p>
        </w:tc>
        <w:tc>
          <w:tcPr>
            <w:tcW w:w="0" w:type="dxa"/>
            <w:vAlign w:val="bottom"/>
          </w:tcPr>
          <w:p>
            <w:pPr>
              <w:spacing w:after="0"/>
              <w:rPr>
                <w:sz w:val="1"/>
                <w:szCs w:val="1"/>
                <w:color w:val="auto"/>
              </w:rPr>
            </w:pPr>
          </w:p>
        </w:tc>
      </w:tr>
      <w:tr>
        <w:trPr>
          <w:trHeight w:val="148"/>
        </w:trPr>
        <w:tc>
          <w:tcPr>
            <w:tcW w:w="4660" w:type="dxa"/>
            <w:vAlign w:val="bottom"/>
          </w:tcPr>
          <w:p>
            <w:pPr>
              <w:ind w:left="280"/>
              <w:spacing w:after="0" w:line="149" w:lineRule="exact"/>
              <w:rPr>
                <w:sz w:val="20"/>
                <w:szCs w:val="20"/>
                <w:color w:val="auto"/>
              </w:rPr>
            </w:pPr>
            <w:r>
              <w:rPr>
                <w:rFonts w:ascii="Arial" w:cs="Arial" w:eastAsia="Arial" w:hAnsi="Arial"/>
                <w:sz w:val="14"/>
                <w:szCs w:val="14"/>
                <w:color w:val="auto"/>
              </w:rPr>
              <w:t>Ann R. Klee</w:t>
            </w:r>
            <w:r>
              <w:rPr>
                <w:rFonts w:ascii="Arial" w:cs="Arial" w:eastAsia="Arial" w:hAnsi="Arial"/>
                <w:sz w:val="12"/>
                <w:szCs w:val="12"/>
                <w:color w:val="auto"/>
              </w:rPr>
              <w:t>(8)</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50,925</w:t>
            </w:r>
          </w:p>
        </w:tc>
        <w:tc>
          <w:tcPr>
            <w:tcW w:w="4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50,925</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50,925</w:t>
            </w: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Constantine S. Mihas</w:t>
            </w:r>
            <w:r>
              <w:rPr>
                <w:rFonts w:ascii="Arial" w:cs="Arial" w:eastAsia="Arial" w:hAnsi="Arial"/>
                <w:sz w:val="12"/>
                <w:szCs w:val="12"/>
                <w:color w:val="auto"/>
              </w:rPr>
              <w:t>(3)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79,286,597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28.0%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9,008,388</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70,278,209</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24.84%</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10,359,647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68,926,950</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24.36%</w:t>
            </w:r>
          </w:p>
        </w:tc>
        <w:tc>
          <w:tcPr>
            <w:tcW w:w="0" w:type="dxa"/>
            <w:vAlign w:val="bottom"/>
          </w:tcPr>
          <w:p>
            <w:pPr>
              <w:spacing w:after="0"/>
              <w:rPr>
                <w:sz w:val="1"/>
                <w:szCs w:val="1"/>
                <w:color w:val="auto"/>
              </w:rPr>
            </w:pPr>
          </w:p>
        </w:tc>
      </w:tr>
      <w:tr>
        <w:trPr>
          <w:trHeight w:val="182"/>
        </w:trPr>
        <w:tc>
          <w:tcPr>
            <w:tcW w:w="4660" w:type="dxa"/>
            <w:vAlign w:val="bottom"/>
          </w:tcPr>
          <w:p>
            <w:pPr>
              <w:ind w:left="280"/>
              <w:spacing w:after="0"/>
              <w:rPr>
                <w:sz w:val="20"/>
                <w:szCs w:val="20"/>
                <w:color w:val="auto"/>
              </w:rPr>
            </w:pPr>
            <w:r>
              <w:rPr>
                <w:rFonts w:ascii="Arial" w:cs="Arial" w:eastAsia="Arial" w:hAnsi="Arial"/>
                <w:sz w:val="14"/>
                <w:szCs w:val="14"/>
                <w:color w:val="auto"/>
              </w:rPr>
              <w:t>James C. Neary</w:t>
            </w:r>
            <w:r>
              <w:rPr>
                <w:rFonts w:ascii="Arial" w:cs="Arial" w:eastAsia="Arial" w:hAnsi="Arial"/>
                <w:sz w:val="12"/>
                <w:szCs w:val="12"/>
                <w:color w:val="auto"/>
              </w:rPr>
              <w:t>(7)</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5"/>
              </w:rPr>
              <w:t>118,929,897</w:t>
            </w:r>
          </w:p>
        </w:tc>
        <w:tc>
          <w:tcPr>
            <w:tcW w:w="40" w:type="dxa"/>
            <w:vAlign w:val="bottom"/>
          </w:tcPr>
          <w:p>
            <w:pPr>
              <w:spacing w:after="0"/>
              <w:rPr>
                <w:sz w:val="15"/>
                <w:szCs w:val="15"/>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0"/>
              </w:rPr>
              <w:t>42.0%</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4"/>
              </w:rPr>
              <w:t>13,512,582</w:t>
            </w: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105,417,315</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37.26%</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w w:val="96"/>
              </w:rPr>
              <w:t>15,539,472</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7"/>
              </w:rPr>
              <w:t>103,390,425</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6"/>
              </w:rPr>
              <w:t>36.55%</w:t>
            </w:r>
          </w:p>
        </w:tc>
        <w:tc>
          <w:tcPr>
            <w:tcW w:w="0" w:type="dxa"/>
            <w:vAlign w:val="bottom"/>
          </w:tcPr>
          <w:p>
            <w:pPr>
              <w:spacing w:after="0"/>
              <w:rPr>
                <w:sz w:val="1"/>
                <w:szCs w:val="1"/>
                <w:color w:val="auto"/>
              </w:rPr>
            </w:pPr>
          </w:p>
        </w:tc>
      </w:tr>
      <w:tr>
        <w:trPr>
          <w:trHeight w:val="34"/>
        </w:trPr>
        <w:tc>
          <w:tcPr>
            <w:tcW w:w="46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Vincent K. Petrella</w:t>
            </w:r>
          </w:p>
        </w:tc>
        <w:tc>
          <w:tcPr>
            <w:tcW w:w="90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Arial" w:cs="Arial" w:eastAsia="Arial" w:hAnsi="Arial"/>
                <w:sz w:val="14"/>
                <w:szCs w:val="14"/>
                <w:b w:val="1"/>
                <w:bCs w:val="1"/>
                <w:color w:val="auto"/>
              </w:rPr>
              <w:t>All Executive Officers and Directors as a group (12 Persons)</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5"/>
              </w:rPr>
              <w:t>207,079,165</w:t>
            </w:r>
          </w:p>
        </w:tc>
        <w:tc>
          <w:tcPr>
            <w:tcW w:w="40" w:type="dxa"/>
            <w:vAlign w:val="bottom"/>
          </w:tcPr>
          <w:p>
            <w:pPr>
              <w:spacing w:after="0"/>
              <w:rPr>
                <w:sz w:val="15"/>
                <w:szCs w:val="15"/>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0"/>
              </w:rPr>
              <w:t>73.2%</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4"/>
              </w:rPr>
              <w:t>23,380,361</w:t>
            </w: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183,698,804</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64.93%</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w w:val="96"/>
              </w:rPr>
              <w:t>26,887,419</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7"/>
              </w:rPr>
              <w:t>180,191,746</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6"/>
              </w:rPr>
              <w:t>63.69%</w:t>
            </w:r>
          </w:p>
        </w:tc>
        <w:tc>
          <w:tcPr>
            <w:tcW w:w="0" w:type="dxa"/>
            <w:vAlign w:val="bottom"/>
          </w:tcPr>
          <w:p>
            <w:pPr>
              <w:spacing w:after="0"/>
              <w:rPr>
                <w:sz w:val="1"/>
                <w:szCs w:val="1"/>
                <w:color w:val="auto"/>
              </w:rPr>
            </w:pPr>
          </w:p>
        </w:tc>
      </w:tr>
      <w:tr>
        <w:trPr>
          <w:trHeight w:val="42"/>
        </w:trPr>
        <w:tc>
          <w:tcPr>
            <w:tcW w:w="4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620" w:type="dxa"/>
            <w:vAlign w:val="bottom"/>
          </w:tcPr>
          <w:p>
            <w:pPr>
              <w:spacing w:after="0"/>
              <w:rPr>
                <w:sz w:val="13"/>
                <w:szCs w:val="13"/>
                <w:color w:val="auto"/>
              </w:rPr>
            </w:pPr>
          </w:p>
        </w:tc>
        <w:tc>
          <w:tcPr>
            <w:tcW w:w="700" w:type="dxa"/>
            <w:vAlign w:val="bottom"/>
            <w:gridSpan w:val="2"/>
            <w:vMerge w:val="restart"/>
          </w:tcPr>
          <w:p>
            <w:pPr>
              <w:jc w:val="center"/>
              <w:ind w:left="234"/>
              <w:spacing w:after="0"/>
              <w:rPr>
                <w:sz w:val="20"/>
                <w:szCs w:val="20"/>
                <w:color w:val="auto"/>
              </w:rPr>
            </w:pPr>
            <w:r>
              <w:rPr>
                <w:rFonts w:ascii="Arial" w:cs="Arial" w:eastAsia="Arial" w:hAnsi="Arial"/>
                <w:sz w:val="13"/>
                <w:szCs w:val="13"/>
                <w:b w:val="1"/>
                <w:bCs w:val="1"/>
                <w:color w:val="auto"/>
                <w:w w:val="82"/>
              </w:rPr>
              <w:t>Shares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9"/>
          </w:tcPr>
          <w:p>
            <w:pPr>
              <w:ind w:left="60"/>
              <w:spacing w:after="0"/>
              <w:rPr>
                <w:sz w:val="20"/>
                <w:szCs w:val="20"/>
                <w:color w:val="auto"/>
              </w:rPr>
            </w:pPr>
            <w:r>
              <w:rPr>
                <w:rFonts w:ascii="Arial" w:cs="Arial" w:eastAsia="Arial" w:hAnsi="Arial"/>
                <w:sz w:val="13"/>
                <w:szCs w:val="13"/>
                <w:b w:val="1"/>
                <w:bCs w:val="1"/>
                <w:color w:val="auto"/>
              </w:rPr>
              <w:t>Shares Beneficially Owned After the Offering</w:t>
            </w: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6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20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20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Owned Prior to</w:t>
            </w:r>
          </w:p>
        </w:tc>
        <w:tc>
          <w:tcPr>
            <w:tcW w:w="1620" w:type="dxa"/>
            <w:vAlign w:val="bottom"/>
            <w:gridSpan w:val="5"/>
          </w:tcPr>
          <w:p>
            <w:pPr>
              <w:ind w:left="280"/>
              <w:spacing w:after="0" w:line="135" w:lineRule="exact"/>
              <w:rPr>
                <w:sz w:val="20"/>
                <w:szCs w:val="20"/>
                <w:color w:val="auto"/>
              </w:rPr>
            </w:pPr>
            <w:r>
              <w:rPr>
                <w:rFonts w:ascii="Arial" w:cs="Arial" w:eastAsia="Arial" w:hAnsi="Arial"/>
                <w:sz w:val="13"/>
                <w:szCs w:val="13"/>
                <w:b w:val="1"/>
                <w:bCs w:val="1"/>
                <w:color w:val="auto"/>
                <w:w w:val="84"/>
              </w:rPr>
              <w:t>Assuming No Exercise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4"/>
          </w:tcPr>
          <w:p>
            <w:pPr>
              <w:ind w:left="320"/>
              <w:spacing w:after="0" w:line="135" w:lineRule="exact"/>
              <w:rPr>
                <w:sz w:val="20"/>
                <w:szCs w:val="20"/>
                <w:color w:val="auto"/>
              </w:rPr>
            </w:pPr>
            <w:r>
              <w:rPr>
                <w:rFonts w:ascii="Arial" w:cs="Arial" w:eastAsia="Arial" w:hAnsi="Arial"/>
                <w:sz w:val="13"/>
                <w:szCs w:val="13"/>
                <w:b w:val="1"/>
                <w:bCs w:val="1"/>
                <w:color w:val="auto"/>
                <w:w w:val="87"/>
              </w:rPr>
              <w:t>Assuming Full Exercise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9"/>
              </w:rPr>
              <w:t>the Offering</w:t>
            </w:r>
          </w:p>
        </w:tc>
        <w:tc>
          <w:tcPr>
            <w:tcW w:w="1620" w:type="dxa"/>
            <w:vAlign w:val="bottom"/>
            <w:gridSpan w:val="5"/>
          </w:tcPr>
          <w:p>
            <w:pPr>
              <w:ind w:left="360"/>
              <w:spacing w:after="0"/>
              <w:rPr>
                <w:sz w:val="20"/>
                <w:szCs w:val="20"/>
                <w:color w:val="auto"/>
              </w:rPr>
            </w:pPr>
            <w:r>
              <w:rPr>
                <w:rFonts w:ascii="Arial" w:cs="Arial" w:eastAsia="Arial" w:hAnsi="Arial"/>
                <w:sz w:val="13"/>
                <w:szCs w:val="13"/>
                <w:b w:val="1"/>
                <w:bCs w:val="1"/>
                <w:color w:val="auto"/>
                <w:w w:val="95"/>
              </w:rPr>
              <w:t>Underwriters’ Option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4"/>
          </w:tcPr>
          <w:p>
            <w:pPr>
              <w:ind w:left="300"/>
              <w:spacing w:after="0"/>
              <w:rPr>
                <w:sz w:val="20"/>
                <w:szCs w:val="20"/>
                <w:color w:val="auto"/>
              </w:rPr>
            </w:pPr>
            <w:r>
              <w:rPr>
                <w:rFonts w:ascii="Arial" w:cs="Arial" w:eastAsia="Arial" w:hAnsi="Arial"/>
                <w:sz w:val="13"/>
                <w:szCs w:val="13"/>
                <w:b w:val="1"/>
                <w:bCs w:val="1"/>
                <w:color w:val="auto"/>
                <w:w w:val="89"/>
              </w:rPr>
              <w:t>of Underwriters’ Option</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620" w:type="dxa"/>
            <w:vAlign w:val="bottom"/>
          </w:tcPr>
          <w:p>
            <w:pPr>
              <w:spacing w:after="0"/>
              <w:rPr>
                <w:sz w:val="9"/>
                <w:szCs w:val="9"/>
                <w:color w:val="auto"/>
              </w:rPr>
            </w:pPr>
          </w:p>
        </w:tc>
        <w:tc>
          <w:tcPr>
            <w:tcW w:w="700" w:type="dxa"/>
            <w:vAlign w:val="bottom"/>
            <w:tcBorders>
              <w:top w:val="single" w:sz="8" w:color="auto"/>
            </w:tcBorders>
            <w:gridSpan w:val="2"/>
          </w:tcPr>
          <w:p>
            <w:pPr>
              <w:ind w:left="80"/>
              <w:spacing w:after="0" w:line="110" w:lineRule="exact"/>
              <w:rPr>
                <w:sz w:val="20"/>
                <w:szCs w:val="20"/>
                <w:color w:val="auto"/>
              </w:rPr>
            </w:pPr>
            <w:r>
              <w:rPr>
                <w:rFonts w:ascii="Arial" w:cs="Arial" w:eastAsia="Arial" w:hAnsi="Arial"/>
                <w:sz w:val="12"/>
                <w:szCs w:val="12"/>
                <w:b w:val="1"/>
                <w:bCs w:val="1"/>
                <w:color w:val="auto"/>
              </w:rPr>
              <w:t>Number</w:t>
            </w: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top w:val="single" w:sz="8" w:color="auto"/>
            </w:tcBorders>
            <w:gridSpan w:val="2"/>
          </w:tcPr>
          <w:p>
            <w:pPr>
              <w:ind w:left="60"/>
              <w:spacing w:after="0" w:line="110" w:lineRule="exact"/>
              <w:rPr>
                <w:sz w:val="20"/>
                <w:szCs w:val="20"/>
                <w:color w:val="auto"/>
              </w:rPr>
            </w:pPr>
            <w:r>
              <w:rPr>
                <w:rFonts w:ascii="Arial" w:cs="Arial" w:eastAsia="Arial" w:hAnsi="Arial"/>
                <w:sz w:val="12"/>
                <w:szCs w:val="12"/>
                <w:b w:val="1"/>
                <w:bCs w:val="1"/>
                <w:color w:val="auto"/>
              </w:rPr>
              <w:t>Shares</w:t>
            </w:r>
          </w:p>
        </w:tc>
        <w:tc>
          <w:tcPr>
            <w:tcW w:w="900" w:type="dxa"/>
            <w:vAlign w:val="bottom"/>
            <w:tcBorders>
              <w:top w:val="single" w:sz="8" w:color="auto"/>
            </w:tcBorders>
            <w:gridSpan w:val="3"/>
          </w:tcPr>
          <w:p>
            <w:pPr>
              <w:ind w:left="80"/>
              <w:spacing w:after="0" w:line="110" w:lineRule="exact"/>
              <w:rPr>
                <w:sz w:val="20"/>
                <w:szCs w:val="20"/>
                <w:color w:val="auto"/>
              </w:rPr>
            </w:pPr>
            <w:r>
              <w:rPr>
                <w:rFonts w:ascii="Arial" w:cs="Arial" w:eastAsia="Arial" w:hAnsi="Arial"/>
                <w:sz w:val="12"/>
                <w:szCs w:val="12"/>
                <w:b w:val="1"/>
                <w:bCs w:val="1"/>
                <w:color w:val="auto"/>
              </w:rPr>
              <w:t>Number</w:t>
            </w:r>
          </w:p>
        </w:tc>
        <w:tc>
          <w:tcPr>
            <w:tcW w:w="2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top w:val="single" w:sz="8" w:color="auto"/>
            </w:tcBorders>
            <w:gridSpan w:val="2"/>
          </w:tcPr>
          <w:p>
            <w:pPr>
              <w:ind w:left="80"/>
              <w:spacing w:after="0" w:line="110" w:lineRule="exact"/>
              <w:rPr>
                <w:sz w:val="20"/>
                <w:szCs w:val="20"/>
                <w:color w:val="auto"/>
              </w:rPr>
            </w:pPr>
            <w:r>
              <w:rPr>
                <w:rFonts w:ascii="Arial" w:cs="Arial" w:eastAsia="Arial" w:hAnsi="Arial"/>
                <w:sz w:val="12"/>
                <w:szCs w:val="12"/>
                <w:b w:val="1"/>
                <w:bCs w:val="1"/>
                <w:color w:val="auto"/>
              </w:rPr>
              <w:t>Shares</w:t>
            </w:r>
          </w:p>
        </w:tc>
        <w:tc>
          <w:tcPr>
            <w:tcW w:w="780" w:type="dxa"/>
            <w:vAlign w:val="bottom"/>
            <w:tcBorders>
              <w:top w:val="single" w:sz="8" w:color="auto"/>
            </w:tcBorders>
            <w:gridSpan w:val="2"/>
          </w:tcPr>
          <w:p>
            <w:pPr>
              <w:ind w:left="100"/>
              <w:spacing w:after="0" w:line="110" w:lineRule="exact"/>
              <w:rPr>
                <w:sz w:val="20"/>
                <w:szCs w:val="20"/>
                <w:color w:val="auto"/>
              </w:rPr>
            </w:pPr>
            <w:r>
              <w:rPr>
                <w:rFonts w:ascii="Arial" w:cs="Arial" w:eastAsia="Arial" w:hAnsi="Arial"/>
                <w:sz w:val="12"/>
                <w:szCs w:val="12"/>
                <w:b w:val="1"/>
                <w:bCs w:val="1"/>
                <w:color w:val="auto"/>
              </w:rPr>
              <w:t>Number</w:t>
            </w:r>
          </w:p>
        </w:tc>
        <w:tc>
          <w:tcPr>
            <w:tcW w:w="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of Shares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Offered</w:t>
            </w:r>
          </w:p>
        </w:tc>
        <w:tc>
          <w:tcPr>
            <w:tcW w:w="9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of Shares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Offered</w:t>
            </w:r>
          </w:p>
        </w:tc>
        <w:tc>
          <w:tcPr>
            <w:tcW w:w="7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of Shares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tcPr>
          <w:p>
            <w:pPr>
              <w:spacing w:after="0"/>
              <w:rPr>
                <w:sz w:val="20"/>
                <w:szCs w:val="20"/>
                <w:color w:val="auto"/>
              </w:rPr>
            </w:pPr>
            <w:r>
              <w:rPr>
                <w:rFonts w:ascii="Arial" w:cs="Arial" w:eastAsia="Arial" w:hAnsi="Arial"/>
                <w:sz w:val="13"/>
                <w:szCs w:val="13"/>
                <w:b w:val="1"/>
                <w:bCs w:val="1"/>
                <w:color w:val="auto"/>
              </w:rPr>
              <w:t>Name of Beneficial Owner</w:t>
            </w:r>
            <w:r>
              <w:rPr>
                <w:rFonts w:ascii="Arial" w:cs="Arial" w:eastAsia="Arial" w:hAnsi="Arial"/>
                <w:sz w:val="8"/>
                <w:szCs w:val="8"/>
                <w:b w:val="1"/>
                <w:bCs w:val="1"/>
                <w:color w:val="auto"/>
              </w:rPr>
              <w:t>(1)</w:t>
            </w:r>
          </w:p>
        </w:tc>
        <w:tc>
          <w:tcPr>
            <w:tcW w:w="700" w:type="dxa"/>
            <w:vAlign w:val="bottom"/>
            <w:gridSpan w:val="2"/>
          </w:tcPr>
          <w:p>
            <w:pPr>
              <w:ind w:left="180"/>
              <w:spacing w:after="0"/>
              <w:rPr>
                <w:sz w:val="20"/>
                <w:szCs w:val="20"/>
                <w:color w:val="auto"/>
              </w:rPr>
            </w:pPr>
            <w:r>
              <w:rPr>
                <w:rFonts w:ascii="Arial" w:cs="Arial" w:eastAsia="Arial" w:hAnsi="Arial"/>
                <w:sz w:val="13"/>
                <w:szCs w:val="13"/>
                <w:b w:val="1"/>
                <w:bCs w:val="1"/>
                <w:color w:val="auto"/>
              </w:rPr>
              <w:t>Held</w:t>
            </w:r>
          </w:p>
        </w:tc>
        <w:tc>
          <w:tcPr>
            <w:tcW w:w="300" w:type="dxa"/>
            <w:vAlign w:val="bottom"/>
          </w:tcPr>
          <w:p>
            <w:pPr>
              <w:jc w:val="right"/>
              <w:ind w:right="3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Hereby</w:t>
            </w:r>
          </w:p>
        </w:tc>
        <w:tc>
          <w:tcPr>
            <w:tcW w:w="900" w:type="dxa"/>
            <w:vAlign w:val="bottom"/>
            <w:gridSpan w:val="3"/>
          </w:tcPr>
          <w:p>
            <w:pPr>
              <w:ind w:left="180"/>
              <w:spacing w:after="0"/>
              <w:rPr>
                <w:sz w:val="20"/>
                <w:szCs w:val="20"/>
                <w:color w:val="auto"/>
              </w:rPr>
            </w:pPr>
            <w:r>
              <w:rPr>
                <w:rFonts w:ascii="Arial" w:cs="Arial" w:eastAsia="Arial" w:hAnsi="Arial"/>
                <w:sz w:val="13"/>
                <w:szCs w:val="13"/>
                <w:b w:val="1"/>
                <w:bCs w:val="1"/>
                <w:color w:val="auto"/>
              </w:rPr>
              <w:t>Held</w:t>
            </w:r>
          </w:p>
        </w:tc>
        <w:tc>
          <w:tcPr>
            <w:tcW w:w="280" w:type="dxa"/>
            <w:vAlign w:val="bottom"/>
          </w:tcPr>
          <w:p>
            <w:pPr>
              <w:jc w:val="right"/>
              <w:ind w:right="1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Hereby</w:t>
            </w:r>
          </w:p>
        </w:tc>
        <w:tc>
          <w:tcPr>
            <w:tcW w:w="780" w:type="dxa"/>
            <w:vAlign w:val="bottom"/>
            <w:gridSpan w:val="2"/>
          </w:tcPr>
          <w:p>
            <w:pPr>
              <w:ind w:left="180"/>
              <w:spacing w:after="0"/>
              <w:rPr>
                <w:sz w:val="20"/>
                <w:szCs w:val="20"/>
                <w:color w:val="auto"/>
              </w:rPr>
            </w:pPr>
            <w:r>
              <w:rPr>
                <w:rFonts w:ascii="Arial" w:cs="Arial" w:eastAsia="Arial" w:hAnsi="Arial"/>
                <w:sz w:val="13"/>
                <w:szCs w:val="13"/>
                <w:b w:val="1"/>
                <w:bCs w:val="1"/>
                <w:color w:val="auto"/>
              </w:rPr>
              <w:t>Held</w:t>
            </w:r>
          </w:p>
        </w:tc>
        <w:tc>
          <w:tcPr>
            <w:tcW w:w="300" w:type="dxa"/>
            <w:vAlign w:val="bottom"/>
          </w:tcPr>
          <w:p>
            <w:pPr>
              <w:jc w:val="right"/>
              <w:ind w:right="1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6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Other Selling Stockholders:</w:t>
            </w: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Philip W. Macnabb</w:t>
            </w:r>
            <w:r>
              <w:rPr>
                <w:rFonts w:ascii="Arial" w:cs="Arial" w:eastAsia="Arial" w:hAnsi="Arial"/>
                <w:sz w:val="12"/>
                <w:szCs w:val="12"/>
                <w:color w:val="auto"/>
              </w:rPr>
              <w:t>(9)</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5,247,853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w:t>
            </w: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596,252</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4,651,601</w:t>
            </w:r>
          </w:p>
        </w:tc>
        <w:tc>
          <w:tcPr>
            <w:tcW w:w="2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1.64%</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685,688</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4,562,165</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Michael J. Mulhern</w:t>
            </w:r>
            <w:r>
              <w:rPr>
                <w:rFonts w:ascii="Arial" w:cs="Arial" w:eastAsia="Arial" w:hAnsi="Arial"/>
                <w:sz w:val="12"/>
                <w:szCs w:val="12"/>
                <w:color w:val="auto"/>
              </w:rPr>
              <w:t>(10)</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5,543,562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629,849</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4,913,713</w:t>
            </w:r>
          </w:p>
        </w:tc>
        <w:tc>
          <w:tcPr>
            <w:tcW w:w="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1.74%</w:t>
            </w:r>
          </w:p>
        </w:tc>
        <w:tc>
          <w:tcPr>
            <w:tcW w:w="8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724,326</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4,819,236</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8"/>
        </w:trPr>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Jeffery Nelson</w:t>
            </w:r>
            <w:r>
              <w:rPr>
                <w:rFonts w:ascii="Arial" w:cs="Arial" w:eastAsia="Arial" w:hAnsi="Arial"/>
                <w:sz w:val="12"/>
                <w:szCs w:val="12"/>
                <w:color w:val="auto"/>
              </w:rPr>
              <w:t>(11)</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2,285,904</w:t>
            </w: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259,720</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2,026,184</w:t>
            </w:r>
          </w:p>
        </w:tc>
        <w:tc>
          <w:tcPr>
            <w:tcW w:w="2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298,678</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1,987,226</w:t>
            </w: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employees as a group</w:t>
            </w:r>
            <w:r>
              <w:rPr>
                <w:rFonts w:ascii="Arial" w:cs="Arial" w:eastAsia="Arial" w:hAnsi="Arial"/>
                <w:sz w:val="12"/>
                <w:szCs w:val="12"/>
                <w:color w:val="auto"/>
              </w:rPr>
              <w:t>(12)</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1,547,023</w:t>
            </w: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175,770</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1,371,253</w:t>
            </w:r>
          </w:p>
        </w:tc>
        <w:tc>
          <w:tcPr>
            <w:tcW w:w="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202,135</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1,344,888</w:t>
            </w: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All Additional Selling Stockholders</w:t>
      </w:r>
    </w:p>
    <w:p>
      <w:pPr>
        <w:spacing w:after="0" w:line="113"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540" w:right="420" w:hanging="424"/>
        <w:spacing w:after="0" w:line="22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Shares shown in the table above include shares held in the beneficial owner’s name or jointly with others, or in the name of a bank, nominee or trustee for the beneficial owner’s account.</w:t>
      </w:r>
    </w:p>
    <w:p>
      <w:pPr>
        <w:ind w:left="540" w:right="520" w:hanging="424"/>
        <w:spacing w:after="0" w:line="237"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(i) 74,276,334 shares held of record by Warburg Pincus Private Equity XI, L.P., a Delaware limited partnership (“WP XI”), (ii) 13,324,816 shares held of record by Warburg Pincus Private Equity XI-B, L.P., a Delaware limited partnership</w:t>
      </w:r>
    </w:p>
    <w:p>
      <w:pPr>
        <w:spacing w:after="0" w:line="75" w:lineRule="exact"/>
        <w:rPr>
          <w:rFonts w:ascii="Arial" w:cs="Arial" w:eastAsia="Arial" w:hAnsi="Arial"/>
          <w:sz w:val="14"/>
          <w:szCs w:val="14"/>
          <w:color w:val="auto"/>
        </w:rPr>
      </w:pPr>
    </w:p>
    <w:p>
      <w:pPr>
        <w:ind w:left="560" w:right="260"/>
        <w:spacing w:after="0" w:line="264" w:lineRule="auto"/>
        <w:rPr>
          <w:rFonts w:ascii="Arial" w:cs="Arial" w:eastAsia="Arial" w:hAnsi="Arial"/>
          <w:sz w:val="14"/>
          <w:szCs w:val="14"/>
          <w:color w:val="auto"/>
        </w:rPr>
      </w:pPr>
      <w:r>
        <w:rPr>
          <w:rFonts w:ascii="Arial" w:cs="Arial" w:eastAsia="Arial" w:hAnsi="Arial"/>
          <w:sz w:val="13"/>
          <w:szCs w:val="13"/>
          <w:color w:val="auto"/>
        </w:rPr>
        <w:t>(“WP XI-B”), (iii) 304,567 shares held of record by Warburg Pincus Private Equity XI-C, L.P., a Cayman Islands exempted limited partnership (“WP XI-C”), (iv) 2,512,680 shares held of record by WP XI Partners, L.P., a Delaware limited partnership (“WP XIP”), (v) 4,758,863 shares held of record by Warburg Pincus XI Partners, L.P., a Delaware limited partnership (“WP XI Partners”) and (vi) 23,752,637 shares held of record by Bull Co-Invest L.P., a Delaware limited partnership (“WP Bull”).</w:t>
      </w:r>
    </w:p>
    <w:p>
      <w:pPr>
        <w:spacing w:after="0" w:line="60" w:lineRule="exact"/>
        <w:rPr>
          <w:rFonts w:ascii="Arial" w:cs="Arial" w:eastAsia="Arial" w:hAnsi="Arial"/>
          <w:sz w:val="14"/>
          <w:szCs w:val="14"/>
          <w:color w:val="auto"/>
        </w:rPr>
      </w:pPr>
    </w:p>
    <w:p>
      <w:pPr>
        <w:ind w:left="560" w:right="40"/>
        <w:spacing w:after="0" w:line="233" w:lineRule="auto"/>
        <w:rPr>
          <w:rFonts w:ascii="Arial" w:cs="Arial" w:eastAsia="Arial" w:hAnsi="Arial"/>
          <w:sz w:val="14"/>
          <w:szCs w:val="14"/>
          <w:color w:val="auto"/>
        </w:rPr>
      </w:pPr>
      <w:r>
        <w:rPr>
          <w:rFonts w:ascii="Arial" w:cs="Arial" w:eastAsia="Arial" w:hAnsi="Arial"/>
          <w:sz w:val="14"/>
          <w:szCs w:val="14"/>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76" w:lineRule="exact"/>
        <w:rPr>
          <w:rFonts w:ascii="Arial" w:cs="Arial" w:eastAsia="Arial" w:hAnsi="Arial"/>
          <w:sz w:val="14"/>
          <w:szCs w:val="14"/>
          <w:color w:val="auto"/>
        </w:rPr>
      </w:pPr>
    </w:p>
    <w:p>
      <w:pPr>
        <w:ind w:left="560" w:right="160"/>
        <w:spacing w:after="0" w:line="255" w:lineRule="auto"/>
        <w:rPr>
          <w:rFonts w:ascii="Arial" w:cs="Arial" w:eastAsia="Arial" w:hAnsi="Arial"/>
          <w:sz w:val="14"/>
          <w:szCs w:val="14"/>
          <w:color w:val="auto"/>
        </w:rPr>
      </w:pPr>
      <w:r>
        <w:rPr>
          <w:rFonts w:ascii="Arial" w:cs="Arial" w:eastAsia="Arial" w:hAnsi="Arial"/>
          <w:sz w:val="13"/>
          <w:szCs w:val="13"/>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w:t>
      </w:r>
    </w:p>
    <w:p>
      <w:pPr>
        <w:spacing w:after="0" w:line="66"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WP Bull Manager LLC, a Delaware limited Liability company (“WP Bull Manager”), is the general partner of WP Bull. WP is managing member of WP Bull Manager.</w:t>
      </w:r>
    </w:p>
    <w:p>
      <w:pPr>
        <w:spacing w:after="0" w:line="95" w:lineRule="exact"/>
        <w:rPr>
          <w:rFonts w:ascii="Arial" w:cs="Arial" w:eastAsia="Arial" w:hAnsi="Arial"/>
          <w:sz w:val="14"/>
          <w:szCs w:val="14"/>
          <w:color w:val="auto"/>
        </w:rPr>
      </w:pPr>
    </w:p>
    <w:p>
      <w:pPr>
        <w:ind w:left="560" w:right="180"/>
        <w:spacing w:after="0" w:line="253" w:lineRule="auto"/>
        <w:rPr>
          <w:rFonts w:ascii="Arial" w:cs="Arial" w:eastAsia="Arial" w:hAnsi="Arial"/>
          <w:sz w:val="14"/>
          <w:szCs w:val="14"/>
          <w:color w:val="auto"/>
        </w:rPr>
      </w:pPr>
      <w:r>
        <w:rPr>
          <w:rFonts w:ascii="Arial" w:cs="Arial" w:eastAsia="Arial" w:hAnsi="Arial"/>
          <w:sz w:val="14"/>
          <w:szCs w:val="14"/>
          <w:color w:val="auto"/>
        </w:rPr>
        <w:t>Warburg Pincus LLC, a New York limited liability company (“WP LLC”), is the manager of the WP XI Funds. The address of the Warburg Pincus entities is 450 Lexington Avenue, New York, New York 10017.</w:t>
      </w:r>
    </w:p>
    <w:p>
      <w:pPr>
        <w:spacing w:after="0" w:line="79" w:lineRule="exact"/>
        <w:rPr>
          <w:rFonts w:ascii="Arial" w:cs="Arial" w:eastAsia="Arial" w:hAnsi="Arial"/>
          <w:sz w:val="14"/>
          <w:szCs w:val="14"/>
          <w:color w:val="auto"/>
        </w:rPr>
      </w:pPr>
    </w:p>
    <w:p>
      <w:pPr>
        <w:ind w:left="540" w:right="40" w:hanging="424"/>
        <w:spacing w:after="0"/>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Consists of (i) 62,928,028 shares held of record by GTCR Fund XI/A LP, (ii) 15,854,227 shares held of record by GTCR Fund XI/C LP and (iii) 504,342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4" w:lineRule="exact"/>
        <w:rPr>
          <w:rFonts w:ascii="Arial" w:cs="Arial" w:eastAsia="Arial" w:hAnsi="Arial"/>
          <w:sz w:val="13"/>
          <w:szCs w:val="13"/>
          <w:color w:val="auto"/>
        </w:rPr>
      </w:pPr>
    </w:p>
    <w:p>
      <w:pPr>
        <w:ind w:left="540" w:right="120" w:hanging="424"/>
        <w:spacing w:after="0" w:line="22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Petras is the grantor and trustee of an estate planning trust (the “Petras Trust”). As a result, Mr. Petras may have voting and investment control over, and may be deemed to be the beneficial owner of, an aggregate of 7,194,624 shares of common stock prior to the offering, 6,377,185 shares of common stock after the offering and 6,254,569 shares of common stock if the underwriters exercise their option to purchase additional shares.</w:t>
      </w:r>
    </w:p>
    <w:p>
      <w:pPr>
        <w:ind w:left="540" w:hanging="424"/>
        <w:spacing w:after="0" w:line="22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372,632 shares of common stock and 280,295 shares that will remain subject to vesting.</w:t>
      </w:r>
    </w:p>
    <w:p>
      <w:pPr>
        <w:ind w:left="540" w:hanging="424"/>
        <w:spacing w:after="0" w:line="22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16,199 shares of common stock and 578,758 shares that will remain subject to vesting.</w:t>
      </w:r>
    </w:p>
    <w:p>
      <w:pPr>
        <w:ind w:left="540" w:right="40" w:hanging="424"/>
        <w:spacing w:after="0" w:line="232"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118,929,897 shares of common stock beneficially owned by Warburg Pincus Entities before the offering, 105,417,315 shares of common stock beneficially owned by Warburg Pincus Entities after the offering and 103,390,425 shares of common stock beneficially owned by Warburg Pincus entities if the underwriters exercise their option to purchase additional shares because of the affiliations of</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360"/>
        <w:spacing w:after="0" w:line="230" w:lineRule="auto"/>
        <w:rPr>
          <w:sz w:val="20"/>
          <w:szCs w:val="20"/>
          <w:color w:val="auto"/>
        </w:rPr>
      </w:pPr>
      <w:r>
        <w:rPr>
          <w:rFonts w:ascii="Arial" w:cs="Arial" w:eastAsia="Arial" w:hAnsi="Arial"/>
          <w:sz w:val="14"/>
          <w:szCs w:val="14"/>
          <w:color w:val="auto"/>
        </w:rPr>
        <w:t>Mr. Chen, Ms. Geveda and Mr. Neary with the Warburg Pincus entities. Mr. Chen, Ms. Geveda and Mr. Neary each disclaim beneficial ownership of all shares of common stock owned by the Warburg Pincus entities except to the extent of any indirect pecuniary interests therein.</w:t>
      </w:r>
    </w:p>
    <w:p>
      <w:pPr>
        <w:ind w:left="540" w:hanging="424"/>
        <w:spacing w:after="0" w:line="222"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16,199 shares of common stock and 34,726 shares that will remain subject to vesting.</w:t>
      </w:r>
    </w:p>
    <w:p>
      <w:pPr>
        <w:jc w:val="both"/>
        <w:ind w:left="540" w:right="100" w:hanging="424"/>
        <w:spacing w:after="0" w:line="221"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Macnabb served as the President of Sterigenics until October 1, 2020. Mr. Macnabb is the grantor and trustee of three estate planning trusts (collectively, the “Macnabb Trusts”). As a result, Mr. Macnabb may have voting and investment control over, and may be deemed to be the beneficial owner of, an aggregate of 2,676,405 shares of common stock owned by the Macnabb Trusts. The Macnabb Trusts are not offering shares of common stock in this offering.</w:t>
      </w:r>
    </w:p>
    <w:p>
      <w:pPr>
        <w:ind w:left="540" w:right="60" w:hanging="424"/>
        <w:spacing w:after="0" w:line="238" w:lineRule="auto"/>
        <w:tabs>
          <w:tab w:leader="none" w:pos="5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Mulhern served as chief executive officer of our subsidiary, Sotera Health LLC, and its predecessor from July 2011 to June 2016. Upon his retirement as our chief executive officer, Mr. Mulhern agreed to continue to serve as a member of Topco Parent’s board of managers and did not continue on to our board of directors following our IPO. Mr. Mulhern and his spouse are the grantors and trustees of two estate planning trusts (collectively, the “Mulhern Trusts”). As a result, Mr. Mulhern may have voting and investment control over, and may be deemed to be the beneficial owner of, an aggregate of 5,543,562 shares of common stock owned by the Mulhern Trusts prior to the offering, 4,913,713 shares of common stock after the offering and 4,819,236 shares of common stock if the underwriters exercise their option to purchase additional shares of common stock.</w:t>
      </w:r>
    </w:p>
    <w:p>
      <w:pPr>
        <w:spacing w:after="0" w:line="1"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Jeffery Nelson served as the president of Nelson Labs until October 1, 2020 and currently serves as the Chairman of Nelson Labs. Mr. Nelson is the grantor and Mr. Nelson’s spouse is the trustee of an estate planning trust (the “Nelson Nevada Dynasty Trust”). As a result, Mr. Nelson may have voting and investment control over, and may be deemed to be the beneficial owner of, an aggregate of 1,481,465 shares of common stock owned by the Nelson Nevada Dynasty Trust. The Nelson Nevada Dynasty Trust is not offering any shares of common stock in this offering.</w:t>
      </w:r>
    </w:p>
    <w:p>
      <w:pPr>
        <w:spacing w:after="0" w:line="1" w:lineRule="exact"/>
        <w:rPr>
          <w:rFonts w:ascii="Arial" w:cs="Arial" w:eastAsia="Arial" w:hAnsi="Arial"/>
          <w:sz w:val="14"/>
          <w:szCs w:val="14"/>
          <w:color w:val="auto"/>
        </w:rPr>
      </w:pPr>
    </w:p>
    <w:p>
      <w:pPr>
        <w:ind w:left="540" w:hanging="424"/>
        <w:spacing w:after="0" w:line="238" w:lineRule="auto"/>
        <w:tabs>
          <w:tab w:leader="none" w:pos="5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shares of common stock owned by an estate planning trust for which Matthew J. Klaben, our Senior Vice President, General Counsel and Corporate Secretary, is the grantor and trustee. As a result, Mr. Klaben may have voting and investment control over, and may deemed to be the beneficial owner of 130,905 shares that will remain subject to vesting and</w:t>
      </w:r>
    </w:p>
    <w:p>
      <w:pPr>
        <w:ind w:left="540" w:right="60"/>
        <w:spacing w:after="0" w:line="221" w:lineRule="auto"/>
        <w:rPr>
          <w:rFonts w:ascii="Arial" w:cs="Arial" w:eastAsia="Arial" w:hAnsi="Arial"/>
          <w:sz w:val="13"/>
          <w:szCs w:val="13"/>
          <w:color w:val="auto"/>
        </w:rPr>
      </w:pPr>
      <w:r>
        <w:rPr>
          <w:rFonts w:ascii="Arial" w:cs="Arial" w:eastAsia="Arial" w:hAnsi="Arial"/>
          <w:sz w:val="14"/>
          <w:szCs w:val="14"/>
          <w:color w:val="auto"/>
        </w:rPr>
        <w:t>(i) 238,333 shares of common stock prior to the offering, (ii) 196,381 shares of common stock after the offering and (iii) 190,088 shares of common stock if the underwriters exercise their option to purchase additional shares of common stock.</w:t>
      </w:r>
    </w:p>
    <w:p>
      <w:pPr>
        <w:ind w:left="540" w:hanging="424"/>
        <w:spacing w:after="0" w:line="221"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WP XI is offering 8,439,131 shares of common stock or 9,705,001 shares if the underwriters exercise their option. WP XI-B is offering 1,513,940 shares of common stock or 1,741,031 shares of common stock if the underwriters exercise their option. WP XI-C is offering 34,604 shares of common stock or 39,795 shares of common stock if the underwriters exercise their option. WP XIP is offering 285,486 shares of common stock or 328,309 shares of common stock if the underwriters exercise their option. WP XI Partners is offering 540,693 shares of common stock or 621,797 shares of common stock if the underwriters exercise their option. WP Bull is offering 2,698,728 shares of common stock or 3,103,538 shares of common stock if the underwriters exercise their option.</w:t>
      </w:r>
    </w:p>
    <w:p>
      <w:pPr>
        <w:spacing w:after="0" w:line="1" w:lineRule="exact"/>
        <w:rPr>
          <w:rFonts w:ascii="Arial" w:cs="Arial" w:eastAsia="Arial" w:hAnsi="Arial"/>
          <w:sz w:val="14"/>
          <w:szCs w:val="14"/>
          <w:color w:val="auto"/>
        </w:rPr>
      </w:pPr>
    </w:p>
    <w:p>
      <w:pPr>
        <w:ind w:left="540" w:right="80" w:hanging="424"/>
        <w:spacing w:after="0" w:line="232"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GTCR Fund XI/A LP if offering 7,149,760 shares of common stock or 8,222,224 shares of common stock if the underwriters exercise their option. GTCR Fund XI/C LP is offering 1,801,326 shares of common stock or 2,071,525 shares of common stock if the underwriters exercise their option. GTCR Co-Invest XI LP is offering 57,302 shares of common stock or 65,898 shares of common stock if the underwriters exercise their option.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The following description summarizes important terms of our capital stock. Because it is only a summary, it does not contain all of the information that may be important to you. For a complete description, you should refer to our amended and restated certificate of incorporation and amended and restated bylaws, copies of which are filed as exhibits to the registration statement of which this prospectus is a part, as well as the relevant portions of the DGCL.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capital structure consists of 1,200,000,000 authorized shares of common stock, par value $0.01 per share, and 120,000,000 authorized shares of preferred stock, par value $0.01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As of February 24, 2021, there were 282,899,968 shares of our common stock outstanding, held of record by 72 holders.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common stock are entitled to one vote for each share held on all matters submitted to a vote of stockholders,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82"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Subject to preferences that may be applicable to any then-outstanding preferred stock, holders of our common stock are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ratably those dividends, if any, as may be declared by the board of directors out of legally available funds. See “Dividend Policy.”</w:t>
      </w:r>
    </w:p>
    <w:p>
      <w:pPr>
        <w:spacing w:after="0" w:line="12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Upon our liquidation, dissolution or winding up, the holders of our common stock will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No Preemptive or Similar Rights. </w:t>
      </w:r>
      <w:r>
        <w:rPr>
          <w:rFonts w:ascii="Arial" w:cs="Arial" w:eastAsia="Arial" w:hAnsi="Arial"/>
          <w:sz w:val="18"/>
          <w:szCs w:val="18"/>
          <w:color w:val="auto"/>
        </w:rPr>
        <w:t>Holders of our common stock have no preemptive or conversion rights or other subscription rights, and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no redemption or sinking fund provisions applicable to our common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Assessment. </w:t>
      </w:r>
      <w:r>
        <w:rPr>
          <w:rFonts w:ascii="Arial" w:cs="Arial" w:eastAsia="Arial" w:hAnsi="Arial"/>
          <w:sz w:val="18"/>
          <w:szCs w:val="18"/>
          <w:color w:val="auto"/>
        </w:rPr>
        <w:t>All outstanding shares of our common stock are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 connection with our IPO, we entered into a second amended and restated registration rights agreement, dated November 19, 2020. For a description of registration rights with respect to our common stock, see “Certain Relationships and Related Transactions, and Director Independence— Registration Rights Agreement” in Part III, Item. 13 of Sotera Health’s 2020 10-K, which is incorporated herein by reference.</w:t>
      </w:r>
    </w:p>
    <w:p>
      <w:pPr>
        <w:spacing w:after="0" w:line="269" w:lineRule="exact"/>
        <w:rPr>
          <w:sz w:val="20"/>
          <w:szCs w:val="20"/>
          <w:color w:val="auto"/>
        </w:rPr>
      </w:pPr>
    </w:p>
    <w:p>
      <w:pPr>
        <w:ind w:left="120" w:right="46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 xml:space="preserve">Classified board of directors; removal of directors. </w:t>
      </w:r>
      <w:r>
        <w:rPr>
          <w:rFonts w:ascii="Arial" w:cs="Arial" w:eastAsia="Arial" w:hAnsi="Arial"/>
          <w:sz w:val="18"/>
          <w:szCs w:val="18"/>
          <w:color w:val="auto"/>
        </w:rPr>
        <w:t>Our amended and restated certificate of incorporation provides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 xml:space="preserve">Amendment of certificate of incorporation and bylaws provisions. </w:t>
      </w:r>
      <w:r>
        <w:rPr>
          <w:rFonts w:ascii="Arial" w:cs="Arial" w:eastAsia="Arial" w:hAnsi="Arial"/>
          <w:sz w:val="16"/>
          <w:szCs w:val="16"/>
          <w:color w:val="auto"/>
        </w:rPr>
        <w:t>Our amended and restated certificate of incorporation provides that approval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66"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i w:val="1"/>
          <w:iCs w:val="1"/>
          <w:color w:val="auto"/>
        </w:rPr>
        <w:t xml:space="preserve">Authorized but unissued or undesignated capital stock. </w:t>
      </w:r>
      <w:r>
        <w:rPr>
          <w:rFonts w:ascii="Arial" w:cs="Arial" w:eastAsia="Arial" w:hAnsi="Arial"/>
          <w:sz w:val="16"/>
          <w:szCs w:val="16"/>
          <w:color w:val="auto"/>
        </w:rPr>
        <w:t>Our authorized capital stock consists of 1,200,000,000 shares of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Our amended and restated certificate of incorporation provides that our stockholders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7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cumulate votes in the election of directors unless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provides otherwise. Our amended and restated certificate of incorporation does not provide for cumulative voting. Without cumulative voting, a</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Supermajority voting on board actions. </w:t>
      </w:r>
      <w:r>
        <w:rPr>
          <w:rFonts w:ascii="Arial" w:cs="Arial" w:eastAsia="Arial" w:hAnsi="Arial"/>
          <w:sz w:val="18"/>
          <w:szCs w:val="18"/>
          <w:color w:val="auto"/>
        </w:rPr>
        <w:t>For so long as investment funds and entities affiliated with either Warburg Pincus or GTCR have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(individually) to designate at least three directors for election to our board of directors, the following actions may only be effected with the affirmative vote of 75% of our board of directors:</w:t>
      </w:r>
    </w:p>
    <w:p>
      <w:pPr>
        <w:spacing w:after="0" w:line="8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acquisitions, mergers, other business combination transactions and dispositions;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amendment, modification or repeal of any provision of the certificate of incorporation or bylaws;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size and composition of the board of directors or the compensation of its committees, other than in accordance with the Stockholders’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termination of the chief executive officer or designation of a new chief executive officer;</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for ordinary course compensation arrangements, entering into, or modifying, any compensation arrangements with an executive officers or any of executive officer’s affiliates or associates;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issuance of additional shares of Company or subsidiaries’ capital stock, subject to certain limited exceptions;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incurrence of certain indebtedness.</w:t>
      </w:r>
    </w:p>
    <w:p>
      <w:pPr>
        <w:spacing w:after="0" w:line="22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i w:val="1"/>
          <w:iCs w:val="1"/>
          <w:color w:val="auto"/>
        </w:rPr>
        <w:t xml:space="preserve">Delaware Anti-Takeover Statute. </w:t>
      </w:r>
      <w:r>
        <w:rPr>
          <w:rFonts w:ascii="Arial" w:cs="Arial" w:eastAsia="Arial" w:hAnsi="Arial"/>
          <w:sz w:val="17"/>
          <w:szCs w:val="17"/>
          <w:color w:val="auto"/>
        </w:rPr>
        <w:t>We are not subject to the provisions of Section 203 of the DGCL. In general, Section 203 prohibits a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w:t>
      </w:r>
    </w:p>
    <w:p>
      <w:pPr>
        <w:spacing w:after="0" w:line="89" w:lineRule="exact"/>
        <w:rPr>
          <w:sz w:val="20"/>
          <w:szCs w:val="20"/>
          <w:color w:val="auto"/>
        </w:rPr>
      </w:pPr>
    </w:p>
    <w:p>
      <w:pPr>
        <w:ind w:left="1080" w:right="3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shareholder becoming an interested shareholder;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29"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92"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68" w:lineRule="auto"/>
        <w:tabs>
          <w:tab w:leader="none" w:pos="3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8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section titled “Certain Relationships and Related Transactions, and Director Independence—Limitation of Liability and Indemnification of Officers and Directors” in Part III, Item. 13 of Sotera Health’s 2020 10-K, which is incorporated herein by reference.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stock. The transfer agent and registrar’s address is 118 Fernwood Avenue, Edison, New Jersey 08837.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under the symbol “SHC.”</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20"/>
          </w:cols>
          <w:pgMar w:left="320" w:top="459" w:right="6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cannot predict what effect, if any, market sales of shares of common stock or the availability of shares of common stock for sale will have on the market price of our common stock prevailing from time to time. Nevertheless, sales of substantial amounts of common stock in the public market, including shares issued upon the exercise of outstanding options, the vesting of RSUs or restricted shares of common stock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 A sale of a substantial number of shares of our common stock, or the perception that such sales might occur, may cause the price of our common stock to decline.”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of February 24, 2021, we had outstanding an aggregate of 282,899,968 shares of common stock (including shares of common stock to be sold in this offering). Of these shares, we expect all of the shares of common stock being sold in this offering will be freely tradable without restriction or further registration under the Securities Act, except for any such shares which may be held or acquired by an “affiliate” of ours, as that term is defined in Rule 144 under the Securities Act, which shares will be subject to the volume limitations and other restrictions of Rule 144 described below. Upon completion of this offering, approximately 72.22% of our outstanding common stock will be held by the Sponsors, our executive officers, directors and other pre-IPO stockholders and will be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w:t>
      </w:r>
    </w:p>
    <w:p>
      <w:pPr>
        <w:spacing w:after="0" w:line="17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As a result of the lock-up agreements described below, our Stockholders’ Agreement and the provisions of Rule 144 and Rule 701 under the Securities Act, additional shares of our common stock will be available for sale in the public market as set forth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general, under Rule 144 of the Securities Act, as currently in effect, a person (or persons whose shares are deemed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registration,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person who was one of our affiliates at any time during the three months preceding a sale is entitled to sell within any three-month period only a number of shares of common stock that does not exceed the greater of either of the following:</w:t>
      </w:r>
    </w:p>
    <w:p>
      <w:pPr>
        <w:spacing w:after="0" w:line="76" w:lineRule="exact"/>
        <w:rPr>
          <w:sz w:val="20"/>
          <w:szCs w:val="20"/>
          <w:color w:val="auto"/>
        </w:rPr>
      </w:pPr>
    </w:p>
    <w:p>
      <w:pPr>
        <w:ind w:left="1080" w:right="1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 percent of the number of shares of common stock then outstanding, which will equal approximately 2,829,000 immediately after this offering;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on the Nasdaq during the four calendar weeks preceding the filing of a notice on Form 144 with respect to the sale.</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All sales under Rule 144 are subject to the availability of current public information about us. In addition, sales under Rule 144 by affiliates or persons who have been affiliates within the previous 90 days are also subject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to manner of sale provisions and notice requirements. Upon completion of the 90-day lock-up period in connection with this offering and the IPO lock-up agreements that expire on May 18, 2021, approximately 204,309,968 shares of our outstanding restricted securities will be eligible for sale under Rule 144 subject to limitations on sales by affiliates and other contractual transfer restrictions.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IPO, or who purchased shares from us after that date upon the exercise of options granted before that date, are eligible to resell such shares in reliance upon Rule 144 beginning 90 days after the effective date of our IPO. If such person is not an affiliate, the sale may be made without compliance with its holding period or current public information requirement. If such a person is an affiliate, the sale may be made under Rule 144 without compliance with its one-year minimum holding period, but subject to the other Rule 144 restrictions.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each of our officers, directors and the selling stockholders have agreed, subject to certain exceptions, with the underwriters not to dispose of or hedge any of the shares of common stock or securities convertible into or exchangeable for shares of common stock during the period from the date of this prospectus continuing through the date 90 days after the date of this prospectus. J.P. Morgan Securities LLC may, in its sole discretion, release any of these shares from these restrictions at any time without notice. For a discussion of these restrictions, see the section titled “Underwriting.”</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our IPO, we, each of our officers, directors and certain holders of our common stock agreed, subject to certain exceptions, with the underwriters not to dispose of or hedge any of the shares of common stock or securities convertible into or exchangeable for shares of common stock during the period from the date of the related prospectus continuing through May 18, 2021. J.P. Morgan Securities LLC may, in its sole discretion, release any of these shares from these restrictions at any time without notice. In connection with this offering, J.P. Morgan Securities LLC has waived certain lock-up restrictions applicable to the selling stockholders in this offering and certain restrictions applicable to us to permit the filing of the registration statement of which this prospectus forms a part.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For a description of the stockholders’ agreement that we entered into with certain holders of our common stock, including investment funds and entities affiliated with the Sponsors in connection with our IPO, see “Certain Relationships and Related Transactions, and Director Independence— Stockholders’ Agreement” in Part III, Item. 13 of Sotera Health’s 2020 10-K, which is incorporated herein by reference.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For a description of the registration rights agreement that we entered into with certain holders of our common stock, including investment funds and entities affiliated with the Sponsors in connection with our IPO, see “Certain Relationships and Related Transactions, and Director Independence</w:t>
      </w:r>
      <w:r>
        <w:rPr>
          <w:rFonts w:ascii="Arial" w:cs="Arial" w:eastAsia="Arial" w:hAnsi="Arial"/>
          <w:sz w:val="17"/>
          <w:szCs w:val="17"/>
          <w:i w:val="1"/>
          <w:iCs w:val="1"/>
          <w:color w:val="auto"/>
        </w:rPr>
        <w:t>—</w:t>
      </w:r>
      <w:r>
        <w:rPr>
          <w:rFonts w:ascii="Arial" w:cs="Arial" w:eastAsia="Arial" w:hAnsi="Arial"/>
          <w:sz w:val="17"/>
          <w:szCs w:val="17"/>
          <w:color w:val="auto"/>
        </w:rPr>
        <w:t xml:space="preserve"> Registration Rights” in Part III, Item. 13 of Sotera Health’s 2020 10-K, which is incorporated herein by reference.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filed a registration statements on Form S-8 under the Securities Act to register all of the shares of common stock issued or issuable under our 2020 Plan. This registration statement permits the resale of shares offered pursuant to the 2020 Plan by non-affiliates in the public market without restriction under the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Act and the sale by affiliates in the public market, subject to compliance with the resale provisions of Rule 144 and any applicable lock-up agreements. See “Executive Compensation—2020 Omnibus Incentive Plan” in Part III, Item 11 of Sotera Health’s 2020 10-K, which is incorporated herein by reference, for a description of our 2020 Plan.</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320" w:top="459" w:right="5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 Information Reporting and Backup Withholding,” this section addresses only Non-U.S. Holders (as defined below).</w:t>
      </w:r>
    </w:p>
    <w:p>
      <w:pPr>
        <w:spacing w:after="0" w:line="16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 distribution of cash or property with respect to shares of our common stock generally will be treated as a dividend to the extent paid out of our current or accumulated earnings and profits. If such a distribution exceeds our current and accumulated earnings and profits, the excess will be first treated as a tax-free return of a Non-U.S. Holder’s investment, up to the Non-U.S. Holder’s tax basis in the shares of our common stock, and thereafter as a capital gain subject to the tax treatment described below in “—Sale, Exchange or Other Taxable Disposition of Common Stock.”</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tax treaty.</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320" w:top="459" w:right="5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7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Investors should consult their own tax advisors about how these information reporting and withholding tax rules may apply to their investment in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Non-U.S. Holders generally will not be subject to U.S. federal income tax with respect to gain recognized on a sale, exchange or other taxable disposition of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The selling stockholders are offering the shares of common stock described in this prospectus through a number of underwriters. J.P. Morgan Securities LLC, Credit Suisse Securities (USA) LLC, Goldman Sachs &amp; Co. LLC and Jefferies LLC are acting as representatives of the underwriters. We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860" w:type="dxa"/>
            <w:vAlign w:val="bottom"/>
          </w:tcPr>
          <w:p>
            <w:pPr>
              <w:jc w:val="center"/>
              <w:ind w:left="61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6860" w:type="dxa"/>
            <w:vAlign w:val="bottom"/>
          </w:tcPr>
          <w:p>
            <w:pPr>
              <w:jc w:val="center"/>
              <w:ind w:left="6108"/>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Citizens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Penserra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Siebert Williams Shank &amp; Co.,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Tigress Financial Partners LLC</w:t>
      </w:r>
    </w:p>
    <w:p>
      <w:pPr>
        <w:spacing w:after="0" w:line="9" w:lineRule="exact"/>
        <w:rPr>
          <w:sz w:val="20"/>
          <w:szCs w:val="20"/>
          <w:color w:val="auto"/>
        </w:rPr>
      </w:pPr>
    </w:p>
    <w:tbl>
      <w:tblPr>
        <w:tblLayout w:type="fixed"/>
        <w:tblInd w:w="1880" w:type="dxa"/>
        <w:tblCellMar>
          <w:top w:w="0" w:type="dxa"/>
          <w:left w:w="0" w:type="dxa"/>
          <w:bottom w:w="0" w:type="dxa"/>
          <w:right w:w="0" w:type="dxa"/>
        </w:tblCellMar>
      </w:tblPr>
      <w:tr>
        <w:trPr>
          <w:trHeight w:val="22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shd w:val="clear" w:color="auto" w:fill="CCEEFF"/>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underwriters are committed to purchase all the common shares offered by the selling stockholders if they purchase any shares. The underwriting agreement also provides that if an underwriter defaults, the purchase commitments of non-defaulting underwriters may also be increased or the offering may be terminated.</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underwriters propose to offer the common shares directly to the public at the public offering price set forth on the cover page of this prospectus and to certain dealers at that price less a concession not in excess of $ per share. After the offering of the shares to the public, if all of the common shares are not sold at the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w:t>
      </w:r>
    </w:p>
    <w:p>
      <w:pPr>
        <w:spacing w:after="0" w:line="18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underwriters have an option to buy up to 3,750,000 additional shares of common stock from the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the selling</w:t>
      </w:r>
    </w:p>
    <w:p>
      <w:pPr>
        <w:spacing w:after="0" w:line="35" w:lineRule="exact"/>
        <w:rPr>
          <w:sz w:val="20"/>
          <w:szCs w:val="20"/>
          <w:color w:val="auto"/>
        </w:rPr>
      </w:pPr>
    </w:p>
    <w:p>
      <w:pPr>
        <w:ind w:left="120"/>
        <w:spacing w:after="0"/>
        <w:tabs>
          <w:tab w:leader="none" w:pos="5620" w:val="left"/>
        </w:tabs>
        <w:rPr>
          <w:sz w:val="20"/>
          <w:szCs w:val="20"/>
          <w:color w:val="auto"/>
        </w:rPr>
      </w:pPr>
      <w:r>
        <w:rPr>
          <w:rFonts w:ascii="Arial" w:cs="Arial" w:eastAsia="Arial" w:hAnsi="Arial"/>
          <w:sz w:val="18"/>
          <w:szCs w:val="18"/>
          <w:color w:val="auto"/>
        </w:rPr>
        <w:t>stockholders per share of common stock. The underwriting fee is $</w:t>
      </w:r>
      <w:r>
        <w:rPr>
          <w:sz w:val="20"/>
          <w:szCs w:val="20"/>
          <w:color w:val="auto"/>
        </w:rPr>
        <w:tab/>
      </w:r>
      <w:r>
        <w:rPr>
          <w:rFonts w:ascii="Arial" w:cs="Arial" w:eastAsia="Arial" w:hAnsi="Arial"/>
          <w:sz w:val="16"/>
          <w:szCs w:val="16"/>
          <w:color w:val="auto"/>
        </w:rPr>
        <w:t>per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308" w:lineRule="auto"/>
        <w:rPr>
          <w:sz w:val="20"/>
          <w:szCs w:val="20"/>
          <w:color w:val="auto"/>
        </w:rPr>
      </w:pPr>
      <w:r>
        <w:rPr>
          <w:rFonts w:ascii="Arial" w:cs="Arial" w:eastAsia="Arial" w:hAnsi="Arial"/>
          <w:sz w:val="17"/>
          <w:szCs w:val="17"/>
          <w:color w:val="auto"/>
        </w:rPr>
        <w:t>share. The following table shows the per share and total underwriting discounts and commissions to be paid by the selling stockholders to the underwriters assuming both no exercise and full exercise of the underwriters’ option to purchase additional shares.</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9"/>
              </w:rPr>
              <w:t>Without</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With full</w:t>
            </w:r>
          </w:p>
        </w:tc>
      </w:tr>
      <w:tr>
        <w:trPr>
          <w:trHeight w:val="148"/>
        </w:trPr>
        <w:tc>
          <w:tcPr>
            <w:tcW w:w="2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3"/>
              </w:rPr>
              <w:t>option to</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option to</w:t>
            </w:r>
          </w:p>
        </w:tc>
      </w:tr>
      <w:tr>
        <w:trPr>
          <w:trHeight w:val="148"/>
        </w:trPr>
        <w:tc>
          <w:tcPr>
            <w:tcW w:w="2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9"/>
              </w:rPr>
              <w:t>purchase</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purchase</w:t>
            </w:r>
          </w:p>
        </w:tc>
      </w:tr>
      <w:tr>
        <w:trPr>
          <w:trHeight w:val="148"/>
        </w:trPr>
        <w:tc>
          <w:tcPr>
            <w:tcW w:w="2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0"/>
              </w:rPr>
              <w:t>additional shares</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additional shares</w:t>
            </w:r>
          </w:p>
        </w:tc>
      </w:tr>
      <w:tr>
        <w:trPr>
          <w:trHeight w:val="171"/>
        </w:trPr>
        <w:tc>
          <w:tcPr>
            <w:tcW w:w="2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5"/>
              </w:rPr>
              <w:t>exercise</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exercise</w:t>
            </w:r>
          </w:p>
        </w:tc>
      </w:tr>
      <w:tr>
        <w:trPr>
          <w:trHeight w:val="209"/>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8"/>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3"/>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060" w:type="dxa"/>
            <w:vAlign w:val="bottom"/>
          </w:tcPr>
          <w:p>
            <w:pPr>
              <w:jc w:val="right"/>
              <w:ind w:right="883"/>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$1.0 million. We have agreed to reimburse the underwriters for expenses up to $25,000, including expenses related to clearance of this offering with FINRA.</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have agreed that, subject to certain exceptions, we will not, without the prior written consent of for a period of 90 days after the date of this prospectus,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executive officers, directors and the selling stockholders have entered into lock-up agreements with the underwriters pursuant to which each of them, subject to certain exceptions, for a period of 90 days after the date of this prospectus,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lock-up restrictions described in the immediately preceding paragraph are subject to certain exceptions including, without limitation:</w:t>
      </w:r>
    </w:p>
    <w:p>
      <w:pPr>
        <w:spacing w:after="0" w:line="35" w:lineRule="exact"/>
        <w:rPr>
          <w:sz w:val="20"/>
          <w:szCs w:val="20"/>
          <w:color w:val="auto"/>
        </w:rPr>
      </w:pPr>
    </w:p>
    <w:p>
      <w:pPr>
        <w:jc w:val="both"/>
        <w:ind w:left="120" w:right="80" w:hanging="4"/>
        <w:spacing w:after="0" w:line="281"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transfers as part of a sale of lock-up securities in open market transactions after the closing of this offering, (ii) transfers to us in connection with the vesting, settlement, or exercise of restricted stock units, shares of restricted stock, options, warrants or other rights to purchase shares of common stock,</w:t>
      </w:r>
    </w:p>
    <w:p>
      <w:pPr>
        <w:spacing w:after="0" w:line="1" w:lineRule="exact"/>
        <w:rPr>
          <w:rFonts w:ascii="Arial" w:cs="Arial" w:eastAsia="Arial" w:hAnsi="Arial"/>
          <w:sz w:val="16"/>
          <w:szCs w:val="16"/>
          <w:color w:val="auto"/>
        </w:rPr>
      </w:pPr>
    </w:p>
    <w:p>
      <w:pPr>
        <w:ind w:left="120" w:right="80" w:hanging="4"/>
        <w:spacing w:after="0" w:line="255" w:lineRule="auto"/>
        <w:tabs>
          <w:tab w:leader="none" w:pos="4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w:t>
      </w:r>
    </w:p>
    <w:p>
      <w:pPr>
        <w:spacing w:after="0" w:line="19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connection with the IPO, our executive officers, directors and certain holders of our common stock, entered into lock-up agreements with the underwriters pursuant to which each of them, subject to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exceptions, for a period of 180 days (which expires on May 18, 2021),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6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lock-up restrictions described in the immediately preceding paragraph are subject to certain exceptions including, without limitation: (i) transfers as part of a sale of lock-up securities acquired in the IPO or in open market transactions after the closing of the IPO, (ii) transfers to us in connection with the vesting, settlement, or exercise of restricted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to such lending institution upon foreclosure, among others.</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this offering, J.P. Morgan Securities LLC has given written consent to permit filing of this registration statement. Additionally, J.P. Morgan Securities LLC has agreed to release the restrictions under the lock-up agreements that were executed in connection with the IPO with respect to up to 25,000,000 shares (or up to 28,750,000 shares to the extent the underwriters exercise their option to purchase additional shares) of our common stock in this offering that are held by the selling stockholders, provided that the release of shares of our common stock held by the selling stockholders is limited to the shares actually sold in this offering.</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 of 1933.</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under the symbol “SHC.”</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7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common stock in the open market in stabilizing transactions or to cover short sales, the representatives can require the underwriters that sold those shares as part of this offering to repay the underwriting discount received by them.</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Neither we, the selling stockholders, nor the underwriters make any representation or prediction as to the direction or magnitude of any effect that the transactions described above may have on the price of our common stock.</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of the underwriters and/or certain of their affiliates are lenders, and/or act as agents or arrangers, under our Senior Secured Credit Facilities.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Other than in the United States, no action has been taken by us, the selling stockholders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shares have been offered or will be offered pursuant to this offering to the public in that Relevant Member State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w:t>
      </w:r>
    </w:p>
    <w:p>
      <w:pPr>
        <w:spacing w:after="0" w:line="9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the company or any underwriter to publish a prospectus pursuant to Article 3 of the Prospectus Regulation or supplement a prospectus pursuant to Article 23 of the Prospectus Regulation.</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Each person in a Relevant Member State (other than a Relevant Member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8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underwriters has been obtained to each such proposed offer or resale.</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United Kingdom</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An offer to the public of any shares may not be made in the United Kingdom, except that an offer to the public in the United Kingdom of any shares may be made at any time under the following exemptions under the UK Prospectus Regulation:</w:t>
      </w:r>
    </w:p>
    <w:p>
      <w:pPr>
        <w:spacing w:after="0" w:line="76"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“FSMA”);</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provided that no such offer of Shares shall result in a requirement for the Issuer or any underwriter to publish a prospectus pursuant to section 85 of the FSMA or a supplemental prospectus pursuant to Article 23 of the UK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Prospectus Regulation and each person who initially acquires any shares or to whom any offer is made will be deemed to have represented, acknowledged and agreed to the company and the underwriters that it is a qualified investor within the meaning of Article 2 of the UK Prospectus Regulation.</w:t>
      </w:r>
    </w:p>
    <w:p>
      <w:pPr>
        <w:spacing w:after="0" w:line="18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1(4) of the UK Prospectus Regulation, each such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7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of Prospective Investors in Switzerland</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This prospectus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Dubai International Financial Centre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Law of Japan. Accordingly, none of the shares nor any interest therein may be offered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67" w:lineRule="exact"/>
        <w:rPr>
          <w:sz w:val="20"/>
          <w:szCs w:val="20"/>
          <w:color w:val="auto"/>
        </w:rPr>
      </w:pPr>
    </w:p>
    <w:p>
      <w:pPr>
        <w:ind w:left="1540" w:right="280" w:hanging="439"/>
        <w:spacing w:after="0" w:line="277"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5" w:lineRule="exact"/>
        <w:rPr>
          <w:rFonts w:ascii="Arial" w:cs="Arial" w:eastAsia="Arial" w:hAnsi="Arial"/>
          <w:sz w:val="18"/>
          <w:szCs w:val="18"/>
          <w:color w:val="auto"/>
        </w:rPr>
      </w:pPr>
    </w:p>
    <w:p>
      <w:pPr>
        <w:ind w:left="1540" w:right="460" w:hanging="439"/>
        <w:spacing w:after="0" w:line="308" w:lineRule="auto"/>
        <w:tabs>
          <w:tab w:leader="none" w:pos="1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1" w:lineRule="exact"/>
        <w:rPr>
          <w:rFonts w:ascii="Arial" w:cs="Arial" w:eastAsia="Arial" w:hAnsi="Arial"/>
          <w:sz w:val="17"/>
          <w:szCs w:val="17"/>
          <w:color w:val="auto"/>
        </w:rPr>
      </w:pPr>
    </w:p>
    <w:p>
      <w:pPr>
        <w:ind w:left="1540" w:hanging="439"/>
        <w:spacing w:after="0"/>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540" w:right="260" w:hanging="439"/>
        <w:spacing w:after="0" w:line="342" w:lineRule="auto"/>
        <w:tabs>
          <w:tab w:leader="none" w:pos="1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9" w:lineRule="exact"/>
        <w:rPr>
          <w:rFonts w:ascii="Arial" w:cs="Arial" w:eastAsia="Arial" w:hAnsi="Arial"/>
          <w:sz w:val="16"/>
          <w:szCs w:val="16"/>
          <w:color w:val="auto"/>
        </w:rPr>
      </w:pPr>
    </w:p>
    <w:p>
      <w:pPr>
        <w:ind w:left="1540" w:right="80" w:hanging="439"/>
        <w:spacing w:after="0" w:line="277" w:lineRule="auto"/>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540" w:right="840" w:hanging="439"/>
        <w:spacing w:after="0" w:line="277"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540" w:right="320" w:hanging="439"/>
        <w:spacing w:after="0" w:line="277"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Canada</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40"/>
          </w:cols>
          <w:pgMar w:left="320" w:top="459" w:right="5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Cleary Gottlieb Steen &amp; Hamilton LLP, New York, New York will pass upon the legality of the shares of common stock to be issued in this offering. Certain legal matters will be passed upon for the underwriters by Simpson Thacher &amp; Bartlett LLP, New York, New York.</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consolidated financial statements of Sotera Health Company appearing in Sotera Health Company’s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The SEC maintains an Internet site at www.sec.gov, from which you can electronically access the registration statement, including the exhibits to the registration statement.</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left="120" w:right="420" w:firstLine="440"/>
        <w:spacing w:after="0" w:line="257"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93"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136">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fiscal year ended December 31, 2020, filed on March 9, 2021 (“Sotera Health’s 2020 10-K”);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137">
        <w:r>
          <w:rPr>
            <w:rFonts w:ascii="Arial" w:cs="Arial" w:eastAsia="Arial" w:hAnsi="Arial"/>
            <w:sz w:val="18"/>
            <w:szCs w:val="18"/>
            <w:u w:val="single" w:color="auto"/>
            <w:color w:val="0000EE"/>
          </w:rPr>
          <w:t>January 20,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38">
        <w:r>
          <w:rPr>
            <w:rFonts w:ascii="Arial" w:cs="Arial" w:eastAsia="Arial" w:hAnsi="Arial"/>
            <w:sz w:val="18"/>
            <w:szCs w:val="18"/>
            <w:u w:val="single" w:color="auto"/>
            <w:color w:val="0000EE"/>
          </w:rPr>
          <w:t>March 15, 2021</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84" w:lineRule="exact"/>
        <w:rPr>
          <w:rFonts w:ascii="Arial" w:cs="Arial" w:eastAsia="Arial" w:hAnsi="Arial"/>
          <w:sz w:val="18"/>
          <w:szCs w:val="18"/>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w:t>
      </w:r>
    </w:p>
    <w:p>
      <w:pPr>
        <w:spacing w:after="0" w:line="8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740"/>
          </w:cols>
          <w:pgMar w:left="320" w:top="459" w:right="8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25,000,000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288925</wp:posOffset>
            </wp:positionV>
            <wp:extent cx="1560195" cy="308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357505</wp:posOffset>
            </wp:positionV>
            <wp:extent cx="1474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Goldman Sachs &amp; Co. LLC</w:t>
      </w:r>
    </w:p>
    <w:p>
      <w:pPr>
        <w:spacing w:after="0" w:line="147"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Barclays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RBC Capital Markets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BNP PARIBAS</w:t>
      </w:r>
    </w:p>
    <w:p>
      <w:pPr>
        <w:spacing w:after="0" w:line="36" w:lineRule="exact"/>
        <w:rPr>
          <w:sz w:val="20"/>
          <w:szCs w:val="20"/>
          <w:color w:val="auto"/>
        </w:rPr>
      </w:pPr>
    </w:p>
    <w:p>
      <w:pPr>
        <w:jc w:val="center"/>
        <w:ind w:right="-1100"/>
        <w:spacing w:after="0"/>
        <w:rPr>
          <w:sz w:val="20"/>
          <w:szCs w:val="20"/>
          <w:color w:val="auto"/>
        </w:rPr>
      </w:pPr>
      <w:r>
        <w:rPr>
          <w:rFonts w:ascii="Arial" w:cs="Arial" w:eastAsia="Arial" w:hAnsi="Arial"/>
          <w:sz w:val="28"/>
          <w:szCs w:val="28"/>
          <w:b w:val="1"/>
          <w:bCs w:val="1"/>
          <w:color w:val="auto"/>
        </w:rPr>
        <w:t>KeyBanc Capital Markets</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Citizens Capital Markets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ING</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Academy Securities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Loop Capital Markets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Penserra Securities LLC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Siebert Williams Shank</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Tigress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754380</wp:posOffset>
            </wp:positionV>
            <wp:extent cx="6995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814705</wp:posOffset>
            </wp:positionV>
            <wp:extent cx="699516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b w:val="1"/>
                <w:bCs w:val="1"/>
                <w:i w:val="1"/>
                <w:iCs w:val="1"/>
                <w:color w:val="auto"/>
              </w:rPr>
              <w:t>Item 13.</w:t>
            </w:r>
          </w:p>
        </w:tc>
        <w:tc>
          <w:tcPr>
            <w:tcW w:w="76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Other Expenses of Issuance and Distribution.</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80" w:type="dxa"/>
            <w:vAlign w:val="bottom"/>
            <w:gridSpan w:val="3"/>
          </w:tcPr>
          <w:p>
            <w:pPr>
              <w:ind w:left="440"/>
              <w:spacing w:after="0"/>
              <w:rPr>
                <w:sz w:val="20"/>
                <w:szCs w:val="20"/>
                <w:color w:val="auto"/>
              </w:rPr>
            </w:pPr>
            <w:r>
              <w:rPr>
                <w:rFonts w:ascii="Arial" w:cs="Arial" w:eastAsia="Arial" w:hAnsi="Arial"/>
                <w:sz w:val="18"/>
                <w:szCs w:val="18"/>
                <w:color w:val="auto"/>
                <w:w w:val="93"/>
              </w:rPr>
              <w:t>Estimated expenses payable in connection with the sale of the common stock in this offering are as follows: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96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89,490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123,540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7680" w:type="dxa"/>
            <w:vAlign w:val="bottom"/>
            <w:gridSpan w:val="2"/>
          </w:tcPr>
          <w:p>
            <w:pPr>
              <w:ind w:left="9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948,030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bear all of the expenses shown above.</w:t>
      </w:r>
    </w:p>
    <w:p>
      <w:pPr>
        <w:spacing w:after="0" w:line="37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entered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limitation of liability and indemnification provisions included in our amended and restated certificate of incorporation and the indemnification agreements that we have entered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6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to our directors and officers against loss rising from claims made by reason of breach of duty or other wrongful acts as a director or officer, including claims relating to public securities matters.</w:t>
      </w:r>
    </w:p>
    <w:p>
      <w:pPr>
        <w:spacing w:after="0" w:line="184"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66"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29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Act:</w:t>
      </w:r>
    </w:p>
    <w:p>
      <w:pPr>
        <w:spacing w:after="0" w:line="21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November 18, 2020, we effected a forward stock split to reclassify all 3,000 shares of our common stock outstanding as 232,400,200 shares. The issuance of these shares of common stock was deemed to be exempt from registration under the Securities Act in reliance upon Section 4(a)(2) of the Securities Act or Regulation D promulgated thereunder, as a transaction by an issuer not involving any public offering. The foregoing transaction did not involve any underwriters, underwriting discounts or commissions or any public offering.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PIK Toggle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November 24, 2017, Sotera Health Company (formerly Sotera Health Topco, Inc.) issued an aggregate principal amount of $75.0 million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8.125%/8.875% Senior PIK Toggle Notes due 2021 (the “PIK Toggle Notes”), which was used to pay a cash distribution to Topco Parent, which, in turn,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used such proceeds for distributions, equity repurchases and other payments to its equity holders. The initial purchasers for the PIK Toggle Notes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Jefferies LLC and Goldman Sachs &amp; Co. LLC.</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PIK Toggle Notes were offered and sold to qualified institutional buyers pursuant to Rule 144A under the Securities Act or to non-U.S.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investors outside the United States in compliance with Regulation S of the Securities Act.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800" w:hanging="244"/>
        <w:spacing w:after="0"/>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Exhibits: The list of exhibits is set forth in beginning on page II-4 of this Registration Statement and is incorporated herein by reference.</w:t>
      </w:r>
    </w:p>
    <w:p>
      <w:pPr>
        <w:spacing w:after="0" w:line="236" w:lineRule="exact"/>
        <w:rPr>
          <w:rFonts w:ascii="Arial" w:cs="Arial" w:eastAsia="Arial" w:hAnsi="Arial"/>
          <w:sz w:val="17"/>
          <w:szCs w:val="17"/>
          <w:color w:val="auto"/>
        </w:rPr>
      </w:pPr>
    </w:p>
    <w:p>
      <w:pPr>
        <w:ind w:left="120" w:right="60" w:firstLine="436"/>
        <w:spacing w:after="0" w:line="277" w:lineRule="auto"/>
        <w:tabs>
          <w:tab w:leader="none" w:pos="8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 Schedules: No financial statement schedules are provided because the information called for is not applicable or is shown in the financial statements or notes thereto.</w:t>
      </w:r>
    </w:p>
    <w:p>
      <w:pPr>
        <w:spacing w:after="0" w:line="31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17" w:lineRule="exact"/>
        <w:rPr>
          <w:sz w:val="20"/>
          <w:szCs w:val="20"/>
          <w:color w:val="auto"/>
        </w:rPr>
      </w:pPr>
    </w:p>
    <w:p>
      <w:pPr>
        <w:ind w:left="120" w:right="180" w:firstLine="436"/>
        <w:spacing w:after="0" w:line="271" w:lineRule="auto"/>
        <w:tabs>
          <w:tab w:leader="none" w:pos="695" w:val="left"/>
        </w:tabs>
        <w:numPr>
          <w:ilvl w:val="1"/>
          <w:numId w:val="53"/>
        </w:numPr>
        <w:rPr>
          <w:rFonts w:ascii="Arial" w:cs="Arial" w:eastAsia="Arial" w:hAnsi="Arial"/>
          <w:sz w:val="17"/>
          <w:szCs w:val="17"/>
          <w:color w:val="auto"/>
        </w:rPr>
      </w:pPr>
      <w:r>
        <w:rPr>
          <w:rFonts w:ascii="Arial" w:cs="Arial" w:eastAsia="Arial" w:hAnsi="Arial"/>
          <w:sz w:val="17"/>
          <w:szCs w:val="17"/>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700" w:hanging="144"/>
        <w:spacing w:after="0"/>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 The undersigned registrant hereby undertakes that:</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2"/>
          <w:numId w:val="5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hanging="424"/>
        <w:spacing w:after="0" w:line="263" w:lineRule="auto"/>
        <w:tabs>
          <w:tab w:leader="none" w:pos="10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6"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771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732"/>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5"/>
              </w:rPr>
              <w:t>Exhibit No</w:t>
            </w:r>
          </w:p>
        </w:tc>
        <w:tc>
          <w:tcPr>
            <w:tcW w:w="100" w:type="dxa"/>
            <w:vAlign w:val="bottom"/>
          </w:tcPr>
          <w:p>
            <w:pPr>
              <w:spacing w:after="0"/>
              <w:rPr>
                <w:sz w:val="10"/>
                <w:szCs w:val="10"/>
                <w:color w:val="auto"/>
              </w:rPr>
            </w:pPr>
          </w:p>
        </w:tc>
        <w:tc>
          <w:tcPr>
            <w:tcW w:w="638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11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Filed   Form</w:t>
            </w:r>
          </w:p>
        </w:tc>
        <w:tc>
          <w:tcPr>
            <w:tcW w:w="1100" w:type="dxa"/>
            <w:vAlign w:val="bottom"/>
            <w:gridSpan w:val="2"/>
          </w:tcPr>
          <w:p>
            <w:pPr>
              <w:ind w:left="360"/>
              <w:spacing w:after="0" w:line="119" w:lineRule="exact"/>
              <w:rPr>
                <w:sz w:val="20"/>
                <w:szCs w:val="20"/>
                <w:color w:val="auto"/>
              </w:rPr>
            </w:pPr>
            <w:r>
              <w:rPr>
                <w:rFonts w:ascii="Arial" w:cs="Arial" w:eastAsia="Arial" w:hAnsi="Arial"/>
                <w:sz w:val="13"/>
                <w:szCs w:val="13"/>
                <w:b w:val="1"/>
                <w:bCs w:val="1"/>
                <w:color w:val="auto"/>
              </w:rPr>
              <w:t>File</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gridSpan w:val="23"/>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100" w:type="dxa"/>
            <w:vAlign w:val="bottom"/>
            <w:gridSpan w:val="2"/>
          </w:tcPr>
          <w:p>
            <w:pPr>
              <w:ind w:left="360"/>
              <w:spacing w:after="0" w:line="158" w:lineRule="exact"/>
              <w:rPr>
                <w:sz w:val="20"/>
                <w:szCs w:val="20"/>
                <w:color w:val="auto"/>
              </w:rPr>
            </w:pPr>
            <w:r>
              <w:rPr>
                <w:rFonts w:ascii="Arial" w:cs="Arial" w:eastAsia="Arial" w:hAnsi="Arial"/>
                <w:sz w:val="14"/>
                <w:szCs w:val="14"/>
                <w:b w:val="1"/>
                <w:bCs w:val="1"/>
                <w:color w:val="auto"/>
              </w:rPr>
              <w:t>No.</w:t>
            </w:r>
          </w:p>
        </w:tc>
        <w:tc>
          <w:tcPr>
            <w:tcW w:w="62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4"/>
        </w:trPr>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3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380" w:type="dxa"/>
            <w:vAlign w:val="bottom"/>
            <w:gridSpan w:val="23"/>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Underwriting Agreement</w:t>
              </w:r>
            </w:hyperlink>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380" w:type="dxa"/>
            <w:vAlign w:val="bottom"/>
            <w:gridSpan w:val="23"/>
          </w:tcPr>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Certificate of Incorporation of the Registrant</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001-39729</w:t>
            </w:r>
          </w:p>
        </w:tc>
        <w:tc>
          <w:tcPr>
            <w:tcW w:w="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2021-03-09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6380" w:type="dxa"/>
            <w:vAlign w:val="bottom"/>
            <w:gridSpan w:val="23"/>
            <w:shd w:val="clear" w:color="auto" w:fill="CCEEFF"/>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Bylaws of the Registrant</w:t>
              </w:r>
            </w:hyperlink>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10-K</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001-39729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2021-03-09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380" w:type="dxa"/>
            <w:vAlign w:val="bottom"/>
            <w:gridSpan w:val="23"/>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Amended and Restated Registration Rights Agreement</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001-39729</w:t>
            </w:r>
          </w:p>
        </w:tc>
        <w:tc>
          <w:tcPr>
            <w:tcW w:w="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2021-03-09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56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Indenture, dated as of July 31, 2020, among Sotera Health Holdings, LLC, the</w:t>
              </w:r>
            </w:hyperlink>
          </w:p>
        </w:tc>
        <w:tc>
          <w:tcPr>
            <w:tcW w:w="700" w:type="dxa"/>
            <w:vAlign w:val="bottom"/>
            <w:tcBorders>
              <w:bottom w:val="single" w:sz="8" w:color="CCEEFF"/>
            </w:tcBorders>
            <w:gridSpan w:val="11"/>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38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Registrant, the intermediate parents and subsidiary note parties thereto and</w:t>
              </w:r>
            </w:hyperlink>
          </w:p>
        </w:tc>
        <w:tc>
          <w:tcPr>
            <w:tcW w:w="1000" w:type="dxa"/>
            <w:vAlign w:val="bottom"/>
            <w:tcBorders>
              <w:bottom w:val="single" w:sz="8" w:color="CCEEFF"/>
            </w:tcBorders>
            <w:gridSpan w:val="13"/>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380" w:type="dxa"/>
            <w:vAlign w:val="bottom"/>
            <w:gridSpan w:val="23"/>
            <w:shd w:val="clear" w:color="auto" w:fill="CCEEFF"/>
          </w:tcPr>
          <w:p>
            <w:pPr>
              <w:spacing w:after="0" w:line="19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Wilmington Trust, National Association, as first lien notes collateral agent, calculation</w:t>
              </w:r>
            </w:hyperlink>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85"/>
              </w:rPr>
            </w:pPr>
            <w:hyperlink r:id="rId157">
              <w:r>
                <w:rPr>
                  <w:rFonts w:ascii="Arial" w:cs="Arial" w:eastAsia="Arial" w:hAnsi="Arial"/>
                  <w:sz w:val="18"/>
                  <w:szCs w:val="18"/>
                  <w:color w:val="0000EE"/>
                  <w:w w:val="85"/>
                </w:rPr>
                <w:t>agent and trustee</w:t>
              </w:r>
            </w:hyperlink>
          </w:p>
        </w:tc>
        <w:tc>
          <w:tcPr>
            <w:tcW w:w="5000" w:type="dxa"/>
            <w:vAlign w:val="bottom"/>
            <w:tcBorders>
              <w:top w:val="single" w:sz="8" w:color="0000EE"/>
              <w:bottom w:val="single" w:sz="8" w:color="CCEEFF"/>
            </w:tcBorders>
            <w:gridSpan w:val="18"/>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85"/>
              </w:rPr>
              <w:t>S-1</w:t>
            </w:r>
          </w:p>
        </w:tc>
        <w:tc>
          <w:tcPr>
            <w:tcW w:w="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333-249648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2020-10-23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380" w:type="dxa"/>
            <w:vAlign w:val="bottom"/>
            <w:gridSpan w:val="23"/>
          </w:tcPr>
          <w:p>
            <w:pPr>
              <w:spacing w:after="0"/>
              <w:rPr>
                <w:rFonts w:ascii="Arial" w:cs="Arial" w:eastAsia="Arial" w:hAnsi="Arial"/>
                <w:sz w:val="18"/>
                <w:szCs w:val="18"/>
                <w:color w:val="0000EE"/>
                <w:w w:val="96"/>
              </w:rPr>
            </w:pPr>
            <w:hyperlink r:id="rId158">
              <w:r>
                <w:rPr>
                  <w:rFonts w:ascii="Arial" w:cs="Arial" w:eastAsia="Arial" w:hAnsi="Arial"/>
                  <w:sz w:val="18"/>
                  <w:szCs w:val="18"/>
                  <w:color w:val="0000EE"/>
                  <w:w w:val="96"/>
                </w:rPr>
                <w:t>Form of Senior Secured First Lien Floating Rate Note due 2026 (included in Exhibit</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40" w:type="dxa"/>
            <w:vAlign w:val="bottom"/>
            <w:gridSpan w:val="3"/>
          </w:tcPr>
          <w:p>
            <w:pPr>
              <w:ind w:left="100"/>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85"/>
              </w:rPr>
              <w:t>S-1</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333-249648</w:t>
            </w:r>
          </w:p>
        </w:tc>
        <w:tc>
          <w:tcPr>
            <w:tcW w:w="16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5"/>
              </w:rPr>
              <w:t>4.4</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7"/>
              </w:rPr>
              <w:t>2020-10-23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6380" w:type="dxa"/>
            <w:vAlign w:val="bottom"/>
            <w:gridSpan w:val="23"/>
            <w:shd w:val="clear" w:color="auto" w:fill="CCEEFF"/>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Opinion of Cleary Gottlieb Steen &amp; Hamilton LLP</w:t>
              </w:r>
            </w:hyperlink>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Employment Agreement by and between Sotera Health Company and Michael B.</w:t>
              </w:r>
            </w:hyperlink>
          </w:p>
        </w:tc>
        <w:tc>
          <w:tcPr>
            <w:tcW w:w="50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gridSpan w:val="23"/>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Petras, Jr., dated as of November 10, 2020</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7"/>
              </w:rPr>
              <w:t>S-1/A</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333-249648</w:t>
            </w:r>
          </w:p>
        </w:tc>
        <w:tc>
          <w:tcPr>
            <w:tcW w:w="16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5"/>
              </w:rPr>
              <w:t>2020-11-12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61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Employment Agreement by and between Sotera Health Company and Scott J. Leffler,</w:t>
              </w:r>
            </w:hyperlink>
          </w:p>
        </w:tc>
        <w:tc>
          <w:tcPr>
            <w:tcW w:w="200" w:type="dxa"/>
            <w:vAlign w:val="bottom"/>
            <w:tcBorders>
              <w:bottom w:val="single" w:sz="8" w:color="CCEEFF"/>
            </w:tcBorders>
            <w:gridSpan w:val="3"/>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dated as of November 10, 2020</w:t>
              </w:r>
            </w:hyperlink>
          </w:p>
        </w:tc>
        <w:tc>
          <w:tcPr>
            <w:tcW w:w="4120" w:type="dxa"/>
            <w:vAlign w:val="bottom"/>
            <w:tcBorders>
              <w:bottom w:val="single" w:sz="8" w:color="CCEEFF"/>
            </w:tcBorders>
            <w:gridSpan w:val="16"/>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7"/>
              </w:rPr>
              <w:t>S-1/A</w:t>
            </w: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333-249648</w:t>
            </w: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2020-11-12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5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Employment Agreement by and between Sotera Health Company and Matthew J.</w:t>
              </w:r>
            </w:hyperlink>
          </w:p>
        </w:tc>
        <w:tc>
          <w:tcPr>
            <w:tcW w:w="50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gridSpan w:val="23"/>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Klaben, dated as of November 10, 2020</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7"/>
              </w:rPr>
              <w:t>S-1/A</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333-249648</w:t>
            </w:r>
          </w:p>
        </w:tc>
        <w:tc>
          <w:tcPr>
            <w:tcW w:w="16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5"/>
              </w:rPr>
              <w:t>2020-11-12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Sotera Health Company Supplemental Retirement Benefit Plan, effective as of</w:t>
              </w:r>
            </w:hyperlink>
          </w:p>
        </w:tc>
        <w:tc>
          <w:tcPr>
            <w:tcW w:w="720" w:type="dxa"/>
            <w:vAlign w:val="bottom"/>
            <w:tcBorders>
              <w:bottom w:val="single" w:sz="8" w:color="CCEEFF"/>
            </w:tcBorders>
            <w:gridSpan w:val="1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380" w:type="dxa"/>
            <w:vAlign w:val="bottom"/>
            <w:gridSpan w:val="23"/>
            <w:shd w:val="clear" w:color="auto" w:fill="CCEEFF"/>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January 1, 2018</w:t>
              </w:r>
            </w:hyperlink>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7"/>
              </w:rPr>
              <w:t>S-1/A</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333-249648</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2020-11-12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6380" w:type="dxa"/>
            <w:vAlign w:val="bottom"/>
            <w:gridSpan w:val="23"/>
          </w:tcPr>
          <w:p>
            <w:pPr>
              <w:spacing w:after="0"/>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Sotera Health Company 2020 Omnibus Incentive Plan</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333-249648</w:t>
            </w:r>
          </w:p>
        </w:tc>
        <w:tc>
          <w:tcPr>
            <w:tcW w:w="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2020-11-12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5"/>
                <w:szCs w:val="15"/>
                <w:color w:val="auto"/>
              </w:rPr>
            </w:pPr>
          </w:p>
        </w:tc>
        <w:tc>
          <w:tcPr>
            <w:tcW w:w="6380" w:type="dxa"/>
            <w:vAlign w:val="bottom"/>
            <w:gridSpan w:val="23"/>
            <w:shd w:val="clear" w:color="auto" w:fill="CCEEFF"/>
          </w:tcPr>
          <w:p>
            <w:pPr>
              <w:spacing w:after="0" w:line="176" w:lineRule="exact"/>
              <w:rPr>
                <w:rFonts w:ascii="Arial" w:cs="Arial" w:eastAsia="Arial" w:hAnsi="Arial"/>
                <w:sz w:val="18"/>
                <w:szCs w:val="18"/>
                <w:color w:val="0000EE"/>
                <w:w w:val="94"/>
              </w:rPr>
            </w:pPr>
            <w:hyperlink r:id="rId164">
              <w:r>
                <w:rPr>
                  <w:rFonts w:ascii="Arial" w:cs="Arial" w:eastAsia="Arial" w:hAnsi="Arial"/>
                  <w:sz w:val="18"/>
                  <w:szCs w:val="18"/>
                  <w:color w:val="0000EE"/>
                  <w:w w:val="94"/>
                </w:rPr>
                <w:t>Form of Sotera Health Company 2020 Omnibus Incentive Plan Restricted Stock Unit</w:t>
              </w:r>
            </w:hyperlink>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14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Grant Notice and Agreement</w:t>
              </w:r>
            </w:hyperlink>
          </w:p>
        </w:tc>
        <w:tc>
          <w:tcPr>
            <w:tcW w:w="240" w:type="dxa"/>
            <w:vAlign w:val="bottom"/>
            <w:tcBorders>
              <w:top w:val="single" w:sz="8" w:color="CCEEFF"/>
            </w:tcBorders>
            <w:gridSpan w:val="4"/>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7"/>
              </w:rPr>
              <w:t>S-1/A</w:t>
            </w: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333-249648</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10.6</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2020-11-12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6380" w:type="dxa"/>
            <w:vAlign w:val="bottom"/>
            <w:gridSpan w:val="23"/>
          </w:tcPr>
          <w:p>
            <w:pPr>
              <w:spacing w:after="0"/>
              <w:rPr>
                <w:rFonts w:ascii="Arial" w:cs="Arial" w:eastAsia="Arial" w:hAnsi="Arial"/>
                <w:sz w:val="18"/>
                <w:szCs w:val="18"/>
                <w:color w:val="0000EE"/>
                <w:w w:val="96"/>
              </w:rPr>
            </w:pPr>
            <w:hyperlink r:id="rId165">
              <w:r>
                <w:rPr>
                  <w:rFonts w:ascii="Arial" w:cs="Arial" w:eastAsia="Arial" w:hAnsi="Arial"/>
                  <w:sz w:val="18"/>
                  <w:szCs w:val="18"/>
                  <w:color w:val="0000EE"/>
                  <w:w w:val="96"/>
                </w:rPr>
                <w:t>Form of Sotera Health Company 2020 Omnibus Incentive Plan Stock Option Grant</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Notice and Agreement</w:t>
              </w:r>
            </w:hyperlink>
          </w:p>
        </w:tc>
        <w:tc>
          <w:tcPr>
            <w:tcW w:w="38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7"/>
              </w:rPr>
              <w:t>S-1/A</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333-249648</w:t>
            </w:r>
          </w:p>
        </w:tc>
        <w:tc>
          <w:tcPr>
            <w:tcW w:w="16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10.7</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5"/>
              </w:rPr>
              <w:t>2020-11-12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59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Form of Indemnification Agreement entered into between the Registrant and each</w:t>
              </w:r>
            </w:hyperlink>
          </w:p>
        </w:tc>
        <w:tc>
          <w:tcPr>
            <w:tcW w:w="480" w:type="dxa"/>
            <w:vAlign w:val="bottom"/>
            <w:tcBorders>
              <w:bottom w:val="single" w:sz="8" w:color="CCEEFF"/>
            </w:tcBorders>
            <w:gridSpan w:val="7"/>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director and executive officer</w:t>
              </w:r>
            </w:hyperlink>
          </w:p>
        </w:tc>
        <w:tc>
          <w:tcPr>
            <w:tcW w:w="4260" w:type="dxa"/>
            <w:vAlign w:val="bottom"/>
            <w:tcBorders>
              <w:bottom w:val="single" w:sz="8" w:color="CCEEFF"/>
            </w:tcBorders>
            <w:gridSpan w:val="17"/>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S-1/A   333-249648</w:t>
            </w:r>
          </w:p>
        </w:tc>
        <w:tc>
          <w:tcPr>
            <w:tcW w:w="46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10.8</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2020-11-02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6380" w:type="dxa"/>
            <w:vAlign w:val="bottom"/>
            <w:gridSpan w:val="23"/>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Stockholders’ Agreement</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001-39729</w:t>
            </w:r>
          </w:p>
        </w:tc>
        <w:tc>
          <w:tcPr>
            <w:tcW w:w="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2021-03-09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5"/>
                <w:szCs w:val="15"/>
                <w:color w:val="auto"/>
              </w:rPr>
            </w:pPr>
          </w:p>
        </w:tc>
        <w:tc>
          <w:tcPr>
            <w:tcW w:w="6380" w:type="dxa"/>
            <w:vAlign w:val="bottom"/>
            <w:gridSpan w:val="23"/>
            <w:shd w:val="clear" w:color="auto" w:fill="CCEEFF"/>
          </w:tcPr>
          <w:p>
            <w:pPr>
              <w:spacing w:after="0" w:line="176" w:lineRule="exact"/>
              <w:rPr>
                <w:rFonts w:ascii="Arial" w:cs="Arial" w:eastAsia="Arial" w:hAnsi="Arial"/>
                <w:sz w:val="18"/>
                <w:szCs w:val="18"/>
                <w:color w:val="0000EE"/>
                <w:w w:val="98"/>
              </w:rPr>
            </w:pPr>
            <w:hyperlink r:id="rId168">
              <w:r>
                <w:rPr>
                  <w:rFonts w:ascii="Arial" w:cs="Arial" w:eastAsia="Arial" w:hAnsi="Arial"/>
                  <w:sz w:val="18"/>
                  <w:szCs w:val="18"/>
                  <w:color w:val="0000EE"/>
                  <w:w w:val="98"/>
                </w:rPr>
                <w:t>Credit Agreement, dated as of December 13, 2019, among the Registrant, Sotera</w:t>
              </w:r>
            </w:hyperlink>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Health Holdings, LLC, the lenders and issuing banks party thereto and Jefferies</w:t>
              </w:r>
            </w:hyperlink>
          </w:p>
        </w:tc>
        <w:tc>
          <w:tcPr>
            <w:tcW w:w="540" w:type="dxa"/>
            <w:vAlign w:val="bottom"/>
            <w:tcBorders>
              <w:top w:val="single" w:sz="8" w:color="CCEEFF"/>
            </w:tcBorders>
            <w:gridSpan w:val="9"/>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720" w:type="dxa"/>
            <w:vAlign w:val="bottom"/>
            <w:tcBorders>
              <w:top w:val="single" w:sz="8" w:color="0000EE"/>
            </w:tcBorders>
            <w:gridSpan w:val="13"/>
            <w:shd w:val="clear" w:color="auto" w:fill="CCEEFF"/>
          </w:tcPr>
          <w:p>
            <w:pPr>
              <w:spacing w:after="0"/>
              <w:rPr>
                <w:rFonts w:ascii="Arial" w:cs="Arial" w:eastAsia="Arial" w:hAnsi="Arial"/>
                <w:sz w:val="18"/>
                <w:szCs w:val="18"/>
                <w:u w:val="single" w:color="auto"/>
                <w:color w:val="0000EE"/>
                <w:w w:val="96"/>
              </w:rPr>
            </w:pPr>
            <w:hyperlink r:id="rId168">
              <w:r>
                <w:rPr>
                  <w:rFonts w:ascii="Arial" w:cs="Arial" w:eastAsia="Arial" w:hAnsi="Arial"/>
                  <w:sz w:val="18"/>
                  <w:szCs w:val="18"/>
                  <w:u w:val="single" w:color="auto"/>
                  <w:color w:val="0000EE"/>
                  <w:w w:val="96"/>
                </w:rPr>
                <w:t>Finance LLC, as first lien administrative agent and first lien collateral agent</w:t>
              </w:r>
            </w:hyperlink>
          </w:p>
        </w:tc>
        <w:tc>
          <w:tcPr>
            <w:tcW w:w="660" w:type="dxa"/>
            <w:vAlign w:val="bottom"/>
            <w:tcBorders>
              <w:top w:val="single" w:sz="8" w:color="CCEEFF"/>
            </w:tcBorders>
            <w:gridSpan w:val="10"/>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S-1</w:t>
            </w:r>
          </w:p>
        </w:tc>
        <w:tc>
          <w:tcPr>
            <w:tcW w:w="9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333-249648</w:t>
            </w:r>
          </w:p>
        </w:tc>
        <w:tc>
          <w:tcPr>
            <w:tcW w:w="1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10.10</w:t>
            </w:r>
          </w:p>
        </w:tc>
        <w:tc>
          <w:tcPr>
            <w:tcW w:w="1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2020-10-23</w:t>
            </w: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5"/>
              </w:rPr>
              <w:t>Exhibit No</w:t>
            </w:r>
          </w:p>
        </w:tc>
        <w:tc>
          <w:tcPr>
            <w:tcW w:w="140" w:type="dxa"/>
            <w:vAlign w:val="bottom"/>
          </w:tcPr>
          <w:p>
            <w:pPr>
              <w:spacing w:after="0"/>
              <w:rPr>
                <w:sz w:val="10"/>
                <w:szCs w:val="10"/>
                <w:color w:val="auto"/>
              </w:rPr>
            </w:pPr>
          </w:p>
        </w:tc>
        <w:tc>
          <w:tcPr>
            <w:tcW w:w="670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Filed  Form</w:t>
            </w:r>
          </w:p>
        </w:tc>
        <w:tc>
          <w:tcPr>
            <w:tcW w:w="10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File</w:t>
            </w: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65"/>
        </w:trPr>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700" w:type="dxa"/>
            <w:vAlign w:val="bottom"/>
            <w:gridSpan w:val="22"/>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No.</w:t>
            </w:r>
          </w:p>
        </w:tc>
        <w:tc>
          <w:tcPr>
            <w:tcW w:w="600" w:type="dxa"/>
            <w:vAlign w:val="bottom"/>
            <w:gridSpan w:val="2"/>
            <w:vMerge w:val="continue"/>
          </w:tcPr>
          <w:p>
            <w:pPr>
              <w:spacing w:after="0"/>
              <w:rPr>
                <w:sz w:val="14"/>
                <w:szCs w:val="14"/>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95"/>
        </w:trPr>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140" w:type="dxa"/>
            <w:vAlign w:val="bottom"/>
            <w:tcBorders>
              <w:bottom w:val="single" w:sz="8" w:color="CCEEFF"/>
            </w:tcBorders>
            <w:shd w:val="clear" w:color="auto" w:fill="CCEEFF"/>
          </w:tcPr>
          <w:p>
            <w:pPr>
              <w:spacing w:after="0"/>
              <w:rPr>
                <w:sz w:val="15"/>
                <w:szCs w:val="15"/>
                <w:color w:val="auto"/>
              </w:rPr>
            </w:pPr>
          </w:p>
        </w:tc>
        <w:tc>
          <w:tcPr>
            <w:tcW w:w="61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Guarantee Agreement, dated as of December 13, 2019, among the Registrant, Sotera</w:t>
              </w:r>
            </w:hyperlink>
          </w:p>
        </w:tc>
        <w:tc>
          <w:tcPr>
            <w:tcW w:w="560" w:type="dxa"/>
            <w:vAlign w:val="bottom"/>
            <w:tcBorders>
              <w:bottom w:val="single" w:sz="8" w:color="CCEEFF"/>
            </w:tcBorders>
            <w:gridSpan w:val="11"/>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30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Health Holdings, LLC, the other guarantors party thereto and Jefferies Finance LLC, as</w:t>
              </w:r>
            </w:hyperlink>
          </w:p>
        </w:tc>
        <w:tc>
          <w:tcPr>
            <w:tcW w:w="400" w:type="dxa"/>
            <w:vAlign w:val="bottom"/>
            <w:tcBorders>
              <w:bottom w:val="single" w:sz="8" w:color="CCEEFF"/>
            </w:tcBorders>
            <w:gridSpan w:val="8"/>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first lien collateral agent</w:t>
              </w:r>
            </w:hyperlink>
          </w:p>
        </w:tc>
        <w:tc>
          <w:tcPr>
            <w:tcW w:w="4940" w:type="dxa"/>
            <w:vAlign w:val="bottom"/>
            <w:tcBorders>
              <w:bottom w:val="single" w:sz="8" w:color="CCEEFF"/>
            </w:tcBorders>
            <w:gridSpan w:val="20"/>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4"/>
              </w:rPr>
              <w:t>10.11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6700" w:type="dxa"/>
            <w:vAlign w:val="bottom"/>
            <w:gridSpan w:val="22"/>
          </w:tcPr>
          <w:p>
            <w:pPr>
              <w:spacing w:after="0"/>
              <w:rPr>
                <w:rFonts w:ascii="Arial" w:cs="Arial" w:eastAsia="Arial" w:hAnsi="Arial"/>
                <w:sz w:val="18"/>
                <w:szCs w:val="18"/>
                <w:color w:val="0000EE"/>
                <w:w w:val="98"/>
              </w:rPr>
            </w:pPr>
            <w:hyperlink r:id="rId171">
              <w:r>
                <w:rPr>
                  <w:rFonts w:ascii="Arial" w:cs="Arial" w:eastAsia="Arial" w:hAnsi="Arial"/>
                  <w:sz w:val="18"/>
                  <w:szCs w:val="18"/>
                  <w:color w:val="0000EE"/>
                  <w:w w:val="98"/>
                </w:rPr>
                <w:t>Collateral Agreement, dated as of December 13, 2019, among the Registrant, Sotera</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Health Holdings, LLC, the other guarantors party thereto and Jefferies Finance LLC, as</w:t>
              </w:r>
            </w:hyperlink>
          </w:p>
        </w:tc>
        <w:tc>
          <w:tcPr>
            <w:tcW w:w="4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gridSpan w:val="22"/>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first lien collateral agent</w:t>
              </w:r>
            </w:hyperlink>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3"/>
              </w:rPr>
              <w:t>10.12</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380" w:type="dxa"/>
            <w:vAlign w:val="bottom"/>
            <w:tcBorders>
              <w:top w:val="single" w:sz="8" w:color="0000EE"/>
            </w:tcBorders>
          </w:tcPr>
          <w:p>
            <w:pPr>
              <w:spacing w:after="0"/>
              <w:rPr>
                <w:sz w:val="11"/>
                <w:szCs w:val="11"/>
                <w:color w:val="auto"/>
              </w:rPr>
            </w:pPr>
          </w:p>
        </w:tc>
        <w:tc>
          <w:tcPr>
            <w:tcW w:w="1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40" w:type="dxa"/>
            <w:vAlign w:val="bottom"/>
            <w:tcBorders>
              <w:bottom w:val="single" w:sz="8" w:color="CCEEFF"/>
            </w:tcBorders>
            <w:shd w:val="clear" w:color="auto" w:fill="CCEEFF"/>
          </w:tcPr>
          <w:p>
            <w:pPr>
              <w:spacing w:after="0"/>
              <w:rPr>
                <w:sz w:val="15"/>
                <w:szCs w:val="15"/>
                <w:color w:val="auto"/>
              </w:rPr>
            </w:pPr>
          </w:p>
        </w:tc>
        <w:tc>
          <w:tcPr>
            <w:tcW w:w="62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Patent Security Agreement, dated as of December 13, 2019, between Sterigenics U.S.,</w:t>
              </w:r>
            </w:hyperlink>
          </w:p>
        </w:tc>
        <w:tc>
          <w:tcPr>
            <w:tcW w:w="440" w:type="dxa"/>
            <w:vAlign w:val="bottom"/>
            <w:tcBorders>
              <w:bottom w:val="single" w:sz="8" w:color="CCEEFF"/>
            </w:tcBorders>
            <w:gridSpan w:val="10"/>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00" w:type="dxa"/>
            <w:vAlign w:val="bottom"/>
            <w:gridSpan w:val="22"/>
            <w:shd w:val="clear" w:color="auto" w:fill="CCEEFF"/>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LLC and Jefferies Finance LLC, as collateral agent</w:t>
              </w:r>
            </w:hyperlink>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10.13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6600" w:type="dxa"/>
            <w:vAlign w:val="bottom"/>
            <w:tcBorders>
              <w:bottom w:val="single" w:sz="8" w:color="0000EE"/>
            </w:tcBorders>
            <w:gridSpan w:val="20"/>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Trademark Security Agreement, dated as of December 13, 2019, between Sterigenics U.S.,</w:t>
              </w:r>
            </w:hyperlink>
          </w:p>
        </w:tc>
        <w:tc>
          <w:tcPr>
            <w:tcW w:w="1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gridSpan w:val="22"/>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LLC and Jefferies Finance LLC, as collateral agent</w:t>
              </w:r>
            </w:hyperlink>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3"/>
              </w:rPr>
              <w:t>10.14</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380" w:type="dxa"/>
            <w:vAlign w:val="bottom"/>
            <w:tcBorders>
              <w:top w:val="single" w:sz="8" w:color="0000EE"/>
            </w:tcBorders>
          </w:tcPr>
          <w:p>
            <w:pPr>
              <w:spacing w:after="0"/>
              <w:rPr>
                <w:sz w:val="11"/>
                <w:szCs w:val="11"/>
                <w:color w:val="auto"/>
              </w:rPr>
            </w:pPr>
          </w:p>
        </w:tc>
        <w:tc>
          <w:tcPr>
            <w:tcW w:w="15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140" w:type="dxa"/>
            <w:vAlign w:val="bottom"/>
            <w:shd w:val="clear" w:color="auto" w:fill="CCEEFF"/>
          </w:tcPr>
          <w:p>
            <w:pPr>
              <w:spacing w:after="0"/>
              <w:rPr>
                <w:sz w:val="15"/>
                <w:szCs w:val="15"/>
                <w:color w:val="auto"/>
              </w:rPr>
            </w:pPr>
          </w:p>
        </w:tc>
        <w:tc>
          <w:tcPr>
            <w:tcW w:w="6700" w:type="dxa"/>
            <w:vAlign w:val="bottom"/>
            <w:gridSpan w:val="22"/>
            <w:shd w:val="clear" w:color="auto" w:fill="CCEEFF"/>
          </w:tcPr>
          <w:p>
            <w:pPr>
              <w:spacing w:after="0" w:line="176" w:lineRule="exact"/>
              <w:rPr>
                <w:rFonts w:ascii="Arial" w:cs="Arial" w:eastAsia="Arial" w:hAnsi="Arial"/>
                <w:sz w:val="18"/>
                <w:szCs w:val="18"/>
                <w:color w:val="0000EE"/>
              </w:rPr>
            </w:pPr>
            <w:hyperlink r:id="rId174">
              <w:r>
                <w:rPr>
                  <w:rFonts w:ascii="Arial" w:cs="Arial" w:eastAsia="Arial" w:hAnsi="Arial"/>
                  <w:sz w:val="18"/>
                  <w:szCs w:val="18"/>
                  <w:color w:val="0000EE"/>
                </w:rPr>
                <w:t>Trademark Security Agreement, dated as of December 13, 2019, between Nelson</w:t>
              </w:r>
            </w:hyperlink>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8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Laboratories, LLC and Jefferies Finance LLC, as collateral agent</w:t>
              </w:r>
            </w:hyperlink>
          </w:p>
        </w:tc>
        <w:tc>
          <w:tcPr>
            <w:tcW w:w="820" w:type="dxa"/>
            <w:vAlign w:val="bottom"/>
            <w:tcBorders>
              <w:top w:val="single" w:sz="8" w:color="CCEEFF"/>
            </w:tcBorders>
            <w:gridSpan w:val="14"/>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10.15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6700" w:type="dxa"/>
            <w:vAlign w:val="bottom"/>
            <w:gridSpan w:val="22"/>
          </w:tcPr>
          <w:p>
            <w:pPr>
              <w:spacing w:after="0"/>
              <w:rPr>
                <w:rFonts w:ascii="Arial" w:cs="Arial" w:eastAsia="Arial" w:hAnsi="Arial"/>
                <w:sz w:val="18"/>
                <w:szCs w:val="18"/>
                <w:color w:val="0000EE"/>
                <w:w w:val="94"/>
              </w:rPr>
            </w:pPr>
            <w:hyperlink r:id="rId175">
              <w:r>
                <w:rPr>
                  <w:rFonts w:ascii="Arial" w:cs="Arial" w:eastAsia="Arial" w:hAnsi="Arial"/>
                  <w:sz w:val="18"/>
                  <w:szCs w:val="18"/>
                  <w:color w:val="0000EE"/>
                  <w:w w:val="94"/>
                </w:rPr>
                <w:t>Trademark Security Agreement, dated as of December 13, 2019, between Sotera Health</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LLC and Jefferies Finance LLC, as collateral agent</w:t>
              </w:r>
            </w:hyperlink>
          </w:p>
        </w:tc>
        <w:tc>
          <w:tcPr>
            <w:tcW w:w="34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3"/>
              </w:rPr>
              <w:t>10.16</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380" w:type="dxa"/>
            <w:vAlign w:val="bottom"/>
            <w:tcBorders>
              <w:top w:val="single" w:sz="8" w:color="0000EE"/>
            </w:tcBorders>
          </w:tcPr>
          <w:p>
            <w:pPr>
              <w:spacing w:after="0"/>
              <w:rPr>
                <w:sz w:val="11"/>
                <w:szCs w:val="11"/>
                <w:color w:val="auto"/>
              </w:rPr>
            </w:pPr>
          </w:p>
        </w:tc>
        <w:tc>
          <w:tcPr>
            <w:tcW w:w="15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140" w:type="dxa"/>
            <w:vAlign w:val="bottom"/>
            <w:tcBorders>
              <w:bottom w:val="single" w:sz="8" w:color="CCEEFF"/>
            </w:tcBorders>
            <w:shd w:val="clear" w:color="auto" w:fill="CCEEFF"/>
          </w:tcPr>
          <w:p>
            <w:pPr>
              <w:spacing w:after="0"/>
              <w:rPr>
                <w:sz w:val="15"/>
                <w:szCs w:val="15"/>
                <w:color w:val="auto"/>
              </w:rPr>
            </w:pPr>
          </w:p>
        </w:tc>
        <w:tc>
          <w:tcPr>
            <w:tcW w:w="64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Copyright Security Agreement, dated as of December 13, 2019, among Jefferies Finance</w:t>
              </w:r>
            </w:hyperlink>
          </w:p>
        </w:tc>
        <w:tc>
          <w:tcPr>
            <w:tcW w:w="260" w:type="dxa"/>
            <w:vAlign w:val="bottom"/>
            <w:tcBorders>
              <w:bottom w:val="single" w:sz="8" w:color="CCEEFF"/>
            </w:tcBorders>
            <w:gridSpan w:val="5"/>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98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LLC and Nelson Laboratories, LLC, as collateral agent</w:t>
              </w:r>
            </w:hyperlink>
          </w:p>
        </w:tc>
        <w:tc>
          <w:tcPr>
            <w:tcW w:w="2720" w:type="dxa"/>
            <w:vAlign w:val="bottom"/>
            <w:tcBorders>
              <w:bottom w:val="single" w:sz="8" w:color="CCEEFF"/>
            </w:tcBorders>
            <w:gridSpan w:val="17"/>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10.17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6700" w:type="dxa"/>
            <w:vAlign w:val="bottom"/>
            <w:gridSpan w:val="22"/>
          </w:tcPr>
          <w:p>
            <w:pPr>
              <w:spacing w:after="0"/>
              <w:rPr>
                <w:rFonts w:ascii="Arial" w:cs="Arial" w:eastAsia="Arial" w:hAnsi="Arial"/>
                <w:sz w:val="18"/>
                <w:szCs w:val="18"/>
                <w:color w:val="0000EE"/>
                <w:w w:val="96"/>
              </w:rPr>
            </w:pPr>
            <w:hyperlink r:id="rId177">
              <w:r>
                <w:rPr>
                  <w:rFonts w:ascii="Arial" w:cs="Arial" w:eastAsia="Arial" w:hAnsi="Arial"/>
                  <w:sz w:val="18"/>
                  <w:szCs w:val="18"/>
                  <w:color w:val="0000EE"/>
                  <w:w w:val="96"/>
                </w:rPr>
                <w:t>First Lien Pari Passu Intercreditor Agreement, dated as of July 31, 2020, among Sotera</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0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r:id="rId177">
              <w:r>
                <w:rPr>
                  <w:rFonts w:ascii="Arial" w:cs="Arial" w:eastAsia="Arial" w:hAnsi="Arial"/>
                  <w:sz w:val="18"/>
                  <w:szCs w:val="18"/>
                  <w:color w:val="0000EE"/>
                  <w:w w:val="93"/>
                </w:rPr>
                <w:t>Health Holdings, LLC, the Registrant, Jefferies Finance LLC as Collateral Agent and</w:t>
              </w:r>
            </w:hyperlink>
          </w:p>
        </w:tc>
        <w:tc>
          <w:tcPr>
            <w:tcW w:w="4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gridSpan w:val="22"/>
          </w:tcPr>
          <w:p>
            <w:pPr>
              <w:spacing w:after="0" w:line="196" w:lineRule="exact"/>
              <w:rPr>
                <w:rFonts w:ascii="Arial" w:cs="Arial" w:eastAsia="Arial" w:hAnsi="Arial"/>
                <w:sz w:val="18"/>
                <w:szCs w:val="18"/>
                <w:color w:val="0000EE"/>
                <w:w w:val="93"/>
              </w:rPr>
            </w:pPr>
            <w:hyperlink r:id="rId177">
              <w:r>
                <w:rPr>
                  <w:rFonts w:ascii="Arial" w:cs="Arial" w:eastAsia="Arial" w:hAnsi="Arial"/>
                  <w:sz w:val="18"/>
                  <w:szCs w:val="18"/>
                  <w:color w:val="0000EE"/>
                  <w:w w:val="93"/>
                </w:rPr>
                <w:t>Authorized Representative, and Wilmington Trust, National Association as Additional First</w:t>
              </w:r>
            </w:hyperlink>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Lien Collateral Agent and Initial Authorized Representative</w:t>
              </w:r>
            </w:hyperlink>
          </w:p>
        </w:tc>
        <w:tc>
          <w:tcPr>
            <w:tcW w:w="12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3"/>
              </w:rPr>
              <w:t>10.25</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380" w:type="dxa"/>
            <w:vAlign w:val="bottom"/>
            <w:tcBorders>
              <w:top w:val="single" w:sz="8" w:color="0000EE"/>
            </w:tcBorders>
          </w:tcPr>
          <w:p>
            <w:pPr>
              <w:spacing w:after="0"/>
              <w:rPr>
                <w:sz w:val="11"/>
                <w:szCs w:val="11"/>
                <w:color w:val="auto"/>
              </w:rPr>
            </w:pPr>
          </w:p>
        </w:tc>
        <w:tc>
          <w:tcPr>
            <w:tcW w:w="15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140" w:type="dxa"/>
            <w:vAlign w:val="bottom"/>
            <w:tcBorders>
              <w:bottom w:val="single" w:sz="8" w:color="CCEEFF"/>
            </w:tcBorders>
            <w:shd w:val="clear" w:color="auto" w:fill="CCEEFF"/>
          </w:tcPr>
          <w:p>
            <w:pPr>
              <w:spacing w:after="0"/>
              <w:rPr>
                <w:sz w:val="15"/>
                <w:szCs w:val="15"/>
                <w:color w:val="auto"/>
              </w:rPr>
            </w:pPr>
          </w:p>
        </w:tc>
        <w:tc>
          <w:tcPr>
            <w:tcW w:w="64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First Lien Collateral Agreement, dated as of July 31, 2020, among the Registrant, Sotera</w:t>
              </w:r>
            </w:hyperlink>
          </w:p>
        </w:tc>
        <w:tc>
          <w:tcPr>
            <w:tcW w:w="280" w:type="dxa"/>
            <w:vAlign w:val="bottom"/>
            <w:tcBorders>
              <w:bottom w:val="single" w:sz="8" w:color="CCEEFF"/>
            </w:tcBorders>
            <w:gridSpan w:val="6"/>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Health Holdings, LLC, the other grantors party thereto and Wilmington Trust, National</w:t>
              </w:r>
            </w:hyperlink>
          </w:p>
        </w:tc>
        <w:tc>
          <w:tcPr>
            <w:tcW w:w="420" w:type="dxa"/>
            <w:vAlign w:val="bottom"/>
            <w:tcBorders>
              <w:bottom w:val="single" w:sz="8" w:color="CCEEFF"/>
            </w:tcBorders>
            <w:gridSpan w:val="9"/>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Association, as first lien notes collateral agent</w:t>
              </w:r>
            </w:hyperlink>
          </w:p>
        </w:tc>
        <w:tc>
          <w:tcPr>
            <w:tcW w:w="3380" w:type="dxa"/>
            <w:vAlign w:val="bottom"/>
            <w:tcBorders>
              <w:bottom w:val="single" w:sz="8" w:color="CCEEFF"/>
            </w:tcBorders>
            <w:gridSpan w:val="19"/>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10.26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6700" w:type="dxa"/>
            <w:vAlign w:val="bottom"/>
            <w:gridSpan w:val="22"/>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Patent Security Agreement, dated as of July 31, 2020, between Sterigenics U.S., LLC and</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00" w:type="dxa"/>
            <w:vAlign w:val="bottom"/>
            <w:tcBorders>
              <w:top w:val="single" w:sz="8" w:color="0000EE"/>
            </w:tcBorders>
            <w:gridSpan w:val="18"/>
          </w:tcPr>
          <w:p>
            <w:pPr>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Wilmington Trust, National Association, as first lien notes collateral agent</w:t>
              </w:r>
            </w:hyperlink>
          </w:p>
        </w:tc>
        <w:tc>
          <w:tcPr>
            <w:tcW w:w="200" w:type="dxa"/>
            <w:vAlign w:val="bottom"/>
            <w:gridSpan w:val="4"/>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1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5"/>
                <w:szCs w:val="15"/>
                <w:color w:val="auto"/>
              </w:rPr>
            </w:pPr>
          </w:p>
        </w:tc>
        <w:tc>
          <w:tcPr>
            <w:tcW w:w="6700" w:type="dxa"/>
            <w:vAlign w:val="bottom"/>
            <w:gridSpan w:val="22"/>
            <w:shd w:val="clear" w:color="auto" w:fill="CCEEFF"/>
          </w:tcPr>
          <w:p>
            <w:pPr>
              <w:spacing w:after="0" w:line="176" w:lineRule="exact"/>
              <w:rPr>
                <w:rFonts w:ascii="Arial" w:cs="Arial" w:eastAsia="Arial" w:hAnsi="Arial"/>
                <w:sz w:val="18"/>
                <w:szCs w:val="18"/>
                <w:color w:val="0000EE"/>
              </w:rPr>
            </w:pPr>
            <w:hyperlink r:id="rId180">
              <w:r>
                <w:rPr>
                  <w:rFonts w:ascii="Arial" w:cs="Arial" w:eastAsia="Arial" w:hAnsi="Arial"/>
                  <w:sz w:val="18"/>
                  <w:szCs w:val="18"/>
                  <w:color w:val="0000EE"/>
                </w:rPr>
                <w:t>Trademark Security Agreement, dated as of July 31, 2020, between Sotera Health</w:t>
              </w:r>
            </w:hyperlink>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540" w:type="dxa"/>
            <w:vAlign w:val="bottom"/>
            <w:gridSpan w:val="8"/>
            <w:shd w:val="clear" w:color="auto" w:fill="0000EE"/>
          </w:tcPr>
          <w:p>
            <w:pPr>
              <w:spacing w:after="0" w:line="20" w:lineRule="exact"/>
              <w:rPr>
                <w:sz w:val="1"/>
                <w:szCs w:val="1"/>
                <w:color w:val="auto"/>
              </w:rPr>
            </w:pPr>
          </w:p>
        </w:tc>
        <w:tc>
          <w:tcPr>
            <w:tcW w:w="380" w:type="dxa"/>
            <w:vAlign w:val="bottom"/>
            <w:gridSpan w:val="5"/>
            <w:shd w:val="clear" w:color="auto" w:fill="CCEEFF"/>
          </w:tcPr>
          <w:p>
            <w:pPr>
              <w:spacing w:after="0" w:line="20" w:lineRule="exact"/>
              <w:rPr>
                <w:sz w:val="1"/>
                <w:szCs w:val="1"/>
                <w:color w:val="auto"/>
              </w:rPr>
            </w:pPr>
          </w:p>
        </w:tc>
        <w:tc>
          <w:tcPr>
            <w:tcW w:w="400" w:type="dxa"/>
            <w:vAlign w:val="bottom"/>
            <w:gridSpan w:val="8"/>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00" w:type="dxa"/>
            <w:vAlign w:val="bottom"/>
            <w:gridSpan w:val="22"/>
            <w:shd w:val="clear" w:color="auto" w:fill="CCEEFF"/>
          </w:tcPr>
          <w:p>
            <w:pPr>
              <w:spacing w:after="0" w:line="196" w:lineRule="exact"/>
              <w:rPr>
                <w:rFonts w:ascii="Arial" w:cs="Arial" w:eastAsia="Arial" w:hAnsi="Arial"/>
                <w:sz w:val="18"/>
                <w:szCs w:val="18"/>
                <w:color w:val="0000EE"/>
                <w:w w:val="98"/>
              </w:rPr>
            </w:pPr>
            <w:hyperlink r:id="rId180">
              <w:r>
                <w:rPr>
                  <w:rFonts w:ascii="Arial" w:cs="Arial" w:eastAsia="Arial" w:hAnsi="Arial"/>
                  <w:sz w:val="18"/>
                  <w:szCs w:val="18"/>
                  <w:color w:val="0000EE"/>
                  <w:w w:val="98"/>
                </w:rPr>
                <w:t>Holdings LLC and Wilmington Trust, National Association, as first lien notes collateral</w:t>
              </w:r>
            </w:hyperlink>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30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agent</w:t>
              </w:r>
            </w:hyperlink>
          </w:p>
        </w:tc>
        <w:tc>
          <w:tcPr>
            <w:tcW w:w="400" w:type="dxa"/>
            <w:vAlign w:val="bottom"/>
            <w:tcBorders>
              <w:top w:val="single" w:sz="8" w:color="CCEEFF"/>
            </w:tcBorders>
            <w:gridSpan w:val="8"/>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S-1</w:t>
            </w: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333-249648</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10.28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2020-10-23</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774"/>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tcPr>
          <w:p>
            <w:pPr>
              <w:spacing w:after="0"/>
              <w:rPr>
                <w:sz w:val="10"/>
                <w:szCs w:val="10"/>
                <w:color w:val="auto"/>
              </w:rPr>
            </w:pPr>
          </w:p>
        </w:tc>
        <w:tc>
          <w:tcPr>
            <w:tcW w:w="592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Filed   Form</w:t>
            </w:r>
          </w:p>
        </w:tc>
        <w:tc>
          <w:tcPr>
            <w:tcW w:w="114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File</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Exhibit</w:t>
            </w:r>
          </w:p>
        </w:tc>
        <w:tc>
          <w:tcPr>
            <w:tcW w:w="96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Filing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92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1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No.</w:t>
            </w:r>
          </w:p>
        </w:tc>
        <w:tc>
          <w:tcPr>
            <w:tcW w:w="620" w:type="dxa"/>
            <w:vAlign w:val="bottom"/>
            <w:gridSpan w:val="2"/>
            <w:vMerge w:val="continue"/>
          </w:tcPr>
          <w:p>
            <w:pPr>
              <w:spacing w:after="0"/>
              <w:rPr>
                <w:sz w:val="14"/>
                <w:szCs w:val="14"/>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15"/>
                <w:szCs w:val="15"/>
                <w:color w:val="auto"/>
              </w:rPr>
            </w:pPr>
          </w:p>
        </w:tc>
        <w:tc>
          <w:tcPr>
            <w:tcW w:w="54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Copyright Security Agreement, dated as of July 31, 2020, between Nelson</w:t>
              </w:r>
            </w:hyperlink>
          </w:p>
        </w:tc>
        <w:tc>
          <w:tcPr>
            <w:tcW w:w="500" w:type="dxa"/>
            <w:vAlign w:val="bottom"/>
            <w:tcBorders>
              <w:bottom w:val="single" w:sz="8" w:color="CCEEFF"/>
            </w:tcBorders>
            <w:gridSpan w:val="4"/>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90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Laboratories, LLC and Wilmington Trust, National Association, as first lien notes</w:t>
              </w:r>
            </w:hyperlink>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920" w:type="dxa"/>
            <w:vAlign w:val="bottom"/>
            <w:gridSpan w:val="9"/>
            <w:shd w:val="clear" w:color="auto" w:fill="CCEEFF"/>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collateral agent</w:t>
              </w:r>
            </w:hyperlink>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333-249648</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10.29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2020-10-23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5920" w:type="dxa"/>
            <w:vAlign w:val="bottom"/>
            <w:gridSpan w:val="9"/>
          </w:tcPr>
          <w:p>
            <w:pPr>
              <w:spacing w:after="0"/>
              <w:rPr>
                <w:rFonts w:ascii="Arial" w:cs="Arial" w:eastAsia="Arial" w:hAnsi="Arial"/>
                <w:sz w:val="18"/>
                <w:szCs w:val="18"/>
                <w:color w:val="0000EE"/>
                <w:w w:val="96"/>
              </w:rPr>
            </w:pPr>
            <w:hyperlink r:id="rId183">
              <w:r>
                <w:rPr>
                  <w:rFonts w:ascii="Arial" w:cs="Arial" w:eastAsia="Arial" w:hAnsi="Arial"/>
                  <w:sz w:val="18"/>
                  <w:szCs w:val="18"/>
                  <w:color w:val="0000EE"/>
                  <w:w w:val="96"/>
                </w:rPr>
                <w:t>Restated Supply Agreement, dated as of October 6, 2020, between Balchem</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gridSpan w:val="19"/>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Corporation and Sterigenics U.S., LLC, Sterigenics S. De R.L. De C.V., Sterigenics</w:t>
              </w:r>
            </w:hyperlink>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Costa Rica S.R.L. and Sterigenics EO Canada, Inc</w:t>
              </w:r>
              <w:r>
                <w:rPr>
                  <w:rFonts w:ascii="Arial" w:cs="Arial" w:eastAsia="Arial" w:hAnsi="Arial"/>
                  <w:sz w:val="18"/>
                  <w:szCs w:val="18"/>
                  <w:color w:val="000000"/>
                </w:rPr>
                <w:t>.</w:t>
              </w:r>
            </w:hyperlink>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3"/>
              </w:rPr>
              <w:t>S-1/A</w:t>
            </w:r>
          </w:p>
        </w:tc>
        <w:tc>
          <w:tcPr>
            <w:tcW w:w="1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333-249648   10.30</w:t>
            </w: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w w:val="97"/>
              </w:rPr>
              <w:t>2020-11-18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1800" w:type="dxa"/>
            <w:vAlign w:val="bottom"/>
            <w:tcBorders>
              <w:top w:val="single" w:sz="8" w:color="0000EE"/>
            </w:tcBorders>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8"/>
                <w:szCs w:val="18"/>
                <w:color w:val="auto"/>
              </w:rPr>
            </w:pPr>
          </w:p>
        </w:tc>
        <w:tc>
          <w:tcPr>
            <w:tcW w:w="5920" w:type="dxa"/>
            <w:vAlign w:val="bottom"/>
            <w:gridSpan w:val="9"/>
            <w:shd w:val="clear" w:color="auto" w:fill="CCEEFF"/>
          </w:tcPr>
          <w:p>
            <w:pPr>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Form of Restricted Stock Agreement and Acknowledgement</w:t>
              </w:r>
            </w:hyperlink>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S-1/A</w:t>
            </w:r>
          </w:p>
        </w:tc>
        <w:tc>
          <w:tcPr>
            <w:tcW w:w="1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333-249648   10.31</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2020-11-12</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5920" w:type="dxa"/>
            <w:vAlign w:val="bottom"/>
            <w:gridSpan w:val="9"/>
          </w:tcPr>
          <w:p>
            <w:pPr>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Non-Employee Director Compensation Policy</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333-249648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10.32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2020-11-12</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15"/>
                <w:szCs w:val="15"/>
                <w:color w:val="auto"/>
              </w:rPr>
            </w:pPr>
          </w:p>
        </w:tc>
        <w:tc>
          <w:tcPr>
            <w:tcW w:w="5920" w:type="dxa"/>
            <w:vAlign w:val="bottom"/>
            <w:gridSpan w:val="9"/>
            <w:shd w:val="clear" w:color="auto" w:fill="CCEEFF"/>
          </w:tcPr>
          <w:p>
            <w:pPr>
              <w:spacing w:after="0" w:line="17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Employment Agreement by and between Sotera Health LLC and Michael P. Rutz,</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dated as of May 21, 2020</w:t>
              </w:r>
            </w:hyperlink>
          </w:p>
        </w:tc>
        <w:tc>
          <w:tcPr>
            <w:tcW w:w="406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10-K</w:t>
            </w:r>
          </w:p>
        </w:tc>
        <w:tc>
          <w:tcPr>
            <w:tcW w:w="1140" w:type="dxa"/>
            <w:vAlign w:val="bottom"/>
            <w:tcBorders>
              <w:top w:val="single" w:sz="8" w:color="CCEEFF"/>
              <w:bottom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001-39729</w:t>
            </w:r>
          </w:p>
        </w:tc>
        <w:tc>
          <w:tcPr>
            <w:tcW w:w="620" w:type="dxa"/>
            <w:vAlign w:val="bottom"/>
            <w:tcBorders>
              <w:top w:val="single" w:sz="8" w:color="CCEEFF"/>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7"/>
              </w:rPr>
              <w:t>10.26</w:t>
            </w:r>
          </w:p>
        </w:tc>
        <w:tc>
          <w:tcPr>
            <w:tcW w:w="104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2021-03-09</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5920" w:type="dxa"/>
            <w:vAlign w:val="bottom"/>
            <w:gridSpan w:val="9"/>
          </w:tcPr>
          <w:p>
            <w:pPr>
              <w:spacing w:after="0"/>
              <w:rPr>
                <w:rFonts w:ascii="Arial" w:cs="Arial" w:eastAsia="Arial" w:hAnsi="Arial"/>
                <w:sz w:val="18"/>
                <w:szCs w:val="18"/>
                <w:color w:val="0000EE"/>
                <w:w w:val="93"/>
              </w:rPr>
            </w:pPr>
            <w:hyperlink r:id="rId187">
              <w:r>
                <w:rPr>
                  <w:rFonts w:ascii="Arial" w:cs="Arial" w:eastAsia="Arial" w:hAnsi="Arial"/>
                  <w:sz w:val="18"/>
                  <w:szCs w:val="18"/>
                  <w:color w:val="0000EE"/>
                  <w:w w:val="93"/>
                </w:rPr>
                <w:t>Incremental Facility Amendment to the First Lien Credit Agreement, dated as of</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gridSpan w:val="19"/>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December 17, 2020, among Sotera Health Company, Sotera Health Holdings, LLC,</w:t>
              </w:r>
            </w:hyperlink>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the Incremental Amendment Revolving Lends party thereto, Jefferies Finance LLC,</w:t>
              </w:r>
            </w:hyperlink>
          </w:p>
        </w:tc>
        <w:tc>
          <w:tcPr>
            <w:tcW w:w="136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20" w:type="dxa"/>
            <w:vAlign w:val="bottom"/>
            <w:tcBorders>
              <w:top w:val="single" w:sz="8" w:color="0000EE"/>
            </w:tcBorders>
            <w:gridSpan w:val="9"/>
          </w:tcPr>
          <w:p>
            <w:pPr>
              <w:spacing w:after="0"/>
              <w:rPr>
                <w:rFonts w:ascii="Arial" w:cs="Arial" w:eastAsia="Arial" w:hAnsi="Arial"/>
                <w:sz w:val="18"/>
                <w:szCs w:val="18"/>
                <w:u w:val="single" w:color="auto"/>
                <w:color w:val="0000EE"/>
                <w:w w:val="91"/>
              </w:rPr>
            </w:pPr>
            <w:hyperlink r:id="rId187">
              <w:r>
                <w:rPr>
                  <w:rFonts w:ascii="Arial" w:cs="Arial" w:eastAsia="Arial" w:hAnsi="Arial"/>
                  <w:sz w:val="18"/>
                  <w:szCs w:val="18"/>
                  <w:u w:val="single" w:color="auto"/>
                  <w:color w:val="0000EE"/>
                  <w:w w:val="91"/>
                </w:rPr>
                <w:t>as First Lien Administrative Agent, each Issuing Bank and the Other Loan Parties</w:t>
              </w:r>
            </w:hyperlink>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001-39729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10.27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2021-03-09</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Refinancing Amendment to the First Lien Credit Agreement, dated as of January</w:t>
              </w:r>
            </w:hyperlink>
          </w:p>
        </w:tc>
        <w:tc>
          <w:tcPr>
            <w:tcW w:w="22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79"/>
              </w:rPr>
            </w:pPr>
            <w:hyperlink r:id="rId188">
              <w:r>
                <w:rPr>
                  <w:rFonts w:ascii="Arial" w:cs="Arial" w:eastAsia="Arial" w:hAnsi="Arial"/>
                  <w:sz w:val="18"/>
                  <w:szCs w:val="18"/>
                  <w:color w:val="0000EE"/>
                  <w:w w:val="79"/>
                </w:rPr>
                <w:t>20,</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20" w:type="dxa"/>
            <w:vAlign w:val="bottom"/>
            <w:gridSpan w:val="19"/>
            <w:shd w:val="clear" w:color="auto" w:fill="CCEEFF"/>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2021, among Sotera Health Company, Sotera Health Holdings, LLC, the Refinancing</w:t>
              </w:r>
            </w:hyperlink>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Lenders Party thereto, the Revolving Lenders party to the First Lien Credit</w:t>
              </w:r>
            </w:hyperlink>
          </w:p>
        </w:tc>
        <w:tc>
          <w:tcPr>
            <w:tcW w:w="52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10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20" w:type="dxa"/>
            <w:vAlign w:val="bottom"/>
            <w:gridSpan w:val="19"/>
            <w:shd w:val="clear" w:color="auto" w:fill="CCEEFF"/>
          </w:tcPr>
          <w:p>
            <w:pPr>
              <w:spacing w:after="0"/>
              <w:rPr>
                <w:rFonts w:ascii="Arial" w:cs="Arial" w:eastAsia="Arial" w:hAnsi="Arial"/>
                <w:sz w:val="18"/>
                <w:szCs w:val="18"/>
                <w:u w:val="single" w:color="auto"/>
                <w:color w:val="0000EE"/>
              </w:rPr>
            </w:pPr>
            <w:hyperlink r:id="rId188">
              <w:r>
                <w:rPr>
                  <w:rFonts w:ascii="Arial" w:cs="Arial" w:eastAsia="Arial" w:hAnsi="Arial"/>
                  <w:sz w:val="18"/>
                  <w:szCs w:val="18"/>
                  <w:u w:val="single" w:color="auto"/>
                  <w:color w:val="0000EE"/>
                </w:rPr>
                <w:t>Agreement and Jefferies Finance LLC, as First Lien Administrative Agent and First</w:t>
              </w:r>
            </w:hyperlink>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920" w:type="dxa"/>
            <w:vAlign w:val="bottom"/>
            <w:gridSpan w:val="9"/>
            <w:shd w:val="clear" w:color="auto" w:fill="CCEEFF"/>
          </w:tcPr>
          <w:p>
            <w:pPr>
              <w:spacing w:after="0"/>
              <w:rPr>
                <w:rFonts w:ascii="Arial" w:cs="Arial" w:eastAsia="Arial" w:hAnsi="Arial"/>
                <w:sz w:val="18"/>
                <w:szCs w:val="18"/>
                <w:u w:val="single" w:color="auto"/>
                <w:color w:val="0000EE"/>
              </w:rPr>
            </w:pPr>
            <w:hyperlink r:id="rId188">
              <w:r>
                <w:rPr>
                  <w:rFonts w:ascii="Arial" w:cs="Arial" w:eastAsia="Arial" w:hAnsi="Arial"/>
                  <w:sz w:val="18"/>
                  <w:szCs w:val="18"/>
                  <w:u w:val="single" w:color="auto"/>
                  <w:color w:val="0000EE"/>
                </w:rPr>
                <w:t>Lien Collateral Agent</w:t>
              </w:r>
            </w:hyperlink>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10-K</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001-39729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10.28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2021-03-09</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5920" w:type="dxa"/>
            <w:vAlign w:val="bottom"/>
            <w:gridSpan w:val="9"/>
          </w:tcPr>
          <w:p>
            <w:pPr>
              <w:spacing w:after="0"/>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List of Subsidiaries</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001-39729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2021-03-09</w:t>
            </w: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5"/>
              </w:rPr>
              <w:t>23.1</w:t>
            </w:r>
          </w:p>
        </w:tc>
        <w:tc>
          <w:tcPr>
            <w:tcW w:w="6420" w:type="dxa"/>
            <w:vAlign w:val="bottom"/>
            <w:shd w:val="clear" w:color="auto" w:fill="CCEEFF"/>
          </w:tcPr>
          <w:p>
            <w:pPr>
              <w:ind w:left="24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Consent of Cleary Gottlieb Steen &amp; Hamilton LLP (included in Exhibit 5.1)</w:t>
              </w:r>
            </w:hyperlink>
          </w:p>
        </w:tc>
        <w:tc>
          <w:tcPr>
            <w:tcW w:w="4040" w:type="dxa"/>
            <w:vAlign w:val="bottom"/>
            <w:shd w:val="clear" w:color="auto" w:fill="CCEEFF"/>
          </w:tcPr>
          <w:p>
            <w:pPr>
              <w:jc w:val="right"/>
              <w:ind w:right="3530"/>
              <w:spacing w:after="0"/>
              <w:rPr>
                <w:sz w:val="20"/>
                <w:szCs w:val="20"/>
                <w:color w:val="auto"/>
              </w:rPr>
            </w:pPr>
            <w:r>
              <w:rPr>
                <w:rFonts w:ascii="Arial" w:cs="Arial" w:eastAsia="Arial" w:hAnsi="Arial"/>
                <w:sz w:val="18"/>
                <w:szCs w:val="18"/>
                <w:color w:val="auto"/>
              </w:rPr>
              <w:t>*</w:t>
            </w:r>
          </w:p>
        </w:tc>
      </w:tr>
      <w:tr>
        <w:trPr>
          <w:trHeight w:val="324"/>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23.2</w:t>
            </w:r>
          </w:p>
        </w:tc>
        <w:tc>
          <w:tcPr>
            <w:tcW w:w="6420" w:type="dxa"/>
            <w:vAlign w:val="bottom"/>
          </w:tcPr>
          <w:p>
            <w:pPr>
              <w:ind w:left="240"/>
              <w:spacing w:after="0"/>
              <w:rPr>
                <w:rFonts w:ascii="Arial" w:cs="Arial" w:eastAsia="Arial" w:hAnsi="Arial"/>
                <w:sz w:val="18"/>
                <w:szCs w:val="18"/>
                <w:u w:val="single" w:color="auto"/>
                <w:color w:val="0000EE"/>
                <w:w w:val="96"/>
              </w:rPr>
            </w:pPr>
            <w:hyperlink w:anchor="page165">
              <w:r>
                <w:rPr>
                  <w:rFonts w:ascii="Arial" w:cs="Arial" w:eastAsia="Arial" w:hAnsi="Arial"/>
                  <w:sz w:val="18"/>
                  <w:szCs w:val="18"/>
                  <w:u w:val="single" w:color="auto"/>
                  <w:color w:val="0000EE"/>
                  <w:w w:val="96"/>
                </w:rPr>
                <w:t>Consent of Ernst &amp; Young LLP, Independent Registered Public Accounting Firm</w:t>
              </w:r>
            </w:hyperlink>
          </w:p>
        </w:tc>
        <w:tc>
          <w:tcPr>
            <w:tcW w:w="4040" w:type="dxa"/>
            <w:vAlign w:val="bottom"/>
          </w:tcPr>
          <w:p>
            <w:pPr>
              <w:jc w:val="right"/>
              <w:ind w:right="3530"/>
              <w:spacing w:after="0"/>
              <w:rPr>
                <w:sz w:val="20"/>
                <w:szCs w:val="20"/>
                <w:color w:val="auto"/>
              </w:rPr>
            </w:pPr>
            <w:r>
              <w:rPr>
                <w:rFonts w:ascii="Arial" w:cs="Arial" w:eastAsia="Arial" w:hAnsi="Arial"/>
                <w:sz w:val="18"/>
                <w:szCs w:val="18"/>
                <w:color w:val="auto"/>
              </w:rPr>
              <w:t>*</w:t>
            </w:r>
          </w:p>
        </w:tc>
      </w:tr>
      <w:tr>
        <w:trPr>
          <w:trHeight w:val="108"/>
        </w:trPr>
        <w:tc>
          <w:tcPr>
            <w:tcW w:w="560" w:type="dxa"/>
            <w:vAlign w:val="bottom"/>
          </w:tcPr>
          <w:p>
            <w:pPr>
              <w:spacing w:after="0"/>
              <w:rPr>
                <w:sz w:val="9"/>
                <w:szCs w:val="9"/>
                <w:color w:val="auto"/>
              </w:rPr>
            </w:pPr>
          </w:p>
        </w:tc>
        <w:tc>
          <w:tcPr>
            <w:tcW w:w="6420" w:type="dxa"/>
            <w:vAlign w:val="bottom"/>
          </w:tcPr>
          <w:p>
            <w:pPr>
              <w:spacing w:after="0"/>
              <w:rPr>
                <w:sz w:val="9"/>
                <w:szCs w:val="9"/>
                <w:color w:val="auto"/>
              </w:rPr>
            </w:pPr>
          </w:p>
        </w:tc>
        <w:tc>
          <w:tcPr>
            <w:tcW w:w="4040" w:type="dxa"/>
            <w:vAlign w:val="bottom"/>
          </w:tcPr>
          <w:p>
            <w:pPr>
              <w:spacing w:after="0"/>
              <w:rPr>
                <w:sz w:val="9"/>
                <w:szCs w:val="9"/>
                <w:color w:val="auto"/>
              </w:rPr>
            </w:pPr>
          </w:p>
        </w:tc>
      </w:tr>
      <w:tr>
        <w:trPr>
          <w:trHeight w:val="216"/>
        </w:trPr>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5"/>
              </w:rPr>
              <w:t>24.1</w:t>
            </w:r>
          </w:p>
        </w:tc>
        <w:tc>
          <w:tcPr>
            <w:tcW w:w="6420" w:type="dxa"/>
            <w:vAlign w:val="bottom"/>
            <w:shd w:val="clear" w:color="auto" w:fill="CCEEFF"/>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Power of Attorney (included on signature page)</w:t>
              </w:r>
            </w:hyperlink>
          </w:p>
        </w:tc>
        <w:tc>
          <w:tcPr>
            <w:tcW w:w="4040" w:type="dxa"/>
            <w:vAlign w:val="bottom"/>
            <w:shd w:val="clear" w:color="auto" w:fill="CCEEFF"/>
          </w:tcPr>
          <w:p>
            <w:pPr>
              <w:jc w:val="right"/>
              <w:ind w:right="35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9"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Certain confidential portions of this exhibit have been redacted pursuant to Item 601(b)(10)(iv) of Regulation S-K. The omitted information is</w:t>
      </w:r>
    </w:p>
    <w:p>
      <w:pPr>
        <w:spacing w:after="0" w:line="20" w:lineRule="exact"/>
        <w:rPr>
          <w:rFonts w:ascii="Arial" w:cs="Arial" w:eastAsia="Arial" w:hAnsi="Arial"/>
          <w:sz w:val="17"/>
          <w:szCs w:val="17"/>
          <w:color w:val="auto"/>
        </w:rPr>
      </w:pPr>
    </w:p>
    <w:p>
      <w:pPr>
        <w:ind w:left="540" w:right="240"/>
        <w:spacing w:after="0" w:line="260" w:lineRule="auto"/>
        <w:rPr>
          <w:rFonts w:ascii="Arial" w:cs="Arial" w:eastAsia="Arial" w:hAnsi="Arial"/>
          <w:sz w:val="17"/>
          <w:szCs w:val="17"/>
          <w:color w:val="auto"/>
        </w:rPr>
      </w:pPr>
      <w:r>
        <w:rPr>
          <w:rFonts w:ascii="Arial" w:cs="Arial" w:eastAsia="Arial" w:hAnsi="Arial"/>
          <w:sz w:val="18"/>
          <w:szCs w:val="18"/>
          <w:color w:val="auto"/>
        </w:rPr>
        <w:t>(i) not material and (ii) would likely cause us competitive harm if publicly disclosed. We agree to furnish supplementally an unredacted copy of the exhibit to the Securities and Exchange Commission on its request.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Broadview Heights, State of Ohio on March 15, 2021.</w:t>
      </w:r>
    </w:p>
    <w:p>
      <w:pPr>
        <w:spacing w:after="0" w:line="7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B. Petras, Jr.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Michael B. Petras, Jr.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bl>
    <w:p>
      <w:pPr>
        <w:spacing w:after="0" w:line="9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undersigned directors and officers of Sotera Health Company hereby constitute and appoint Michael B. Petras, Jr., Scott J. Leffler and Matthew J. Klaben, and each of them, any of whom may act without joinder of the other, the individual’s true and lawful attorneys-in-fact and agents, with full power of substitution and resubstituion, for the person and in his or her name, place and stead, and in any and all capacities, to sign this Registration Statement and any and all amendments, including post-effective amendments to the Registration Statement, including a prospectus or an amended prospectus therein and any Registration Statement for the same offering that is to be effective upon filing pursuant to Rule 462 under the Securities Act of 1933, as amended, and to file the same, with all exhibits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his or her substitute or substitutes, may lawfully do or cause to be done by virtue hereof.</w:t>
      </w:r>
    </w:p>
    <w:p>
      <w:pPr>
        <w:spacing w:after="0" w:line="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Michael B. Petras, Jr.</w:t>
            </w:r>
          </w:p>
        </w:tc>
        <w:tc>
          <w:tcPr>
            <w:tcW w:w="4720" w:type="dxa"/>
            <w:vAlign w:val="bottom"/>
            <w:gridSpan w:val="3"/>
            <w:vMerge w:val="restart"/>
          </w:tcPr>
          <w:p>
            <w:pPr>
              <w:jc w:val="center"/>
              <w:ind w:right="60"/>
              <w:spacing w:after="0"/>
              <w:rPr>
                <w:sz w:val="20"/>
                <w:szCs w:val="20"/>
                <w:color w:val="auto"/>
              </w:rPr>
            </w:pPr>
            <w:r>
              <w:rPr>
                <w:rFonts w:ascii="Arial" w:cs="Arial" w:eastAsia="Arial" w:hAnsi="Arial"/>
                <w:sz w:val="18"/>
                <w:szCs w:val="18"/>
                <w:color w:val="auto"/>
                <w:w w:val="92"/>
              </w:rPr>
              <w:t>Chairman and Chief Executive Officer (Principal Executive</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72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0"/>
              </w:rPr>
              <w:t>Michael B. Petras, Jr.</w:t>
            </w:r>
          </w:p>
        </w:tc>
        <w:tc>
          <w:tcPr>
            <w:tcW w:w="472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Officer)</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Scott J. Leffler</w:t>
            </w:r>
          </w:p>
        </w:tc>
        <w:tc>
          <w:tcPr>
            <w:tcW w:w="4720" w:type="dxa"/>
            <w:vAlign w:val="bottom"/>
            <w:gridSpan w:val="3"/>
            <w:vMerge w:val="restart"/>
          </w:tcPr>
          <w:p>
            <w:pPr>
              <w:jc w:val="center"/>
              <w:ind w:right="60"/>
              <w:spacing w:after="0"/>
              <w:rPr>
                <w:sz w:val="20"/>
                <w:szCs w:val="20"/>
                <w:color w:val="auto"/>
              </w:rPr>
            </w:pPr>
            <w:r>
              <w:rPr>
                <w:rFonts w:ascii="Arial" w:cs="Arial" w:eastAsia="Arial" w:hAnsi="Arial"/>
                <w:sz w:val="18"/>
                <w:szCs w:val="18"/>
                <w:color w:val="auto"/>
                <w:w w:val="92"/>
              </w:rPr>
              <w:t>Chief Financial Officer and Treasurer (Principal Financial</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72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Scott J. Leffler</w:t>
            </w:r>
          </w:p>
        </w:tc>
        <w:tc>
          <w:tcPr>
            <w:tcW w:w="47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and Accounting Officer)</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Ruoxi Chen</w:t>
            </w:r>
          </w:p>
        </w:tc>
        <w:tc>
          <w:tcPr>
            <w:tcW w:w="47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24"/>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1"/>
              </w:rPr>
              <w:t>Ruoxi Chen</w:t>
            </w:r>
          </w:p>
        </w:tc>
        <w:tc>
          <w:tcPr>
            <w:tcW w:w="472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Sean L. Cunningham</w:t>
            </w:r>
          </w:p>
        </w:tc>
        <w:tc>
          <w:tcPr>
            <w:tcW w:w="47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24"/>
        </w:trPr>
        <w:tc>
          <w:tcPr>
            <w:tcW w:w="46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Sean L. Cunningham</w:t>
            </w:r>
          </w:p>
        </w:tc>
        <w:tc>
          <w:tcPr>
            <w:tcW w:w="472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6"/>
              </w:rPr>
              <w:t>/s/ David A. Donnini</w:t>
            </w:r>
          </w:p>
        </w:tc>
        <w:tc>
          <w:tcPr>
            <w:tcW w:w="47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24"/>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6"/>
              </w:rPr>
              <w:t>David A. Donnini</w:t>
            </w:r>
          </w:p>
        </w:tc>
        <w:tc>
          <w:tcPr>
            <w:tcW w:w="472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/s/ Stephanie M. Geveda</w:t>
            </w:r>
          </w:p>
        </w:tc>
        <w:tc>
          <w:tcPr>
            <w:tcW w:w="47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24"/>
        </w:trPr>
        <w:tc>
          <w:tcPr>
            <w:tcW w:w="46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Stephanie M. Geveda</w:t>
            </w:r>
          </w:p>
        </w:tc>
        <w:tc>
          <w:tcPr>
            <w:tcW w:w="472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Ann R. Klee</w:t>
            </w:r>
          </w:p>
        </w:tc>
        <w:tc>
          <w:tcPr>
            <w:tcW w:w="47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24"/>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3"/>
              </w:rPr>
              <w:t>Ann R. Klee</w:t>
            </w:r>
          </w:p>
        </w:tc>
        <w:tc>
          <w:tcPr>
            <w:tcW w:w="472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Constantine S. Mihas</w:t>
            </w:r>
          </w:p>
        </w:tc>
        <w:tc>
          <w:tcPr>
            <w:tcW w:w="47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24"/>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89"/>
              </w:rPr>
              <w:t>Constantine S. Mihas</w:t>
            </w:r>
          </w:p>
        </w:tc>
        <w:tc>
          <w:tcPr>
            <w:tcW w:w="472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James C. Neary</w:t>
            </w:r>
          </w:p>
        </w:tc>
        <w:tc>
          <w:tcPr>
            <w:tcW w:w="47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24"/>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88"/>
              </w:rPr>
              <w:t>James C. Neary</w:t>
            </w:r>
          </w:p>
        </w:tc>
        <w:tc>
          <w:tcPr>
            <w:tcW w:w="472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Vincent K. Petrella</w:t>
            </w:r>
          </w:p>
        </w:tc>
        <w:tc>
          <w:tcPr>
            <w:tcW w:w="472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March 15, 2021</w:t>
            </w:r>
          </w:p>
        </w:tc>
        <w:tc>
          <w:tcPr>
            <w:tcW w:w="0" w:type="dxa"/>
            <w:vAlign w:val="bottom"/>
          </w:tcPr>
          <w:p>
            <w:pPr>
              <w:spacing w:after="0"/>
              <w:rPr>
                <w:sz w:val="1"/>
                <w:szCs w:val="1"/>
                <w:color w:val="auto"/>
              </w:rPr>
            </w:pPr>
          </w:p>
        </w:tc>
      </w:tr>
      <w:tr>
        <w:trPr>
          <w:trHeight w:val="224"/>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3"/>
              </w:rPr>
              <w:t>Vincent K. Petrella</w:t>
            </w:r>
          </w:p>
        </w:tc>
        <w:tc>
          <w:tcPr>
            <w:tcW w:w="472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720" w:type="dxa"/>
            <w:vAlign w:val="bottom"/>
            <w:gridSpan w:val="3"/>
          </w:tcPr>
          <w:p>
            <w:pPr>
              <w:ind w:left="740"/>
              <w:spacing w:after="0"/>
              <w:rPr>
                <w:sz w:val="20"/>
                <w:szCs w:val="20"/>
                <w:color w:val="auto"/>
              </w:rPr>
            </w:pPr>
            <w:r>
              <w:rPr>
                <w:rFonts w:ascii="Arial" w:cs="Arial" w:eastAsia="Arial" w:hAnsi="Arial"/>
                <w:sz w:val="18"/>
                <w:szCs w:val="18"/>
                <w:color w:val="auto"/>
              </w:rPr>
              <w:t>II-7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4600" w:right="4480" w:hanging="132"/>
        <w:spacing w:after="0" w:line="563" w:lineRule="auto"/>
        <w:tabs>
          <w:tab w:leader="none" w:pos="4699"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Shares of Common Stock Underwriting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Certain stockholders named in Schedule 2 hereto (the “Selling Stockholders”) of Sotera Health Company, a Delaware corporation (the “Company”), propose to sell to the several underwriters listed in Schedule 1 hereto (the “Underwriters”), for whom you are acting as representative (the “Representatives”), an aggregate of [•] shares (the “Underwritten Shares”) of common stock, par value $0.01 per share (“Common Stock”), of the Company and, at the option of the Underwriters, up to an additional [•] shares (the “Option Shares”) of Common Stock of the Company. The Underwritten Shares and the Option Shares are herein referred to as the “Shares.” The shares of Common Stock of the Company to be outstanding after giving effect to the sale of the Shares are referred to herein as the “Stock.”</w:t>
      </w:r>
    </w:p>
    <w:p>
      <w:pPr>
        <w:sectPr>
          <w:pgSz w:w="11900" w:h="16838" w:orient="portrait"/>
          <w:cols w:equalWidth="0" w:num="1">
            <w:col w:w="11020"/>
          </w:cols>
          <w:pgMar w:left="440" w:top="121" w:right="439" w:bottom="1440" w:gutter="0" w:footer="0" w:header="0"/>
        </w:sectPr>
      </w:pPr>
    </w:p>
    <w:bookmarkStart w:id="93" w:name="page94"/>
    <w:bookmarkEnd w:id="9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and the Selling Stockholders hereby confirm their agreement with the several Underwriters concerning the purchase and sale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as follows:</w:t>
      </w:r>
    </w:p>
    <w:p>
      <w:pPr>
        <w:spacing w:after="0" w:line="103" w:lineRule="exact"/>
        <w:rPr>
          <w:sz w:val="20"/>
          <w:szCs w:val="20"/>
          <w:color w:val="auto"/>
        </w:rPr>
      </w:pPr>
    </w:p>
    <w:p>
      <w:pPr>
        <w:ind w:firstLine="436"/>
        <w:spacing w:after="0" w:line="286" w:lineRule="auto"/>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S-1 under the Securities Act, as of the effective date of the Registration Statement or the date of such Preliminary Prospectus or the Prospectus, as the case may be. Capitalized terms used but not defined herein shall have the meanings given to such terms in the Registration Statement and the Prospectus.</w:t>
      </w:r>
    </w:p>
    <w:p>
      <w:pPr>
        <w:spacing w:after="0" w:line="167" w:lineRule="exact"/>
        <w:rPr>
          <w:sz w:val="20"/>
          <w:szCs w:val="20"/>
          <w:color w:val="auto"/>
        </w:rPr>
      </w:pPr>
    </w:p>
    <w:p>
      <w:pPr>
        <w:ind w:right="640" w:firstLine="440"/>
        <w:spacing w:after="0" w:line="263"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“Pricing Disclosure Package”): a Preliminary Prospectus dated March [•], 2021 and each “free-writing prospectus” (as defined pursuant to Rule 405 under the Securities Act) listed on Annex A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Time” means [•] [A.M.][P.M.], New York City time, on March [•], 2021.</w:t>
      </w:r>
    </w:p>
    <w:p>
      <w:pPr>
        <w:spacing w:after="0" w:line="225" w:lineRule="exact"/>
        <w:rPr>
          <w:sz w:val="20"/>
          <w:szCs w:val="20"/>
          <w:color w:val="auto"/>
        </w:rPr>
      </w:pPr>
    </w:p>
    <w:p>
      <w:pPr>
        <w:ind w:left="620" w:hanging="184"/>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Purchase of the Shares</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71" w:lineRule="auto"/>
        <w:tabs>
          <w:tab w:leader="none" w:pos="6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Each of the Selling Stockholders agrees, severally and not jointly, to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 (the “Purchase Price”) from each of the Selling Stockholders the number of Underwritten Shares (to be adjusted by you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from all of the Selling Stockholders 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4" w:name="page95"/>
    <w:bookmarkEnd w:id="94"/>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addition, each of the Selling Stockholders agrees severally and not jointly, as and to the extent indicated in Schedule 2 hereto, to sell the Option Shares to the several Underwriters, and the Underwriters, on the basis of the representations, warranties and agreements set forth herein and subject to the conditions set forth herein, shall have the option to purchase, severally and not jointly, from each Selling Stockholder the Option Shares at the Purchase Price less an amount per share equal to any dividends or distributions declared by the Company and payable on the Underwritten Shares but not payable on the Option Shares.</w:t>
      </w:r>
    </w:p>
    <w:p>
      <w:pPr>
        <w:spacing w:after="0" w:line="18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Selling Stockholders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each Selling Stockholder as set forth in Schedule 2 hereto.</w:t>
      </w:r>
    </w:p>
    <w:p>
      <w:pPr>
        <w:spacing w:after="0" w:line="164"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The Underwriters may exercise the option to purchase Option Shares at any time in whole, or from time to time in part, on or before the thirtieth day following the date of the Prospectus, by written notice from the Representatives to the Attorneys-in-Fact (as defined below).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164" w:lineRule="exact"/>
        <w:rPr>
          <w:sz w:val="20"/>
          <w:szCs w:val="20"/>
          <w:color w:val="auto"/>
        </w:rPr>
      </w:pPr>
    </w:p>
    <w:p>
      <w:pPr>
        <w:jc w:val="both"/>
        <w:ind w:right="100" w:firstLine="436"/>
        <w:spacing w:after="0" w:line="263"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Selling Stockholders understand that the Underwriters intend to make a public offering of the Shares, and initially to offer the Shares on the terms set forth in the Pricing Disclosure Package. The Selling Stockholders acknowledge and agree that the Underwriters may offer and sell Shares to or through any affiliate of an Underwriter.</w:t>
      </w:r>
    </w:p>
    <w:p>
      <w:pPr>
        <w:spacing w:after="0" w:line="183" w:lineRule="exact"/>
        <w:rPr>
          <w:rFonts w:ascii="Arial" w:cs="Arial" w:eastAsia="Arial" w:hAnsi="Arial"/>
          <w:sz w:val="18"/>
          <w:szCs w:val="18"/>
          <w:color w:val="auto"/>
        </w:rPr>
      </w:pPr>
    </w:p>
    <w:p>
      <w:pPr>
        <w:ind w:right="100" w:firstLine="436"/>
        <w:spacing w:after="0" w:line="291" w:lineRule="auto"/>
        <w:tabs>
          <w:tab w:leader="none" w:pos="685" w:val="left"/>
        </w:tabs>
        <w:numPr>
          <w:ilvl w:val="0"/>
          <w:numId w:val="62"/>
        </w:numPr>
        <w:rPr>
          <w:rFonts w:ascii="Arial" w:cs="Arial" w:eastAsia="Arial" w:hAnsi="Arial"/>
          <w:sz w:val="16"/>
          <w:szCs w:val="16"/>
          <w:color w:val="auto"/>
        </w:rPr>
      </w:pPr>
      <w:r>
        <w:rPr>
          <w:rFonts w:ascii="Arial" w:cs="Arial" w:eastAsia="Arial" w:hAnsi="Arial"/>
          <w:sz w:val="16"/>
          <w:szCs w:val="16"/>
          <w:color w:val="auto"/>
        </w:rPr>
        <w:t>Payment for the Shares shall be made by wire transfer in immediately available funds to the account specified by each of the Sponsor Selling Stockholders (as defined herein) and the Attorneys-in-Fact to the Representatives in the case of the Underwritten Shares, via teleconference at 10:00 A.M. New York City time on March [•], 2021, or at such other time or place on the same or such other date, not later than the fifth business day thereafter, as the Representatives and each of the Sponsor Selling Stockholders and the Attorneys-in-Fact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95" w:name="page96"/>
    <w:bookmarkEnd w:id="95"/>
    <w:p>
      <w:pPr>
        <w:jc w:val="both"/>
        <w:ind w:right="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Selling Stockholders. Delivery of the Shares shall be made through the facilities of The Depository Trust Company (“DTC”) unless the Representatives shall otherwise instruct.</w:t>
      </w:r>
    </w:p>
    <w:p>
      <w:pPr>
        <w:spacing w:after="0" w:line="157" w:lineRule="exact"/>
        <w:rPr>
          <w:sz w:val="20"/>
          <w:szCs w:val="20"/>
          <w:color w:val="auto"/>
        </w:rPr>
      </w:pPr>
    </w:p>
    <w:p>
      <w:pPr>
        <w:ind w:firstLine="436"/>
        <w:spacing w:after="0" w:line="286"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of the Company and each Selling Stockholder acknowledges and agrees that the Representatives and the other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Representatives nor the other Underwriters shall have any responsibility or liability to the Company or the Selling Stockholders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 or the Selling Stockholders. Moreover, each Selling Stockholder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 to participate in the offering, enter into a “lock-up” agreement, or sell any Shares at the price determined in the offering, and nothing set forth in such disclosures is intended to suggest that the Representatives or any Underwriter is making such a recommendation.</w:t>
      </w:r>
    </w:p>
    <w:p>
      <w:pPr>
        <w:spacing w:after="0" w:line="171" w:lineRule="exact"/>
        <w:rPr>
          <w:sz w:val="20"/>
          <w:szCs w:val="20"/>
          <w:color w:val="auto"/>
        </w:rPr>
      </w:pPr>
    </w:p>
    <w:p>
      <w:pPr>
        <w:ind w:left="620" w:hanging="184"/>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each Underwriter and each Selling Stockholder that:</w:t>
      </w:r>
    </w:p>
    <w:p>
      <w:pPr>
        <w:spacing w:after="0" w:line="140" w:lineRule="exact"/>
        <w:rPr>
          <w:rFonts w:ascii="Arial" w:cs="Arial" w:eastAsia="Arial" w:hAnsi="Arial"/>
          <w:sz w:val="16"/>
          <w:szCs w:val="16"/>
          <w:color w:val="auto"/>
        </w:rPr>
      </w:pPr>
    </w:p>
    <w:p>
      <w:pPr>
        <w:ind w:left="440" w:right="180" w:firstLine="419"/>
        <w:spacing w:after="0" w:line="290" w:lineRule="auto"/>
        <w:tabs>
          <w:tab w:leader="none" w:pos="1107"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any Preliminary Prospectus has been issued by the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each Preliminary Prospectus included in the Pricing Disclosure Package, at the time of filing thereof, complied in all material respects with the Securities Act, and no Preliminary Prospectus 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9(d) 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96" w:name="page97"/>
    <w:bookmarkEnd w:id="96"/>
    <w:p>
      <w:pPr>
        <w:ind w:right="60" w:firstLine="419"/>
        <w:spacing w:after="0" w:line="253" w:lineRule="auto"/>
        <w:tabs>
          <w:tab w:leader="none" w:pos="678"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Pricing Disclosure Package. </w:t>
      </w:r>
      <w:r>
        <w:rPr>
          <w:rFonts w:ascii="Arial" w:cs="Arial" w:eastAsia="Arial" w:hAnsi="Arial"/>
          <w:sz w:val="18"/>
          <w:szCs w:val="18"/>
          <w:color w:val="auto"/>
        </w:rPr>
        <w:t>The Pricing Disclosure Package as of the Applicable Time did not, and as of the Closing Date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9(d)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88" w:lineRule="exact"/>
        <w:rPr>
          <w:rFonts w:ascii="Arial" w:cs="Arial" w:eastAsia="Arial" w:hAnsi="Arial"/>
          <w:sz w:val="18"/>
          <w:szCs w:val="18"/>
          <w:color w:val="auto"/>
        </w:rPr>
      </w:pPr>
    </w:p>
    <w:p>
      <w:pPr>
        <w:ind w:firstLine="419"/>
        <w:spacing w:after="0" w:line="285" w:lineRule="auto"/>
        <w:tabs>
          <w:tab w:leader="none" w:pos="667"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w:t>
      </w:r>
      <w:r>
        <w:rPr>
          <w:rFonts w:ascii="Arial" w:cs="Arial" w:eastAsia="Arial" w:hAnsi="Arial"/>
          <w:sz w:val="16"/>
          <w:szCs w:val="16"/>
          <w:color w:val="auto"/>
        </w:rPr>
        <w:t>Other than the Registration Statement, the Preliminary Prospectus and the Prospectus,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9(d) hereof.</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97" w:name="page98"/>
    <w:bookmarkEnd w:id="97"/>
    <w:p>
      <w:pPr>
        <w:ind w:left="4" w:right="180" w:firstLine="419"/>
        <w:spacing w:after="0" w:line="263" w:lineRule="auto"/>
        <w:tabs>
          <w:tab w:leader="none" w:pos="68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Emerging Growth Company</w:t>
      </w:r>
      <w:r>
        <w:rPr>
          <w:rFonts w:ascii="Arial" w:cs="Arial" w:eastAsia="Arial" w:hAnsi="Arial"/>
          <w:sz w:val="18"/>
          <w:szCs w:val="18"/>
          <w:color w:val="auto"/>
        </w:rPr>
        <w:t>. From the time of initial confidential submission of the Registration Statement to the Commission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the Company has been and is an “emerging growth company,” as defined in Section 2(a) of the Securities Act (an “Emerging Growth Company”).</w:t>
      </w:r>
    </w:p>
    <w:p>
      <w:pPr>
        <w:spacing w:after="0" w:line="75" w:lineRule="exact"/>
        <w:rPr>
          <w:rFonts w:ascii="Arial" w:cs="Arial" w:eastAsia="Arial" w:hAnsi="Arial"/>
          <w:sz w:val="18"/>
          <w:szCs w:val="18"/>
          <w:color w:val="auto"/>
        </w:rPr>
      </w:pPr>
    </w:p>
    <w:p>
      <w:pPr>
        <w:ind w:left="664" w:hanging="241"/>
        <w:spacing w:after="0"/>
        <w:tabs>
          <w:tab w:leader="none" w:pos="664"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Materials. </w:t>
      </w:r>
      <w:r>
        <w:rPr>
          <w:rFonts w:ascii="Arial" w:cs="Arial" w:eastAsia="Arial" w:hAnsi="Arial"/>
          <w:sz w:val="17"/>
          <w:szCs w:val="17"/>
          <w:color w:val="auto"/>
        </w:rPr>
        <w:t>The Company (i) has not alone engaged in any Testing-the-Waters Communications other than</w:t>
      </w:r>
    </w:p>
    <w:p>
      <w:pPr>
        <w:spacing w:after="0" w:line="35"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w:t>
      </w:r>
    </w:p>
    <w:p>
      <w:pPr>
        <w:spacing w:after="0" w:line="2" w:lineRule="exact"/>
        <w:rPr>
          <w:sz w:val="20"/>
          <w:szCs w:val="20"/>
          <w:color w:val="auto"/>
        </w:rPr>
      </w:pPr>
    </w:p>
    <w:p>
      <w:pPr>
        <w:ind w:left="4" w:right="20" w:hanging="4"/>
        <w:spacing w:after="0" w:line="284" w:lineRule="auto"/>
        <w:tabs>
          <w:tab w:leader="none" w:pos="258"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Annex B hereto. “Testing-the-Waters Communication” means any oral or written communication with potential investors undertaken in reliance on either Section 5(d) of, or Rule 163B under, the Securities Act. “Written Testing-the-Waters Communication” means any Testing-the-Waters Communication that is a written communication within the meaning of Rule 405 under the Securities Act. Any individual Written Testing-the-Waters Communication does not conflict in any material respect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each such Written Testing-the-Waters Communications in reliance upon and in conformity with information relating to any Underwriter furnished to the Company in writing by such Underwriter through the Representatives expressly for use in such Written Testing-the-Waters Communications, it being understood and agreed that the only such information furnished by any Underwriter, if any, consists of the information described as such in Section 9(d) hereof.</w:t>
      </w:r>
    </w:p>
    <w:p>
      <w:pPr>
        <w:spacing w:after="0" w:line="283" w:lineRule="exact"/>
        <w:rPr>
          <w:rFonts w:ascii="Arial" w:cs="Arial" w:eastAsia="Arial" w:hAnsi="Arial"/>
          <w:sz w:val="16"/>
          <w:szCs w:val="16"/>
          <w:color w:val="auto"/>
        </w:rPr>
      </w:pPr>
    </w:p>
    <w:p>
      <w:pPr>
        <w:ind w:left="4" w:right="40" w:firstLine="419"/>
        <w:spacing w:after="0" w:line="311" w:lineRule="auto"/>
        <w:tabs>
          <w:tab w:leader="none" w:pos="651"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has been declared effective by the Commission. No order suspending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effectiveness of the Registration Statement has been issued by the Commission, and no proceeding for that purpose or pursuant to Section 8A of the Securities Act against the Company or related to the offering of the Shares has been initiated or, to the knowledge of the Company,</w:t>
      </w:r>
    </w:p>
    <w:p>
      <w:pPr>
        <w:spacing w:after="0" w:line="8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98" w:name="page99"/>
    <w:bookmarkEnd w:id="9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9(d) hereof.</w:t>
      </w:r>
    </w:p>
    <w:p>
      <w:pPr>
        <w:spacing w:after="0" w:line="74" w:lineRule="exact"/>
        <w:rPr>
          <w:sz w:val="20"/>
          <w:szCs w:val="20"/>
          <w:color w:val="auto"/>
        </w:rPr>
      </w:pPr>
    </w:p>
    <w:p>
      <w:pPr>
        <w:ind w:right="120" w:firstLine="419"/>
        <w:spacing w:after="0" w:line="259" w:lineRule="auto"/>
        <w:tabs>
          <w:tab w:leader="none" w:pos="678"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Incorporated Documents. </w:t>
      </w:r>
      <w:r>
        <w:rPr>
          <w:rFonts w:ascii="Arial" w:cs="Arial" w:eastAsia="Arial" w:hAnsi="Arial"/>
          <w:sz w:val="18"/>
          <w:szCs w:val="18"/>
          <w:color w:val="auto"/>
        </w:rPr>
        <w:t>The documents incorporated by reference in the Registration Statement, the Prospectus and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20" w:firstLine="419"/>
        <w:spacing w:after="0" w:line="286" w:lineRule="auto"/>
        <w:tabs>
          <w:tab w:leader="none" w:pos="678"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historical financial statements (including the related notes and supporting schedules) and the other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data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operations and the changes in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 the other financial information included or incorporated by reference in each of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to the extent included or incorporated by reference in the Registration Statement, Pricing Disclosure Package and the Prospectus, any pro forma financial information and the related notes thereto included or</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99" w:name="page100"/>
    <w:bookmarkEnd w:id="99"/>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incorporated by reference in the Registration Statement, the Pricing Disclosure Package and the Prospectus have been prepared in accordance with the applicable requirements, in all material respects, of the Securities Act and the Exchange Act, as applicable, and the assumptions underlying such pro forma financial information are reasonable and are set forth in the Registration Statement, the Pricing Disclosure Package and the Prospectus.</w:t>
      </w:r>
    </w:p>
    <w:p>
      <w:pPr>
        <w:spacing w:after="0" w:line="79" w:lineRule="exact"/>
        <w:rPr>
          <w:sz w:val="20"/>
          <w:szCs w:val="20"/>
          <w:color w:val="auto"/>
        </w:rPr>
      </w:pPr>
    </w:p>
    <w:p>
      <w:pPr>
        <w:ind w:left="4" w:right="160" w:firstLine="419"/>
        <w:spacing w:after="0" w:line="284" w:lineRule="auto"/>
        <w:tabs>
          <w:tab w:leader="none" w:pos="641"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included or incorporated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in the Registration Statement, the Pricing Disclosure Package and the Prospectus, (i) there has not been any change in the capital stock (other than the grant or forfeiture of equity awards under equity incentive plans described in, the Registration Statement, the Pricing Disclosure Package and the Prospectus), any material change in the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w:t>
      </w:r>
    </w:p>
    <w:p>
      <w:pPr>
        <w:spacing w:after="0" w:line="2" w:lineRule="exact"/>
        <w:rPr>
          <w:rFonts w:ascii="Arial" w:cs="Arial" w:eastAsia="Arial" w:hAnsi="Arial"/>
          <w:sz w:val="16"/>
          <w:szCs w:val="16"/>
          <w:color w:val="auto"/>
        </w:rPr>
      </w:pPr>
    </w:p>
    <w:p>
      <w:pPr>
        <w:ind w:left="4" w:right="120" w:hanging="4"/>
        <w:spacing w:after="0" w:line="269" w:lineRule="auto"/>
        <w:tabs>
          <w:tab w:leader="none" w:pos="268"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the case of clause (i) – (iii) above, as otherwise disclosed in the Registration Statement, the Pricing Disclosure Package and the Prospectus.</w:t>
      </w:r>
    </w:p>
    <w:p>
      <w:pPr>
        <w:spacing w:after="0" w:line="72" w:lineRule="exact"/>
        <w:rPr>
          <w:sz w:val="20"/>
          <w:szCs w:val="20"/>
          <w:color w:val="auto"/>
        </w:rPr>
      </w:pPr>
    </w:p>
    <w:p>
      <w:pPr>
        <w:ind w:left="4" w:right="40" w:firstLine="419"/>
        <w:spacing w:after="0" w:line="270" w:lineRule="auto"/>
        <w:tabs>
          <w:tab w:leader="none" w:pos="641"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Each of the Company and its subsidiaries has been duly organized, is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as a corporation or other business entity under the laws of its jurisdiction of organization, is duly qualified to do business and in good standing as a foreign corporation or other business entity in each jurisdiction in which its ownership or lease of property or the conduct of its businesses requires such qualification, and has all requisite corporate and other organizational power and authority necessary to own or hold its properties and to conduct the businesses in which it is engaged, except where the failure to be so qualified or in good standing or have such power or authority could not, in the aggregate, reasonably be expected to have a material adverse effect on the business, properties, management, financial position, stockholders’ equity or results of operations of the Company and its subsidiaries taken as a whole or on the performance by the Company of its obligations under this Agreement (a “Material Adverse Effect”). There are no significant subsidiaries of the Company that are not listed in Exhibit 21.1 of the Registration Statement.</w:t>
      </w:r>
    </w:p>
    <w:p>
      <w:pPr>
        <w:spacing w:after="0" w:line="11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100" w:name="page101"/>
    <w:bookmarkEnd w:id="100"/>
    <w:p>
      <w:pPr>
        <w:ind w:right="40" w:firstLine="419"/>
        <w:spacing w:after="0" w:line="268" w:lineRule="auto"/>
        <w:tabs>
          <w:tab w:leader="none" w:pos="678"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Capitalization. </w:t>
      </w:r>
      <w:r>
        <w:rPr>
          <w:rFonts w:ascii="Arial" w:cs="Arial" w:eastAsia="Arial" w:hAnsi="Arial"/>
          <w:sz w:val="17"/>
          <w:szCs w:val="17"/>
          <w:color w:val="auto"/>
        </w:rPr>
        <w:t>The Company has an authorized capitalization as set forth in the Registration Statement, the Pricing Disclosure Package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Prospectus under the heading “Capitalization”;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except in the case of any foreign subsidiary, for directors’ qualifying shares, are owned directly or indirectly by the Company, free and clear of any lien, charge, encumbrance, security interest, restriction on voting or transfer or any other claim of any third party (except as (i) would not reasonably be expected, individually or in the aggregate, to have a Material Adverse Effect and (ii) described in the Pricing Disclosure Package and Prospectus).</w:t>
      </w:r>
    </w:p>
    <w:p>
      <w:pPr>
        <w:spacing w:after="0" w:line="76" w:lineRule="exact"/>
        <w:rPr>
          <w:rFonts w:ascii="Arial" w:cs="Arial" w:eastAsia="Arial" w:hAnsi="Arial"/>
          <w:sz w:val="17"/>
          <w:szCs w:val="17"/>
          <w:color w:val="auto"/>
        </w:rPr>
      </w:pPr>
    </w:p>
    <w:p>
      <w:pPr>
        <w:ind w:firstLine="419"/>
        <w:spacing w:after="0" w:line="268" w:lineRule="auto"/>
        <w:tabs>
          <w:tab w:leader="none" w:pos="638"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With respect to the stock options (the “Stock Options”) and other equity awards granted pursuant to the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plans of the Company and its subsidiaries (the “Company Stock Plans”), (i) each Stock Option intended to qualify as an “incentive stock option” under Section 422 of the Code so qualifies, (ii) each such grant was duly authorized no later than the date on which each such grant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(the “Nasdaq Market”) and any other exchange on which Company securities are traded, and (iv) each such grant was properly accounted for in accordance with GAAP in the financial statements (including the related notes) of the Company and included in the disclosures in the Company’s filings with the Commission in accordance with the Exchange Act and all other applicable laws to the extent required to be disclosed. The Company has not knowingly granted, and there is no and has been no policy or practice of the Company of granting, Stock Options or other equity awards prior to, or otherwise coordinating the grant of Stock Options or other equity awards with, the release or other public announcement of material information regarding the Company or its subsidiaries or their results of operations or prospects.</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01" w:name="page102"/>
    <w:bookmarkEnd w:id="101"/>
    <w:p>
      <w:pPr>
        <w:ind w:right="80" w:firstLine="419"/>
        <w:spacing w:after="0" w:line="286" w:lineRule="auto"/>
        <w:tabs>
          <w:tab w:leader="none" w:pos="728"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Due Authorization. </w:t>
      </w:r>
      <w:r>
        <w:rPr>
          <w:rFonts w:ascii="Arial" w:cs="Arial" w:eastAsia="Arial" w:hAnsi="Arial"/>
          <w:sz w:val="17"/>
          <w:szCs w:val="17"/>
          <w:color w:val="auto"/>
        </w:rPr>
        <w:t>The Company has all requisite corporate power and authority to execute, deliver and perform its obligations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and all corporate action required to be taken for the due and proper authorization, execution and delivery by it of this Agreement and the consummation by it of the transactions contemplated hereby has been duly and validly taken.</w:t>
      </w:r>
    </w:p>
    <w:p>
      <w:pPr>
        <w:spacing w:after="0" w:line="57" w:lineRule="exact"/>
        <w:rPr>
          <w:rFonts w:ascii="Arial" w:cs="Arial" w:eastAsia="Arial" w:hAnsi="Arial"/>
          <w:sz w:val="17"/>
          <w:szCs w:val="17"/>
          <w:color w:val="auto"/>
        </w:rPr>
      </w:pPr>
    </w:p>
    <w:p>
      <w:pPr>
        <w:ind w:left="680" w:hanging="26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19"/>
        <w:spacing w:after="0" w:line="277" w:lineRule="auto"/>
        <w:tabs>
          <w:tab w:leader="none" w:pos="678"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Description of the Underwriting Agreement. </w:t>
      </w:r>
      <w:r>
        <w:rPr>
          <w:rFonts w:ascii="Arial" w:cs="Arial" w:eastAsia="Arial" w:hAnsi="Arial"/>
          <w:sz w:val="18"/>
          <w:szCs w:val="18"/>
          <w:color w:val="auto"/>
        </w:rPr>
        <w:t>This Agreement conforms in all material respects to the description thereof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Pricing Disclosure Package and the Prospectus.</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w:t>
      </w:r>
    </w:p>
    <w:p>
      <w:pPr>
        <w:spacing w:after="0" w:line="23" w:lineRule="exact"/>
        <w:rPr>
          <w:rFonts w:ascii="Arial" w:cs="Arial" w:eastAsia="Arial" w:hAnsi="Arial"/>
          <w:sz w:val="18"/>
          <w:szCs w:val="18"/>
          <w:color w:val="auto"/>
        </w:rPr>
      </w:pPr>
    </w:p>
    <w:p>
      <w:pPr>
        <w:spacing w:after="0" w:line="288" w:lineRule="auto"/>
        <w:rPr>
          <w:rFonts w:ascii="Arial" w:cs="Arial" w:eastAsia="Arial" w:hAnsi="Arial"/>
          <w:sz w:val="18"/>
          <w:szCs w:val="18"/>
          <w:color w:val="auto"/>
        </w:rPr>
      </w:pPr>
      <w:r>
        <w:rPr>
          <w:rFonts w:ascii="Arial" w:cs="Arial" w:eastAsia="Arial" w:hAnsi="Arial"/>
          <w:sz w:val="16"/>
          <w:szCs w:val="16"/>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60" w:lineRule="exact"/>
        <w:rPr>
          <w:rFonts w:ascii="Arial" w:cs="Arial" w:eastAsia="Arial" w:hAnsi="Arial"/>
          <w:sz w:val="18"/>
          <w:szCs w:val="18"/>
          <w:color w:val="auto"/>
        </w:rPr>
      </w:pPr>
    </w:p>
    <w:p>
      <w:pPr>
        <w:ind w:firstLine="419"/>
        <w:spacing w:after="0" w:line="288" w:lineRule="auto"/>
        <w:tabs>
          <w:tab w:leader="none" w:pos="648"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and the consummation of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hereby and by the Pricing Disclosure Package and the Prospectus, will not (i) conflict with or result in a breach or violation of any of the terms or provisions of, result in the termination, modification or acceleration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law or statute applicable to the Company or any of its subsidiaries or any judgment, order, decree, rule or regulation of any court or arbitration or governmental or regulatory agency or body having jurisdiction over the Company or any of its subsidiaries or any of their properties or assets, except, with respect to clauses (i) and (iii), as would not reasonably be expected to have a Material Adverse Effect.</w:t>
      </w:r>
    </w:p>
    <w:p>
      <w:pPr>
        <w:spacing w:after="0" w:line="10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0"/>
          </w:cols>
          <w:pgMar w:left="880" w:top="274" w:right="499" w:bottom="1440" w:gutter="0" w:footer="0" w:header="0"/>
        </w:sectPr>
      </w:pPr>
    </w:p>
    <w:bookmarkStart w:id="102" w:name="page103"/>
    <w:bookmarkEnd w:id="102"/>
    <w:p>
      <w:pPr>
        <w:ind w:right="40" w:firstLine="419"/>
        <w:spacing w:after="0" w:line="290" w:lineRule="auto"/>
        <w:tabs>
          <w:tab w:leader="none" w:pos="658"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Consents Required. </w:t>
      </w:r>
      <w:r>
        <w:rPr>
          <w:rFonts w:ascii="Arial" w:cs="Arial" w:eastAsia="Arial" w:hAnsi="Arial"/>
          <w:sz w:val="16"/>
          <w:szCs w:val="16"/>
          <w:color w:val="auto"/>
        </w:rPr>
        <w:t>No consent, approval, authorization or order of, or filing, registration or qualification with any U.S. court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agency or body, or to the knowledge of the Company, any non-U.S. court or governmental agency or body, having jurisdiction over the Company, any of the subsidiaries of the Company or any of their respective properties or assets is required for the execution, delivery and performance by the Company of this Agreement and the consummation of the transactions contemplated hereby, except for (i) the registration of the Shares under the Securities Act, (ii) such consents, approvals, authorizations, orders, filings, registrations or qualifications as may be required by FINRA and under state securities or Blue Sky laws in connection with the purchase and distribution of the Shares by the Underwriters, (iii) as shall have been obtained or made prior to the Closing Date and (iv) where the failure to obtain any such consent, approval, authorization, order, license, registration or qualification would not reasonably be expected, individually or in the aggregate, to have a Material Adverse Effect.</w:t>
      </w:r>
    </w:p>
    <w:p>
      <w:pPr>
        <w:spacing w:after="0" w:line="57" w:lineRule="exact"/>
        <w:rPr>
          <w:rFonts w:ascii="Arial" w:cs="Arial" w:eastAsia="Arial" w:hAnsi="Arial"/>
          <w:sz w:val="16"/>
          <w:szCs w:val="16"/>
          <w:color w:val="auto"/>
        </w:rPr>
      </w:pPr>
    </w:p>
    <w:p>
      <w:pPr>
        <w:ind w:firstLine="419"/>
        <w:spacing w:after="0" w:line="286" w:lineRule="auto"/>
        <w:tabs>
          <w:tab w:leader="none" w:pos="638"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each of the Registration Statement, the Pricing Disclosure Package and the Prospectus, there</w:t>
      </w:r>
      <w:r>
        <w:rPr>
          <w:rFonts w:ascii="Arial" w:cs="Arial" w:eastAsia="Arial" w:hAnsi="Arial"/>
          <w:sz w:val="16"/>
          <w:szCs w:val="16"/>
          <w:i w:val="1"/>
          <w:iCs w:val="1"/>
          <w:color w:val="auto"/>
        </w:rPr>
        <w:t xml:space="preserve"> </w:t>
      </w:r>
      <w:r>
        <w:rPr>
          <w:rFonts w:ascii="Arial" w:cs="Arial" w:eastAsia="Arial" w:hAnsi="Arial"/>
          <w:sz w:val="16"/>
          <w:szCs w:val="16"/>
          <w:color w:val="auto"/>
        </w:rPr>
        <w:t>are no legal, governmental or regulatory investigations, actions, demands, claims, suits, arbitrations, inquiries or proceedings (“Actions”) pending to which the Company or any of its subsidiaries is or may be reasonably expected to become a party or to which any property of the Company or any of its subsidiaries is or may be reasonably expected to become the subject that, individually or in the aggregate, could reasonably be expected to have a Material Adverse Effect or could, individually or in the aggregate, reasonably be expected to have a material adverse effect on the performance by the Company of this Agreement or the consummation of any of the transactions contemplated hereby; and no such Actions are threatened in writing by any governmental or regulatory authority or by others or, to the knowledge of the Company, contemplated by any governmental or regulatory authority or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and no statutes, regulations or contracts or other documents that are required under the Securities Act to be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65" w:lineRule="exact"/>
        <w:rPr>
          <w:rFonts w:ascii="Arial" w:cs="Arial" w:eastAsia="Arial" w:hAnsi="Arial"/>
          <w:sz w:val="16"/>
          <w:szCs w:val="16"/>
          <w:color w:val="auto"/>
        </w:rPr>
      </w:pPr>
    </w:p>
    <w:p>
      <w:pPr>
        <w:ind w:right="60" w:firstLine="419"/>
        <w:spacing w:after="0" w:line="257" w:lineRule="auto"/>
        <w:tabs>
          <w:tab w:leader="none" w:pos="678"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 Ernst &amp; Young LLP, who has audited certain financial statements of the Company and its subsidiaries,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report is included or incorporated by reference in the Registration Statement, the Pricing Disclosure Package and the Prospectus and who have delivered the initial letter referred to in Section 8(f) hereof, is an independent registered public accounting firm within the meaning of the Securities Act and the applicable rules and regulations adopted by the Commission and Public Company Accounting Oversight Board (United States) and as required by the Securities Act.</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0"/>
          </w:cols>
          <w:pgMar w:left="880" w:top="274" w:right="499" w:bottom="1440" w:gutter="0" w:footer="0" w:header="0"/>
        </w:sectPr>
      </w:pPr>
    </w:p>
    <w:bookmarkStart w:id="103" w:name="page104"/>
    <w:bookmarkEnd w:id="103"/>
    <w:p>
      <w:pPr>
        <w:ind w:right="120" w:firstLine="419"/>
        <w:spacing w:after="0" w:line="308" w:lineRule="auto"/>
        <w:tabs>
          <w:tab w:leader="none" w:pos="678"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 to Real and Personal Property</w:t>
      </w:r>
      <w:r>
        <w:rPr>
          <w:rFonts w:ascii="Arial" w:cs="Arial" w:eastAsia="Arial" w:hAnsi="Arial"/>
          <w:sz w:val="17"/>
          <w:szCs w:val="17"/>
          <w:color w:val="auto"/>
        </w:rPr>
        <w:t>. The Company and its subsidiaries own or lease all such real and personal property necessary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of their respective businesses, except as would not reasonably be expected to have a Material Adverse Effect.</w:t>
      </w:r>
    </w:p>
    <w:p>
      <w:pPr>
        <w:spacing w:after="0" w:line="38" w:lineRule="exact"/>
        <w:rPr>
          <w:rFonts w:ascii="Arial" w:cs="Arial" w:eastAsia="Arial" w:hAnsi="Arial"/>
          <w:sz w:val="17"/>
          <w:szCs w:val="17"/>
          <w:color w:val="auto"/>
        </w:rPr>
      </w:pPr>
    </w:p>
    <w:p>
      <w:pPr>
        <w:ind w:firstLine="419"/>
        <w:spacing w:after="0" w:line="291" w:lineRule="auto"/>
        <w:tabs>
          <w:tab w:leader="none" w:pos="718"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Except as would not, individually or in the aggregate, reasonably be expected to have a Material Adverse Effect</w:t>
      </w:r>
      <w:r>
        <w:rPr>
          <w:rFonts w:ascii="Arial" w:cs="Arial" w:eastAsia="Arial" w:hAnsi="Arial"/>
          <w:sz w:val="16"/>
          <w:szCs w:val="16"/>
          <w:i w:val="1"/>
          <w:iCs w:val="1"/>
          <w:color w:val="auto"/>
        </w:rPr>
        <w:t xml:space="preserve"> </w:t>
      </w:r>
      <w:r>
        <w:rPr>
          <w:rFonts w:ascii="Arial" w:cs="Arial" w:eastAsia="Arial" w:hAnsi="Arial"/>
          <w:sz w:val="16"/>
          <w:szCs w:val="16"/>
          <w:color w:val="auto"/>
        </w:rPr>
        <w:t>and except as described in each of the Registration Statement, the Pricing Disclosure Package and the Prospectus, the Company and each of its subsidiaries (i) own or otherwise possess, or can acquire on commercially reasonable terms, adequate rights to use all patents, trademarks, service marks, trade names, domain names, copyrights, know-how and systems (including trade secrets and other unpatented and/or unpatentable proprietary or confidential information, systems or procedures and other intellectual property) necessary for the conduct of their respective businesses as currently conducted, (ii) do not, through the conduct of their respective businesses, infringe or violate any intellectual property rights of others and (iii) have not received any written notice of any claim of infringement or violation of any intellectual property rights of others.</w:t>
      </w:r>
    </w:p>
    <w:p>
      <w:pPr>
        <w:spacing w:after="0" w:line="58" w:lineRule="exact"/>
        <w:rPr>
          <w:rFonts w:ascii="Arial" w:cs="Arial" w:eastAsia="Arial" w:hAnsi="Arial"/>
          <w:sz w:val="16"/>
          <w:szCs w:val="16"/>
          <w:color w:val="auto"/>
        </w:rPr>
      </w:pPr>
    </w:p>
    <w:p>
      <w:pPr>
        <w:ind w:firstLine="419"/>
        <w:spacing w:after="0" w:line="259" w:lineRule="auto"/>
        <w:tabs>
          <w:tab w:leader="none" w:pos="678"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one hand, and the directors, executive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firstLine="419"/>
        <w:spacing w:after="0" w:line="277" w:lineRule="auto"/>
        <w:tabs>
          <w:tab w:leader="none" w:pos="678"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 “investment company” within the meaning of the Investment Company Act of 1940,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the rules and regulations of the Commission thereunder (collectively, the “Investment Company Act”).</w:t>
      </w:r>
    </w:p>
    <w:p>
      <w:pPr>
        <w:spacing w:after="0" w:line="62" w:lineRule="exact"/>
        <w:rPr>
          <w:rFonts w:ascii="Arial" w:cs="Arial" w:eastAsia="Arial" w:hAnsi="Arial"/>
          <w:sz w:val="18"/>
          <w:szCs w:val="18"/>
          <w:color w:val="auto"/>
        </w:rPr>
      </w:pPr>
    </w:p>
    <w:p>
      <w:pPr>
        <w:ind w:right="100" w:firstLine="419"/>
        <w:spacing w:after="0" w:line="255" w:lineRule="auto"/>
        <w:tabs>
          <w:tab w:leader="none" w:pos="667"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Except, in each case, as would not have a Material Adverse Effect, (i) the Company and its subsidiaries have filed all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local and foreign tax returns required to be filed by them through the date hereof, subject to permitted extensions, and have paid all taxes required to be paid by them, to the extent that any of the foregoing is due and payable, and (ii) the Company does not have any knowledge of any tax deficiencies that have been, or could reasonably be expected to be, asserted against the Company and its subsidiaries, except, in the case of either (i) or (ii), for any items being contested in good faith for which adequate reserves for taxes have been established in accordance with generally accepted accounting principles.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04" w:name="page105"/>
    <w:bookmarkEnd w:id="104"/>
    <w:p>
      <w:pPr>
        <w:ind w:firstLine="419"/>
        <w:spacing w:after="0" w:line="289" w:lineRule="auto"/>
        <w:tabs>
          <w:tab w:leader="none" w:pos="747"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Licenses and Permits. </w:t>
      </w:r>
      <w:r>
        <w:rPr>
          <w:rFonts w:ascii="Arial" w:cs="Arial" w:eastAsia="Arial" w:hAnsi="Arial"/>
          <w:sz w:val="16"/>
          <w:szCs w:val="16"/>
          <w:color w:val="auto"/>
        </w:rPr>
        <w:t>The Company and each of its subsidiaries have such permits, licenses, approvals, clearances, exemptions,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consents, franchises, certificates, registrations, supplements, amendments and other approvals or authorizations of governmental or regulatory authorities having jurisdiction over the Company and its subsidiaries (“Permits”) as are necessary under applicable law to own their respective properties and conduct their respective businesses in the manner described in the Registration Statement, the Pricing Disclosure Package and the Prospectus, except for any of the foregoing that could not, in the aggregate, reasonably be expected to have a Material Adverse Effect or except as described in the Registration Statement, the Pricing Disclosure Package and the Prospectus. Except as described in each of the Registration Statement, the Pricing Disclosure Package and the Prospectus, neither the Company nor any of its subsidiaries has received notice of any proceedings related to the revocation, suspension or modification of any such Permits that, individually or in the aggregate, if the subject of an unfavorable decision, ruling or finding, would reasonably be expected to have a Material Adverse Effect.</w:t>
      </w:r>
    </w:p>
    <w:p>
      <w:pPr>
        <w:spacing w:after="0" w:line="58" w:lineRule="exact"/>
        <w:rPr>
          <w:rFonts w:ascii="Arial" w:cs="Arial" w:eastAsia="Arial" w:hAnsi="Arial"/>
          <w:sz w:val="16"/>
          <w:szCs w:val="16"/>
          <w:color w:val="auto"/>
        </w:rPr>
      </w:pPr>
    </w:p>
    <w:p>
      <w:pPr>
        <w:ind w:right="140" w:firstLine="419"/>
        <w:spacing w:after="0" w:line="259" w:lineRule="auto"/>
        <w:tabs>
          <w:tab w:leader="none" w:pos="768"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Except as would not have a Material Adverse Effect, no labor disturbance by or dispute with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of its subsidiaries exists or, to the knowledge of the Company, is imminent. Neither the Company nor any of its subsidiaries has received any notice of cancellation or termination with respect to any collective bargaining agreement to which it is a party, except as would not reasonably be expected to have a Material Adverse Effect.</w:t>
      </w:r>
    </w:p>
    <w:p>
      <w:pPr>
        <w:spacing w:after="0" w:line="78" w:lineRule="exact"/>
        <w:rPr>
          <w:rFonts w:ascii="Arial" w:cs="Arial" w:eastAsia="Arial" w:hAnsi="Arial"/>
          <w:sz w:val="18"/>
          <w:szCs w:val="18"/>
          <w:color w:val="auto"/>
        </w:rPr>
      </w:pPr>
    </w:p>
    <w:p>
      <w:pPr>
        <w:ind w:right="80" w:firstLine="419"/>
        <w:spacing w:after="0" w:line="286" w:lineRule="auto"/>
        <w:tabs>
          <w:tab w:leader="none" w:pos="747"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Certain Environmental Matters</w:t>
      </w:r>
      <w:r>
        <w:rPr>
          <w:rFonts w:ascii="Arial" w:cs="Arial" w:eastAsia="Arial" w:hAnsi="Arial"/>
          <w:sz w:val="16"/>
          <w:szCs w:val="16"/>
          <w:color w:val="auto"/>
        </w:rPr>
        <w:t>. Except as described in each of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(i) the Company and its subsidiaries (x) are, and, to the knowledge of the Company, for the past five years were, in compliance with any and all applicable U.S. federal, state, local and non-U.S. laws, rules, regulations, requirements, decisions and orders relating to the protection of human health or safety, the environment, natural resources, or the use, transport, manufacture, treatment, storage, disposal or release of hazardous, toxic or radioactive materials, substances or wastes, pollutants or contaminants (collectively, “Environmental Laws”), (y) have received and are in compliance with all permits, licenses, certificates or other authorizations or approvals, and have obtained all financial assurances,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toxic or radioactive materials, substances or wastes, pollutants or contaminants, and have no knowledge that any such notice is threatened, and (ii) there are no costs or liabilities associated with Environmental Laws of or relating to the Company or its subsidiaries or the conduct of their respective businesses, except in the case of each of (i) and (ii) above, for any such failure to comply, or failure to receive, or cost or liability, as would not, individually or in the aggregate, have a Material Adverse Effect; and (iii) (x)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105" w:name="page106"/>
    <w:bookmarkEnd w:id="105"/>
    <w:p>
      <w:pPr>
        <w:ind w:left="4"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sanctions of $300,000 or more will be imposed, and (y) neither the Company nor any of its subsidiaries is aware of any issues regarding compliance with Environmental Laws, or liabilities or other obligations under Environmental Laws or concerning hazardous, toxic or radioactive materials, substances or wastes, pollutants or contaminants, that could reasonably be expected to have a Material Adverse Effect or have a material effect on the capital expenditures or earnings of the Company and its subsidiaries.</w:t>
      </w:r>
    </w:p>
    <w:p>
      <w:pPr>
        <w:spacing w:after="0" w:line="63" w:lineRule="exact"/>
        <w:rPr>
          <w:sz w:val="20"/>
          <w:szCs w:val="20"/>
          <w:color w:val="auto"/>
        </w:rPr>
      </w:pPr>
    </w:p>
    <w:p>
      <w:pPr>
        <w:ind w:left="4" w:firstLine="419"/>
        <w:spacing w:after="0" w:line="283" w:lineRule="auto"/>
        <w:tabs>
          <w:tab w:leader="none" w:pos="771"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ERISA. </w:t>
      </w:r>
      <w:r>
        <w:rPr>
          <w:rFonts w:ascii="Arial" w:cs="Arial" w:eastAsia="Arial" w:hAnsi="Arial"/>
          <w:sz w:val="16"/>
          <w:szCs w:val="16"/>
          <w:color w:val="auto"/>
        </w:rPr>
        <w:t>Except, in each case, as would not have a Material Adverse Effect or as described in each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Pricing Disclosure Package and the Prospectus, (i)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w:t>
      </w:r>
    </w:p>
    <w:p>
      <w:pPr>
        <w:spacing w:after="0" w:line="1" w:lineRule="exact"/>
        <w:rPr>
          <w:rFonts w:ascii="Arial" w:cs="Arial" w:eastAsia="Arial" w:hAnsi="Arial"/>
          <w:sz w:val="16"/>
          <w:szCs w:val="16"/>
          <w:color w:val="auto"/>
        </w:rPr>
      </w:pPr>
    </w:p>
    <w:p>
      <w:pPr>
        <w:ind w:left="4" w:right="60" w:hanging="4"/>
        <w:spacing w:after="0" w:line="286" w:lineRule="auto"/>
        <w:tabs>
          <w:tab w:leader="none" w:pos="308"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Plan that is intended to be qualified under Section 401(a) of the Code is so qualified and nothing has occurred, whether by action or by failure to act, which would cause the loss of such qualification; and (v) with respect to (A) each employee benefit plan (within the meaning of Section 3(3) of ERISA, whether or not subject to ERISA) that is not subject to US law and (B) each employee benefit arrangement mandated by non-US law, in each case of (A) and (B), that is maintained, contributed to, or required to be contributed to, by the Company or any member of its Controlled Group or any other entity related to a member of its Controlled Group on a controlled group basis or for which the Company, any member of its Controlled Group or any such other entity has liability (as to (A) and (B), a “Foreign Plan” and “Foreign Benefit Arrangement,” respectively), (x) there has been no failure to timely make, fund, reserve, secure by way of an insurance policy or, if applicable, accrue in accordance with normal accounting practices, any employer or employee contributions, and any insurance premium payments (if applicable), required by applicable law or by the terms of such Foreign Plan or Foreign Benefit Arrangement, (y) there has been no failure to register or</w:t>
      </w:r>
    </w:p>
    <w:p>
      <w:pPr>
        <w:spacing w:after="0" w:line="10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106" w:name="page107"/>
    <w:bookmarkEnd w:id="106"/>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loss of good standing with applicable regulatory authorities of any such Foreign Plan or Foreign Benefit Arrangement required to be registered and if any such Foreign Plan or Foreign Benefit Arrangement is intended to qualify for special tax treatment, it meets all applicable requirements to qualify for such tax treatment, and (z) there has been no failure of any Foreign Plan or Foreign Benefit Arrangement to comply with any material provisions of applicable law and regulations or with the material terms of such Foreign Plan or Foreign Benefit Arrangement; and (vi) no proceeding, audit, assessment, complaint or examination has been made, commenced or, to the Company’s knowledge, threatened with respect to any Plan, Foreign Plan or Foreign Benefit Arrangement (other than routine claims for benefits payable in the ordinary course of business).</w:t>
      </w:r>
    </w:p>
    <w:p>
      <w:pPr>
        <w:spacing w:after="0" w:line="56" w:lineRule="exact"/>
        <w:rPr>
          <w:sz w:val="20"/>
          <w:szCs w:val="20"/>
          <w:color w:val="auto"/>
        </w:rPr>
      </w:pPr>
    </w:p>
    <w:p>
      <w:pPr>
        <w:ind w:firstLine="419"/>
        <w:spacing w:after="0" w:line="255" w:lineRule="auto"/>
        <w:tabs>
          <w:tab w:leader="none" w:pos="747"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and its subsidiaries maintain a system of “disclosure controls and procedures” (as defined in Rule</w:t>
      </w:r>
      <w:r>
        <w:rPr>
          <w:rFonts w:ascii="Arial" w:cs="Arial" w:eastAsia="Arial" w:hAnsi="Arial"/>
          <w:sz w:val="18"/>
          <w:szCs w:val="18"/>
          <w:i w:val="1"/>
          <w:iCs w:val="1"/>
          <w:color w:val="auto"/>
        </w:rPr>
        <w:t xml:space="preserve"> </w:t>
      </w:r>
      <w:r>
        <w:rPr>
          <w:rFonts w:ascii="Arial" w:cs="Arial" w:eastAsia="Arial" w:hAnsi="Arial"/>
          <w:sz w:val="18"/>
          <w:szCs w:val="18"/>
          <w:color w:val="auto"/>
        </w:rPr>
        <w:t>13a-15(e) of the Exchange Act) that complies with the applicable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84" w:lineRule="exact"/>
        <w:rPr>
          <w:rFonts w:ascii="Arial" w:cs="Arial" w:eastAsia="Arial" w:hAnsi="Arial"/>
          <w:sz w:val="18"/>
          <w:szCs w:val="18"/>
          <w:color w:val="auto"/>
        </w:rPr>
      </w:pPr>
    </w:p>
    <w:p>
      <w:pPr>
        <w:ind w:right="60" w:firstLine="419"/>
        <w:spacing w:after="0" w:line="286" w:lineRule="auto"/>
        <w:tabs>
          <w:tab w:leader="none" w:pos="704"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and its subsidiaries maintain systems of “internal control over financial reporting”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107" w:name="page108"/>
    <w:bookmarkEnd w:id="107"/>
    <w:p>
      <w:pPr>
        <w:ind w:right="80" w:firstLine="419"/>
        <w:spacing w:after="0" w:line="342" w:lineRule="auto"/>
        <w:tabs>
          <w:tab w:leader="none" w:pos="76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Insurance. </w:t>
      </w:r>
      <w:r>
        <w:rPr>
          <w:rFonts w:ascii="Arial" w:cs="Arial" w:eastAsia="Arial" w:hAnsi="Arial"/>
          <w:sz w:val="16"/>
          <w:szCs w:val="16"/>
          <w:color w:val="auto"/>
        </w:rPr>
        <w:t>The Company and its subsidiaries, taken as a whole, are insured against such losses and risks and in such amounts as are,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reasonable judgment of the Company, prudent and customary in the businesses in which they are engaged or as required by law.</w:t>
      </w:r>
    </w:p>
    <w:p>
      <w:pPr>
        <w:spacing w:after="0" w:line="15" w:lineRule="exact"/>
        <w:rPr>
          <w:rFonts w:ascii="Arial" w:cs="Arial" w:eastAsia="Arial" w:hAnsi="Arial"/>
          <w:sz w:val="16"/>
          <w:szCs w:val="16"/>
          <w:color w:val="auto"/>
        </w:rPr>
      </w:pPr>
    </w:p>
    <w:p>
      <w:pPr>
        <w:ind w:firstLine="419"/>
        <w:spacing w:after="0" w:line="285" w:lineRule="auto"/>
        <w:tabs>
          <w:tab w:leader="none" w:pos="76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Data Protection. </w:t>
      </w:r>
      <w:r>
        <w:rPr>
          <w:rFonts w:ascii="Arial" w:cs="Arial" w:eastAsia="Arial" w:hAnsi="Arial"/>
          <w:sz w:val="16"/>
          <w:szCs w:val="16"/>
          <w:color w:val="auto"/>
        </w:rPr>
        <w:t>Except as would not, individually or in the aggregate, reasonably be expected to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Effect and except as described in each of the Registration Statement, the Pricing Disclosure Package and the Prospectus, the Company and its subsidiaries’ information technology assets, equipment, systems, networks, software, hardware, computers, websites, applications and databases (collectively, “IT Systems”) are adequate for, and operate and perform in all respects as required in connection with the operation of the business of the Company and its subsidiaries as currently conducted, free and clear of all bugs, errors, defects, Trojan horses, time bombs, malware and other corruptants. Except as would not, individually or in the aggregate, reasonably be expected to have a Material Adverse Effect and except as described in each of the Registration Statement, the Pricing Disclosure Package and the Prospectus, (i) the Company and its subsidiaries have implemented and maintained commercially reasonable policies, procedures, and safeguards to maintain and protect their confidential information and the integrity, continuous operation, redundancy and security of all IT Systems and data, including all personal, personally identifiable, sensitive, confidential or regulated data (“Data”) used in connection with their businesses, and (ii) there have been no breaches, violations, outages or unauthorized uses of or accesses to the same, except for those that have been remedied, nor any incidents currently under internal review or investigations relating to the same. Except as would not, individually or in the aggregate, reasonably be expected to have a Material Adverse Effect and except as described in each of the Registration Statement, the Pricing Disclosure Package and the Prospectus,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collected, stored, processed, transferred, disclosed or used by the Company or its subsidiaries.</w:t>
      </w:r>
    </w:p>
    <w:p>
      <w:pPr>
        <w:spacing w:after="0" w:line="68" w:lineRule="exact"/>
        <w:rPr>
          <w:rFonts w:ascii="Arial" w:cs="Arial" w:eastAsia="Arial" w:hAnsi="Arial"/>
          <w:sz w:val="16"/>
          <w:szCs w:val="16"/>
          <w:color w:val="auto"/>
        </w:rPr>
      </w:pPr>
    </w:p>
    <w:p>
      <w:pPr>
        <w:ind w:firstLine="419"/>
        <w:spacing w:after="0" w:line="290" w:lineRule="auto"/>
        <w:tabs>
          <w:tab w:leader="none" w:pos="68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or employee of the Company or any of</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when acting on behalf of the Company or any of its subsidiaries nor, to the knowledge of the Company, any agent, when acting on behalf of the Company or any of its subsidiaries, or controlled affiliate thereof has in the past five years (i) used any corporate funds for any unlawful contribution, gift, entertainment or other unlawful expense relating to political activity; (ii) made or taken an act in furtherance of an offer, promise or authorization of any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taken any action, directly or knowingly indirectly, that would result in a violation by such person of the Foreign Corrupt Practices Act of 1977, as amended, or the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108" w:name="page109"/>
    <w:bookmarkEnd w:id="108"/>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and regulations thereunder (“FCPA”), the U.K. Bribery Act 2010, the Canadian Corruption of Foreign Public Officials Act or any other applicable anti-corruption or anti-bribery statute or regulation of any jurisdiction in which the Company or any of its subsidiaries operate (collectively, the “Anti-Corruption Laws”); or (iv) made, offered, agreed, requested or taken an act in furtherance of any unlawful bribe or other unlawful benefit, including, without limitation, any rebate, payoff, influence payment, kickback or other unlawful payment or benefit, in each case if such would result in a violation of any Anti-Corruption Laws. The Company and its subsidiaries have instituted, and maintain and enforce, policies and procedures designed to promote continued compliance with the Anti-Corruption Laws.</w:t>
      </w:r>
    </w:p>
    <w:p>
      <w:pPr>
        <w:spacing w:after="0" w:line="70" w:lineRule="exact"/>
        <w:rPr>
          <w:sz w:val="20"/>
          <w:szCs w:val="20"/>
          <w:color w:val="auto"/>
        </w:rPr>
      </w:pPr>
    </w:p>
    <w:p>
      <w:pPr>
        <w:ind w:right="140" w:firstLine="419"/>
        <w:spacing w:after="0" w:line="255" w:lineRule="auto"/>
        <w:tabs>
          <w:tab w:leader="none" w:pos="688"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Compliance with Anti-Money Laundering Laws and Cannabis Laws</w:t>
      </w:r>
      <w:r>
        <w:rPr>
          <w:rFonts w:ascii="Arial" w:cs="Arial" w:eastAsia="Arial" w:hAnsi="Arial"/>
          <w:sz w:val="18"/>
          <w:szCs w:val="18"/>
          <w:color w:val="auto"/>
        </w:rPr>
        <w:t>. In the past five years, the operations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and have been conducted in material compliance with applicable financial recordkeeping and reporting requirements of the Currency and Foreign Transactions Reporting Act of 1970, as amended, the Proceeds of Crime (Money Laundering) and Terrorist Financing Act (Canada), the money laundering statutes of all applicable jurisdictions, the rules and regulations thereunder and any related or similar rules, regulations or guidelines issued, administered or enforced by any governmental agency with jurisdiction over the Company (collectively, the “Anti-Money Laundering Laws”).</w:t>
      </w:r>
    </w:p>
    <w:p>
      <w:pPr>
        <w:spacing w:after="0" w:line="84"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 xml:space="preserve">The operations of the Company and its subsidiaries are and have been conducted for each of the last three years (i) in compliance with the Controlled Substances Act (21 U.S.C. § 801 </w:t>
      </w:r>
      <w:r>
        <w:rPr>
          <w:rFonts w:ascii="Arial" w:cs="Arial" w:eastAsia="Arial" w:hAnsi="Arial"/>
          <w:sz w:val="18"/>
          <w:szCs w:val="18"/>
          <w:i w:val="1"/>
          <w:iCs w:val="1"/>
          <w:color w:val="auto"/>
        </w:rPr>
        <w:t>et seq</w:t>
      </w:r>
      <w:r>
        <w:rPr>
          <w:rFonts w:ascii="Arial" w:cs="Arial" w:eastAsia="Arial" w:hAnsi="Arial"/>
          <w:sz w:val="18"/>
          <w:szCs w:val="18"/>
          <w:color w:val="auto"/>
        </w:rPr>
        <w:t>) related to cannabis, including cannabis that meets the definition of “marihuana” under 21 U.S.C. § 802(16), and all rules, regulations, and orders related thereto as well as (ii) in material compliance with all other applicable laws, statutes, rules, and regulations concerning cannabis in all jurisdictions in which the Company and its subsidiaries operate ((i) and (ii) collectively, “Cannabis Laws”).</w:t>
      </w:r>
    </w:p>
    <w:p>
      <w:pPr>
        <w:spacing w:after="0" w:line="80" w:lineRule="exact"/>
        <w:rPr>
          <w:sz w:val="20"/>
          <w:szCs w:val="20"/>
          <w:color w:val="auto"/>
        </w:rPr>
      </w:pPr>
    </w:p>
    <w:p>
      <w:pPr>
        <w:ind w:right="140" w:firstLine="423"/>
        <w:spacing w:after="0" w:line="263" w:lineRule="auto"/>
        <w:rPr>
          <w:sz w:val="20"/>
          <w:szCs w:val="20"/>
          <w:color w:val="auto"/>
        </w:rPr>
      </w:pPr>
      <w:r>
        <w:rPr>
          <w:rFonts w:ascii="Arial" w:cs="Arial" w:eastAsia="Arial" w:hAnsi="Arial"/>
          <w:sz w:val="18"/>
          <w:szCs w:val="18"/>
          <w:color w:val="auto"/>
        </w:rPr>
        <w:t>No action, suit or proceeding by or before any court or governmental agency, authority or body or any arbitrator involving the Company or any of its subsidiaries with respect to the Anti-Money Laundering Laws or Cannabis Laws is pending or, to the knowledge of the Company, threatened.</w:t>
      </w:r>
    </w:p>
    <w:p>
      <w:pPr>
        <w:spacing w:after="0" w:line="76" w:lineRule="exact"/>
        <w:rPr>
          <w:sz w:val="20"/>
          <w:szCs w:val="20"/>
          <w:color w:val="auto"/>
        </w:rPr>
      </w:pPr>
    </w:p>
    <w:p>
      <w:pPr>
        <w:ind w:right="400" w:firstLine="423"/>
        <w:spacing w:after="0" w:line="277" w:lineRule="auto"/>
        <w:rPr>
          <w:sz w:val="20"/>
          <w:szCs w:val="20"/>
          <w:color w:val="auto"/>
        </w:rPr>
      </w:pPr>
      <w:r>
        <w:rPr>
          <w:rFonts w:ascii="Arial" w:cs="Arial" w:eastAsia="Arial" w:hAnsi="Arial"/>
          <w:sz w:val="18"/>
          <w:szCs w:val="18"/>
          <w:color w:val="auto"/>
        </w:rPr>
        <w:t>The proceeds from the offering of the Shares will not be lent, used, or otherwise made available in any way that would cause a material violation of Anti-Money Laundering Laws or a violation of Cannabis Laws by the Company or its subsidiaries.</w:t>
      </w:r>
    </w:p>
    <w:p>
      <w:pPr>
        <w:spacing w:after="0" w:line="62" w:lineRule="exact"/>
        <w:rPr>
          <w:sz w:val="20"/>
          <w:szCs w:val="20"/>
          <w:color w:val="auto"/>
        </w:rPr>
      </w:pPr>
    </w:p>
    <w:p>
      <w:pPr>
        <w:ind w:right="40" w:firstLine="419"/>
        <w:spacing w:after="0" w:line="275" w:lineRule="auto"/>
        <w:tabs>
          <w:tab w:leader="none" w:pos="768"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subsidiaries, nor any directors or officers of the Company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of its subsidiaries nor, to the knowledge of the Company, any employee, agent or controlled affiliate thereof, is (i) currently a person with whom dealings are prohibited under any sanctions administered or enforced by the U.S. government (including, without limitation, the Office of Foreign Assets Control of the U.S. Department of the Treasury (“OFAC”) or the U.S. Department of State) the United Nations Security Council, the European Union, Her Majesty’s Treasury of the United Kingdom or Canada (collectively, “Sanctions”) (“Sanctioned</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109" w:name="page110"/>
    <w:bookmarkEnd w:id="10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or (ii) located, organized or resident in a country or territory that is the subject or target of Sanctions that broadly prohibit dealings with such country or territory (currently, Crimea, Cuba, Iran, North Korea, and Syria (each, a “Sanctioned Jurisdiction”)). The Company will not, directly or indirectly, use the proceeds of the offering of the Shares hereunder, or lend, contribute or otherwise make available such proceeds to any subsidiary, joint venture partner or other person or entity, (i) for the purpose of financing the activities of any person that is, at the time of such financing, a Sanctioned Person or located in a Sanctioned Jurisdiction or (ii) in any other manner that would result in a violation by any person (including any person participating in the offering, whether as underwriter, advisor, investor or otherwise) of Sanctions in connection with the transactions contemplated by this Agreement. Neither the Company nor any of its subsidiaries is knowingly engaged in any dealings or transactions with or involving any individual or entity that is the subject or target of Sanctions or with any Sanctioned Jurisdiction. The Company and its subsidiaries have instituted, and maintain, policies and procedures designed to promote continued compliance with Sanctions.</w:t>
      </w:r>
    </w:p>
    <w:p>
      <w:pPr>
        <w:spacing w:after="0" w:line="58" w:lineRule="exact"/>
        <w:rPr>
          <w:sz w:val="20"/>
          <w:szCs w:val="20"/>
          <w:color w:val="auto"/>
        </w:rPr>
      </w:pPr>
    </w:p>
    <w:p>
      <w:pPr>
        <w:ind w:firstLine="419"/>
        <w:spacing w:after="0" w:line="257" w:lineRule="auto"/>
        <w:tabs>
          <w:tab w:leader="none" w:pos="68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excluding any joint venture, is currently prohibited,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under any agreement or instrument to which it is party, from paying any cash dividends to the Company, from making any other cash distribution on such subsidiary’s capital stock, from repaying to the Company any loans or advances to such subsidiary from the Company or from transferring any of such subsidiary’s cash assets to the Company or any other subsidiary of the Company, except as described in the Registration Statement, the Pricing Disclosure Package and the Prospectus.</w:t>
      </w:r>
    </w:p>
    <w:p>
      <w:pPr>
        <w:spacing w:after="0" w:line="79" w:lineRule="exact"/>
        <w:rPr>
          <w:rFonts w:ascii="Arial" w:cs="Arial" w:eastAsia="Arial" w:hAnsi="Arial"/>
          <w:sz w:val="18"/>
          <w:szCs w:val="18"/>
          <w:color w:val="auto"/>
        </w:rPr>
      </w:pPr>
    </w:p>
    <w:p>
      <w:pPr>
        <w:ind w:right="340" w:firstLine="419"/>
        <w:spacing w:after="0" w:line="263" w:lineRule="auto"/>
        <w:tabs>
          <w:tab w:leader="none" w:pos="86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this Agreement) that could give rise to a valid claim against any of them or any Underwriter for a brokerage commission, finder’s fee or like payment in connection with the offering and sale of the Shares.</w:t>
      </w:r>
    </w:p>
    <w:p>
      <w:pPr>
        <w:spacing w:after="0" w:line="75" w:lineRule="exact"/>
        <w:rPr>
          <w:rFonts w:ascii="Arial" w:cs="Arial" w:eastAsia="Arial" w:hAnsi="Arial"/>
          <w:sz w:val="18"/>
          <w:szCs w:val="18"/>
          <w:color w:val="auto"/>
        </w:rPr>
      </w:pPr>
    </w:p>
    <w:p>
      <w:pPr>
        <w:ind w:firstLine="419"/>
        <w:spacing w:after="0" w:line="263" w:lineRule="auto"/>
        <w:tabs>
          <w:tab w:leader="none" w:pos="76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No person has the right to require the Company or any of its subsidiaries to register any securities for sale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Act by reason of the filing of the Registration Statement with the Commission except for such rights that are described in the Registration Statement, the Pricing Disclosure Package and the Prospectus.</w:t>
      </w:r>
    </w:p>
    <w:p>
      <w:pPr>
        <w:spacing w:after="0" w:line="75" w:lineRule="exact"/>
        <w:rPr>
          <w:rFonts w:ascii="Arial" w:cs="Arial" w:eastAsia="Arial" w:hAnsi="Arial"/>
          <w:sz w:val="18"/>
          <w:szCs w:val="18"/>
          <w:color w:val="auto"/>
        </w:rPr>
      </w:pPr>
    </w:p>
    <w:p>
      <w:pPr>
        <w:ind w:right="20" w:firstLine="419"/>
        <w:spacing w:after="0" w:line="286" w:lineRule="auto"/>
        <w:tabs>
          <w:tab w:leader="none" w:pos="768"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Neither the Company nor any of its affiliates has taken or will take, directly or indirectly, without giving effect to</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by the Underwriters, any action designed to or that could reasonably be expected to cause or result in the stabilization or manipulation of the price of any security of the Company or any of its subsidiaries in connection with the offering of the Shares.</w:t>
      </w:r>
    </w:p>
    <w:p>
      <w:pPr>
        <w:spacing w:after="0" w:line="57" w:lineRule="exact"/>
        <w:rPr>
          <w:rFonts w:ascii="Arial" w:cs="Arial" w:eastAsia="Arial" w:hAnsi="Arial"/>
          <w:sz w:val="17"/>
          <w:szCs w:val="17"/>
          <w:color w:val="auto"/>
        </w:rPr>
      </w:pPr>
    </w:p>
    <w:p>
      <w:pPr>
        <w:jc w:val="both"/>
        <w:ind w:right="20" w:firstLine="419"/>
        <w:spacing w:after="0" w:line="263" w:lineRule="auto"/>
        <w:tabs>
          <w:tab w:leader="none" w:pos="76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110" w:name="page111"/>
    <w:bookmarkEnd w:id="110"/>
    <w:p>
      <w:pPr>
        <w:ind w:right="20" w:firstLine="419"/>
        <w:spacing w:after="0" w:line="286" w:lineRule="auto"/>
        <w:tabs>
          <w:tab w:leader="none" w:pos="768"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Statistical and Market Data. </w:t>
      </w:r>
      <w:r>
        <w:rPr>
          <w:rFonts w:ascii="Arial" w:cs="Arial" w:eastAsia="Arial" w:hAnsi="Arial"/>
          <w:sz w:val="17"/>
          <w:szCs w:val="17"/>
          <w:color w:val="auto"/>
        </w:rPr>
        <w:t>Nothing has come to the attention of the Company that has caused the Company to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 and market-related data included or incorporated by reference in each of the Registration Statement, the Pricing Disclosure Package and the Prospectus is not based on or derived from sources that are reasonably reliable and accurate in all material respects.</w:t>
      </w:r>
    </w:p>
    <w:p>
      <w:pPr>
        <w:spacing w:after="0" w:line="57" w:lineRule="exact"/>
        <w:rPr>
          <w:rFonts w:ascii="Arial" w:cs="Arial" w:eastAsia="Arial" w:hAnsi="Arial"/>
          <w:sz w:val="17"/>
          <w:szCs w:val="17"/>
          <w:color w:val="auto"/>
        </w:rPr>
      </w:pPr>
    </w:p>
    <w:p>
      <w:pPr>
        <w:ind w:firstLine="419"/>
        <w:spacing w:after="0" w:line="259" w:lineRule="auto"/>
        <w:tabs>
          <w:tab w:leader="none" w:pos="708"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firstLine="419"/>
        <w:spacing w:after="0" w:line="311" w:lineRule="auto"/>
        <w:tabs>
          <w:tab w:leader="none" w:pos="728"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Status under the Securities Act</w:t>
      </w:r>
      <w:r>
        <w:rPr>
          <w:rFonts w:ascii="Arial" w:cs="Arial" w:eastAsia="Arial" w:hAnsi="Arial"/>
          <w:sz w:val="16"/>
          <w:szCs w:val="16"/>
          <w:color w:val="auto"/>
        </w:rPr>
        <w:t>. At the time of filing the Registration Statement and any post-effective amendment thereto, at the earliest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thereafter that the Company or any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40" w:lineRule="exact"/>
        <w:rPr>
          <w:rFonts w:ascii="Arial" w:cs="Arial" w:eastAsia="Arial" w:hAnsi="Arial"/>
          <w:sz w:val="16"/>
          <w:szCs w:val="16"/>
          <w:color w:val="auto"/>
        </w:rPr>
      </w:pPr>
    </w:p>
    <w:p>
      <w:pPr>
        <w:ind w:right="20" w:firstLine="419"/>
        <w:spacing w:after="0" w:line="286" w:lineRule="auto"/>
        <w:tabs>
          <w:tab w:leader="none" w:pos="688"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Healthcare Laws. </w:t>
      </w:r>
      <w:r>
        <w:rPr>
          <w:rFonts w:ascii="Arial" w:cs="Arial" w:eastAsia="Arial" w:hAnsi="Arial"/>
          <w:sz w:val="16"/>
          <w:szCs w:val="16"/>
          <w:color w:val="auto"/>
        </w:rPr>
        <w:t>In the past three years, the Company and its subsidiaries (i) are and at all times have been in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all statutes, rules or regulations of the U.S. Food and Drug Administration (“FDA”), the U.S. Department of Health and Human Services (“HHS”), Drug Enforcement Administration (“DEA”) and other comparable governmental or regulatory authorities and contractual requirements applicable to the ownership, testing, development, manufacture, packaging, processing (including by sterilizing or irradiating), use, distribution, labeling, storage, import, export or disposal of any article tested, developed, manufactured, packaged, processed or distributed by the Company (collectively, the “Food and Drug Laws”); (ii) have not received written notice that the FDA, HHS, DEA or any comparable governmental or regulatory authority has taken, is taking or intends to take action to limit, suspend, modify or revoke any licenses, certificates, approvals, clearances, exemptions, authorizations, permits, registrations and supplements or amendments required by the FDA, HHS, DEA or any comparable governmental or regulatory authority (“Authorizations”) and have no knowledge that the FDA, HHS, DEA or any comparable governmental or regulatory authority is considering such action and have no reason to believe that any such Authorizations will not be renewed in the ordinary course, except as would not reasonably be expected to have a Material Adverse Effect; and (iii) have not received any FDA Form 483, notice of adverse finding, warning letter, untitled letter or other correspondence or written notice from FDA, HHS, DEA, or any comparable governmental or regulatory authority alleging or asserting noncompliance with applicable statutes, rules and regulations, except for such FDA Form 483s, notices of adverse finding, warning letters, untitled letters or other correspondence or written notices that</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111" w:name="page112"/>
    <w:bookmarkEnd w:id="111"/>
    <w:p>
      <w:pPr>
        <w:ind w:left="3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have been resolved as of the date hereof or as would not have a Material Adverse Effect. Additionally, none of the Company, its subsidiaries, or their respective employees, officers, directors, or, to the Company’s knowledge, agents, has been excluded, suspended, debarred or disqualified from participation in any U.S. federal health care program or human clinical research or, to the knowledge of the Company or its subsidiaries, is subject to a governmental inquiry, claim, investigation, proceeding, or other similar action that would reasonably be expected to result in any such exclusion, suspension, debarment or disqualification or has engaged in any conduct that would reasonably be expected to result in any such exclusion, suspension, debarment or disqualification, except in the case of the employees of the Company or its subsidiaries, as would not have a material effect on the Company or its subsidiaries. In the past three years, the Company has complied with DEA instructions with respect to the irradiation of cannabis in the United States, including cannabis that meets the definition of “marihuana” under 21 U.S.C. § 802(16).</w:t>
      </w:r>
    </w:p>
    <w:p>
      <w:pPr>
        <w:spacing w:after="0" w:line="57" w:lineRule="exact"/>
        <w:rPr>
          <w:sz w:val="20"/>
          <w:szCs w:val="20"/>
          <w:color w:val="auto"/>
        </w:rPr>
      </w:pPr>
    </w:p>
    <w:p>
      <w:pPr>
        <w:ind w:left="380" w:right="40" w:firstLine="419"/>
        <w:spacing w:after="0" w:line="269" w:lineRule="auto"/>
        <w:tabs>
          <w:tab w:leader="none" w:pos="1148" w:val="left"/>
        </w:tabs>
        <w:numPr>
          <w:ilvl w:val="1"/>
          <w:numId w:val="85"/>
        </w:numPr>
        <w:rPr>
          <w:rFonts w:ascii="Arial" w:cs="Arial" w:eastAsia="Arial" w:hAnsi="Arial"/>
          <w:sz w:val="17"/>
          <w:szCs w:val="17"/>
          <w:color w:val="auto"/>
        </w:rPr>
      </w:pPr>
      <w:r>
        <w:rPr>
          <w:rFonts w:ascii="Arial" w:cs="Arial" w:eastAsia="Arial" w:hAnsi="Arial"/>
          <w:sz w:val="17"/>
          <w:szCs w:val="17"/>
          <w:i w:val="1"/>
          <w:iCs w:val="1"/>
          <w:color w:val="auto"/>
        </w:rPr>
        <w:t>Clinical Data and Regulatory Compliance</w:t>
      </w:r>
      <w:r>
        <w:rPr>
          <w:rFonts w:ascii="Arial" w:cs="Arial" w:eastAsia="Arial" w:hAnsi="Arial"/>
          <w:sz w:val="17"/>
          <w:szCs w:val="17"/>
          <w:color w:val="auto"/>
        </w:rPr>
        <w:t>. (i) The tests, studies, and clinical trials conducted by or on behalf of or sponsored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its subsidiaries (“Studies”), or in which any of the Company or its subsidiaries has participated, were and, if still ongoing, are being conducted in accordance with protocols, procedures and controls designed and approved for such tests, studies, and clinical trials and with accepted professional medical and scientific research procedures and standards and all applicable Food and Drug Laws, and Authorizations of the jurisdiction in which such Studies are being conducted in all material respects; and (ii) the Company and its subsidiaries have not received any written notices, correspondence or other communications from the FDA, HHS, DEA or DOJ or any governmental or regulatory authority or similar entity requiring or threatening the termination or suspension of any Studies or with respect to the performance of such Studies, except for such notices, correspondence or communications that have been resolved as of the date hereof or as would not have an adverse effect on the Company. None of the Company, any of its subsidiaries or any director, officer, employee, agent, employee or affiliate of the Company or its subsidiaries has committed any act, made any statement or failed to make any statement that would reasonably be expected to provide a basis for the FDA or any other governmental or regulatory authority to invoke its policy with respect to “Fraud, Untrue Statements of Material Facts, Bribery, and Illegal Gratuities,” or similar policies.</w:t>
      </w:r>
    </w:p>
    <w:p>
      <w:pPr>
        <w:spacing w:after="0" w:line="178" w:lineRule="exact"/>
        <w:rPr>
          <w:rFonts w:ascii="Arial" w:cs="Arial" w:eastAsia="Arial" w:hAnsi="Arial"/>
          <w:sz w:val="17"/>
          <w:szCs w:val="17"/>
          <w:color w:val="auto"/>
        </w:rPr>
      </w:pPr>
    </w:p>
    <w:p>
      <w:pPr>
        <w:ind w:left="-60" w:right="460" w:firstLine="436"/>
        <w:spacing w:after="0" w:line="277" w:lineRule="auto"/>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 Representations and Warranties of the Selling Stockholders</w:t>
      </w:r>
      <w:r>
        <w:rPr>
          <w:rFonts w:ascii="Arial" w:cs="Arial" w:eastAsia="Arial" w:hAnsi="Arial"/>
          <w:sz w:val="18"/>
          <w:szCs w:val="18"/>
          <w:color w:val="auto"/>
        </w:rPr>
        <w:t>. Each of the Selling Stockholders severally and not jointly represents and warrants to each Underwriter and the Company that:</w:t>
      </w:r>
    </w:p>
    <w:p>
      <w:pPr>
        <w:spacing w:after="0" w:line="62" w:lineRule="exact"/>
        <w:rPr>
          <w:rFonts w:ascii="Arial" w:cs="Arial" w:eastAsia="Arial" w:hAnsi="Arial"/>
          <w:sz w:val="18"/>
          <w:szCs w:val="18"/>
          <w:color w:val="auto"/>
        </w:rPr>
      </w:pPr>
    </w:p>
    <w:p>
      <w:pPr>
        <w:ind w:left="380" w:right="20" w:firstLine="419"/>
        <w:spacing w:after="0" w:line="257" w:lineRule="auto"/>
        <w:tabs>
          <w:tab w:leader="none" w:pos="1047"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Required Consents; Authority</w:t>
      </w:r>
      <w:r>
        <w:rPr>
          <w:rFonts w:ascii="Arial" w:cs="Arial" w:eastAsia="Arial" w:hAnsi="Arial"/>
          <w:sz w:val="18"/>
          <w:szCs w:val="18"/>
          <w:color w:val="auto"/>
        </w:rPr>
        <w:t>. Except (i) as may be required under foreign or state securities (or Blue Sky) laws or by FINRA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Nasdaq Market in connection with the purchase and distribution of Shares by the Underwriters and (ii) as would not, individually or in the aggregate, reasonably be expected to impair such Selling Stockholder’s ability to perform its obligations under this Agreement in any material respect, all consents, approvals, authorizations and orders necessary for the execution and delivery by such Selling Stockholder of this Agreement hereinafter referred to, and for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500" w:top="274" w:right="499" w:bottom="1440" w:gutter="0" w:footer="0" w:header="0"/>
        </w:sectPr>
      </w:pPr>
    </w:p>
    <w:bookmarkStart w:id="112" w:name="page113"/>
    <w:bookmarkEnd w:id="112"/>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sale and delivery of the Shares to be sold by such Selling Stockholder hereunder, have been obtained; and such Selling Stockholder has full right, power and authority to enter into this Agreement and to sell, assign, transfer and deliver the Shares to be sold by such Selling Stockholder hereunder; this Agreement has been duly authorized, executed and delivered by such Selling Stockholder.</w:t>
      </w:r>
    </w:p>
    <w:p>
      <w:pPr>
        <w:spacing w:after="0" w:line="57" w:lineRule="exact"/>
        <w:rPr>
          <w:sz w:val="20"/>
          <w:szCs w:val="20"/>
          <w:color w:val="auto"/>
        </w:rPr>
      </w:pPr>
    </w:p>
    <w:p>
      <w:pPr>
        <w:ind w:right="40" w:firstLine="419"/>
        <w:spacing w:after="0" w:line="269" w:lineRule="auto"/>
        <w:tabs>
          <w:tab w:leader="none" w:pos="678"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The execution, delivery and performance by such Selling Stockholder of this Agreement, the sale of the Shares to be sold</w:t>
      </w:r>
      <w:r>
        <w:rPr>
          <w:rFonts w:ascii="Arial" w:cs="Arial" w:eastAsia="Arial" w:hAnsi="Arial"/>
          <w:sz w:val="17"/>
          <w:szCs w:val="17"/>
          <w:i w:val="1"/>
          <w:iCs w:val="1"/>
          <w:color w:val="auto"/>
        </w:rPr>
        <w:t xml:space="preserve"> </w:t>
      </w:r>
      <w:r>
        <w:rPr>
          <w:rFonts w:ascii="Arial" w:cs="Arial" w:eastAsia="Arial" w:hAnsi="Arial"/>
          <w:sz w:val="17"/>
          <w:szCs w:val="17"/>
          <w:color w:val="auto"/>
        </w:rPr>
        <w:t>by such Selling Stockholder and the consummation by such Selling Stockholder of the transactions contemplated 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if such Selling Stockholder is not a natural person,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applicable to such Selling Stockholder, except in the case of (i) and (iii), as would not, individually or in the aggregate, reasonably be expected to impair such Selling Stockholder’s ability to perform its obligations under this Agreement in any material respect.</w:t>
      </w:r>
    </w:p>
    <w:p>
      <w:pPr>
        <w:spacing w:after="0" w:line="73" w:lineRule="exact"/>
        <w:rPr>
          <w:rFonts w:ascii="Arial" w:cs="Arial" w:eastAsia="Arial" w:hAnsi="Arial"/>
          <w:sz w:val="17"/>
          <w:szCs w:val="17"/>
          <w:color w:val="auto"/>
        </w:rPr>
      </w:pPr>
    </w:p>
    <w:p>
      <w:pPr>
        <w:ind w:firstLine="419"/>
        <w:spacing w:after="0" w:line="287" w:lineRule="auto"/>
        <w:tabs>
          <w:tab w:leader="none" w:pos="667"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Title to Shares. </w:t>
      </w:r>
      <w:r>
        <w:rPr>
          <w:rFonts w:ascii="Arial" w:cs="Arial" w:eastAsia="Arial" w:hAnsi="Arial"/>
          <w:sz w:val="16"/>
          <w:szCs w:val="16"/>
          <w:color w:val="auto"/>
        </w:rPr>
        <w:t>Such Selling Stockholder has good and valid title to the Shares to be sold at the Closing Date or the Additional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as the case may be, by such Selling Stockholder hereunder, free and clear of all liens, encumbrances, equities or adverse claims; such Selling Stockholder will have, immediately prior to the Closing Date or the Additional Closing Date, as the case may be, good and valid title to the Shares to be sold at the Closing Date or the Additional Closing Date, as the case may be, by such Selling Stockholder, free and clear of all liens, encumbrances, equities or adverse claims; and upon payment for the Shares to be sold by such Selling Stockholder pursuant to this Agreement, delivery of such Shares, as directed by the Representatives, to Cede &amp; Co. (“Cede”) or such other nominee as may be designated by DTC, registration of such Shares in the name of Cede or such other nominee and the crediting of such Shares on the books of DTC to the securities account of the Underwriters, as provided herein (assuming that neither DTC nor the Underwriters has notice of any adverse claim (within the meaning of Section 8-105 of the New York Uniform Commercial Code (“UCC”)) to such Shares), (A) the Underwriters will, under Section 8-501 of the UCC, acquire a valid security entitlement in respect of such Shares and (B) no action based on any adverse claim (within the meaning of Section 8-102 of the UCC) to such Shares may be asserted against the Underwriters with respect to such security entitlement.</w:t>
      </w:r>
    </w:p>
    <w:p>
      <w:pPr>
        <w:spacing w:after="0" w:line="63" w:lineRule="exact"/>
        <w:rPr>
          <w:rFonts w:ascii="Arial" w:cs="Arial" w:eastAsia="Arial" w:hAnsi="Arial"/>
          <w:sz w:val="16"/>
          <w:szCs w:val="16"/>
          <w:color w:val="auto"/>
        </w:rPr>
      </w:pPr>
    </w:p>
    <w:p>
      <w:pPr>
        <w:ind w:right="340" w:firstLine="419"/>
        <w:spacing w:after="0" w:line="277" w:lineRule="auto"/>
        <w:tabs>
          <w:tab w:leader="none" w:pos="678"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Such Selling Stockholder has not taken and will not take, directly or indirectly, any action designed to or that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cause or result in any stabilization or manipulation of the price of the Shares.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113" w:name="page114"/>
    <w:bookmarkEnd w:id="113"/>
    <w:p>
      <w:pPr>
        <w:ind w:right="40" w:firstLine="419"/>
        <w:spacing w:after="0" w:line="269" w:lineRule="auto"/>
        <w:tabs>
          <w:tab w:leader="none" w:pos="667"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Pricing Disclosure Package</w:t>
      </w:r>
      <w:r>
        <w:rPr>
          <w:rFonts w:ascii="Arial" w:cs="Arial" w:eastAsia="Arial" w:hAnsi="Arial"/>
          <w:sz w:val="17"/>
          <w:szCs w:val="17"/>
          <w:color w:val="auto"/>
        </w:rPr>
        <w:t>. The Pricing Disclosure Package, at the Applicable Time did not, and as of the Closing Date and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Selling Stockholder’s representation under this Section 4(e) shall only apply to any untrue statement of a material fact or omission to state a material fact made in reliance upon and in conformity with any information relating to such Selling Stockholder furnished to the Company in writing by such Selling Stockholder expressly for use in the Pricing Disclosure Package, it being understood and agreed that the only such information furnished by each Selling Stockholder consists of (A) the legal name and address of such Selling Stockholder and the other information about such Selling Stockholder set forth in the footnote relating to such Selling Stockholder under the caption “Principal and Selling Stockholders,” (B) the number of shares of common stock beneficially owned by such Selling Stockholder before and after the offering (excluding percentages) that appears in the table (and corresponding footnotes) under the caption “Principal and Selling Stockholders” and (C) with respect to the Sponsor Selling Stockholders, the information about such Sponsor Selling Stockholder under the caption “Summary—Principal Stockholders” (collectively, the “Selling Stockholder Information”).</w:t>
      </w:r>
    </w:p>
    <w:p>
      <w:pPr>
        <w:spacing w:after="0" w:line="70" w:lineRule="exact"/>
        <w:rPr>
          <w:rFonts w:ascii="Arial" w:cs="Arial" w:eastAsia="Arial" w:hAnsi="Arial"/>
          <w:sz w:val="17"/>
          <w:szCs w:val="17"/>
          <w:color w:val="auto"/>
        </w:rPr>
      </w:pPr>
    </w:p>
    <w:p>
      <w:pPr>
        <w:ind w:right="40" w:firstLine="419"/>
        <w:spacing w:after="0" w:line="293" w:lineRule="auto"/>
        <w:tabs>
          <w:tab w:leader="none" w:pos="648"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and Written Testing-the-Waters Communication. </w:t>
      </w:r>
      <w:r>
        <w:rPr>
          <w:rFonts w:ascii="Arial" w:cs="Arial" w:eastAsia="Arial" w:hAnsi="Arial"/>
          <w:sz w:val="16"/>
          <w:szCs w:val="16"/>
          <w:color w:val="auto"/>
        </w:rPr>
        <w:t>Other than the Registration Statement, the Preliminary</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the Company and the Representatives.</w:t>
      </w:r>
    </w:p>
    <w:p>
      <w:pPr>
        <w:spacing w:after="0" w:line="56" w:lineRule="exact"/>
        <w:rPr>
          <w:rFonts w:ascii="Arial" w:cs="Arial" w:eastAsia="Arial" w:hAnsi="Arial"/>
          <w:sz w:val="16"/>
          <w:szCs w:val="16"/>
          <w:color w:val="auto"/>
        </w:rPr>
      </w:pPr>
    </w:p>
    <w:p>
      <w:pPr>
        <w:ind w:left="680" w:hanging="261"/>
        <w:spacing w:after="0"/>
        <w:tabs>
          <w:tab w:leader="none" w:pos="68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and Prospectus. </w:t>
      </w:r>
      <w:r>
        <w:rPr>
          <w:rFonts w:ascii="Arial" w:cs="Arial" w:eastAsia="Arial" w:hAnsi="Arial"/>
          <w:sz w:val="17"/>
          <w:szCs w:val="17"/>
          <w:color w:val="auto"/>
        </w:rPr>
        <w:t>As of the applicable effective date of the Registration Statement and any post-effective</w:t>
      </w:r>
    </w:p>
    <w:p>
      <w:pPr>
        <w:spacing w:after="0" w:line="34" w:lineRule="exact"/>
        <w:rPr>
          <w:rFonts w:ascii="Arial" w:cs="Arial" w:eastAsia="Arial" w:hAnsi="Arial"/>
          <w:sz w:val="17"/>
          <w:szCs w:val="17"/>
          <w:color w:val="auto"/>
        </w:rPr>
      </w:pPr>
    </w:p>
    <w:p>
      <w:pPr>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Selling Stockholder’s representation under this Section 4(g) shall apply only to any untrue statement of a material fact or omission to state a material fact made in reliance upon and in conformity with the Selling Stockholder Information.</w:t>
      </w:r>
    </w:p>
    <w:p>
      <w:pPr>
        <w:spacing w:after="0" w:line="10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00"/>
          </w:cols>
          <w:pgMar w:left="880" w:top="274" w:right="519" w:bottom="1440" w:gutter="0" w:footer="0" w:header="0"/>
        </w:sectPr>
      </w:pPr>
    </w:p>
    <w:bookmarkStart w:id="114" w:name="page115"/>
    <w:bookmarkEnd w:id="114"/>
    <w:p>
      <w:pPr>
        <w:ind w:left="4" w:firstLine="419"/>
        <w:spacing w:after="0" w:line="254" w:lineRule="auto"/>
        <w:tabs>
          <w:tab w:leader="none" w:pos="681"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of Proceeds</w:t>
      </w:r>
      <w:r>
        <w:rPr>
          <w:rFonts w:ascii="Arial" w:cs="Arial" w:eastAsia="Arial" w:hAnsi="Arial"/>
          <w:sz w:val="18"/>
          <w:szCs w:val="18"/>
          <w:color w:val="auto"/>
        </w:rPr>
        <w:t>. Such Selling Stockholder will not use, directly or knowingly indirectly, the proceeds of the offering in furtherance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offer, payment, promise to pay, or authorization of the payment or giving of money, or anything else of value, to any person in violation of any applicable Anti-Corruption Laws; and such Selling Stockholder will not directly or knowingly indirectly use the proceeds of the offering of the Shares to be sold by such Selling Stockholder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83" w:lineRule="exact"/>
        <w:rPr>
          <w:rFonts w:ascii="Arial" w:cs="Arial" w:eastAsia="Arial" w:hAnsi="Arial"/>
          <w:sz w:val="18"/>
          <w:szCs w:val="18"/>
          <w:color w:val="auto"/>
        </w:rPr>
      </w:pPr>
    </w:p>
    <w:p>
      <w:pPr>
        <w:ind w:left="4" w:right="160" w:firstLine="419"/>
        <w:spacing w:after="0" w:line="277" w:lineRule="auto"/>
        <w:tabs>
          <w:tab w:leader="none" w:pos="641"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Organization and Good Standing</w:t>
      </w:r>
      <w:r>
        <w:rPr>
          <w:rFonts w:ascii="Arial" w:cs="Arial" w:eastAsia="Arial" w:hAnsi="Arial"/>
          <w:sz w:val="18"/>
          <w:szCs w:val="18"/>
          <w:color w:val="auto"/>
        </w:rPr>
        <w:t>. If such Selling Stockholder is not a natural person, such Selling Stockholder has been duly organized</w:t>
      </w:r>
      <w:r>
        <w:rPr>
          <w:rFonts w:ascii="Arial" w:cs="Arial" w:eastAsia="Arial" w:hAnsi="Arial"/>
          <w:sz w:val="18"/>
          <w:szCs w:val="18"/>
          <w:i w:val="1"/>
          <w:iCs w:val="1"/>
          <w:color w:val="auto"/>
        </w:rPr>
        <w:t xml:space="preserve"> </w:t>
      </w:r>
      <w:r>
        <w:rPr>
          <w:rFonts w:ascii="Arial" w:cs="Arial" w:eastAsia="Arial" w:hAnsi="Arial"/>
          <w:sz w:val="18"/>
          <w:szCs w:val="18"/>
          <w:color w:val="auto"/>
        </w:rPr>
        <w:t>and is validly existing and in good standing under the laws of its respective jurisdictions of organization.</w:t>
      </w:r>
    </w:p>
    <w:p>
      <w:pPr>
        <w:spacing w:after="0" w:line="62" w:lineRule="exact"/>
        <w:rPr>
          <w:rFonts w:ascii="Arial" w:cs="Arial" w:eastAsia="Arial" w:hAnsi="Arial"/>
          <w:sz w:val="18"/>
          <w:szCs w:val="18"/>
          <w:color w:val="auto"/>
        </w:rPr>
      </w:pPr>
    </w:p>
    <w:p>
      <w:pPr>
        <w:ind w:left="644" w:hanging="221"/>
        <w:spacing w:after="0"/>
        <w:tabs>
          <w:tab w:leader="none" w:pos="644" w:val="left"/>
        </w:tabs>
        <w:numPr>
          <w:ilvl w:val="1"/>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ERISA. </w:t>
      </w:r>
      <w:r>
        <w:rPr>
          <w:rFonts w:ascii="Arial" w:cs="Arial" w:eastAsia="Arial" w:hAnsi="Arial"/>
          <w:sz w:val="16"/>
          <w:szCs w:val="16"/>
          <w:color w:val="auto"/>
        </w:rPr>
        <w:t>Such Selling Stockholder is not (i) an employee benefit plan subject to Title I of ERISA, (ii) a plan as defined in Section 4975(e)</w:t>
      </w:r>
    </w:p>
    <w:p>
      <w:pPr>
        <w:spacing w:after="0" w:line="46" w:lineRule="exact"/>
        <w:rPr>
          <w:rFonts w:ascii="Arial" w:cs="Arial" w:eastAsia="Arial" w:hAnsi="Arial"/>
          <w:sz w:val="16"/>
          <w:szCs w:val="16"/>
          <w:color w:val="auto"/>
        </w:rPr>
      </w:pPr>
    </w:p>
    <w:p>
      <w:pPr>
        <w:ind w:left="4" w:right="580" w:hanging="4"/>
        <w:spacing w:after="0" w:line="260" w:lineRule="auto"/>
        <w:tabs>
          <w:tab w:leader="none" w:pos="2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the Code that is subject to Section 4975 of the Code or (iii) an entity deemed to hold “plan assets” of any such plan or account under Section 3(42) of ERISA, 29 C.F.R. 2510.3-101, or otherwise.</w:t>
      </w:r>
    </w:p>
    <w:p>
      <w:pPr>
        <w:spacing w:after="0" w:line="77" w:lineRule="exact"/>
        <w:rPr>
          <w:rFonts w:ascii="Arial" w:cs="Arial" w:eastAsia="Arial" w:hAnsi="Arial"/>
          <w:sz w:val="18"/>
          <w:szCs w:val="18"/>
          <w:color w:val="auto"/>
        </w:rPr>
      </w:pPr>
    </w:p>
    <w:p>
      <w:pPr>
        <w:ind w:left="4" w:right="100" w:firstLine="419"/>
        <w:spacing w:after="0" w:line="275" w:lineRule="auto"/>
        <w:tabs>
          <w:tab w:leader="none" w:pos="681" w:val="left"/>
        </w:tabs>
        <w:numPr>
          <w:ilvl w:val="1"/>
          <w:numId w:val="90"/>
        </w:numPr>
        <w:rPr>
          <w:rFonts w:ascii="Arial" w:cs="Arial" w:eastAsia="Arial" w:hAnsi="Arial"/>
          <w:sz w:val="17"/>
          <w:szCs w:val="17"/>
          <w:color w:val="auto"/>
        </w:rPr>
      </w:pPr>
      <w:r>
        <w:rPr>
          <w:rFonts w:ascii="Arial" w:cs="Arial" w:eastAsia="Arial" w:hAnsi="Arial"/>
          <w:sz w:val="17"/>
          <w:szCs w:val="17"/>
          <w:i w:val="1"/>
          <w:iCs w:val="1"/>
          <w:color w:val="auto"/>
        </w:rPr>
        <w:t>Stamp Taxes</w:t>
      </w:r>
      <w:r>
        <w:rPr>
          <w:rFonts w:ascii="Arial" w:cs="Arial" w:eastAsia="Arial" w:hAnsi="Arial"/>
          <w:sz w:val="17"/>
          <w:szCs w:val="17"/>
          <w:color w:val="auto"/>
        </w:rPr>
        <w:t>. No stamp duties or other issuance or transfer taxes are payable by or on behalf of the Underwriters in the United States or</w:t>
      </w:r>
      <w:r>
        <w:rPr>
          <w:rFonts w:ascii="Arial" w:cs="Arial" w:eastAsia="Arial" w:hAnsi="Arial"/>
          <w:sz w:val="17"/>
          <w:szCs w:val="17"/>
          <w:i w:val="1"/>
          <w:iCs w:val="1"/>
          <w:color w:val="auto"/>
        </w:rPr>
        <w:t xml:space="preserve"> </w:t>
      </w:r>
      <w:r>
        <w:rPr>
          <w:rFonts w:ascii="Arial" w:cs="Arial" w:eastAsia="Arial" w:hAnsi="Arial"/>
          <w:sz w:val="17"/>
          <w:szCs w:val="17"/>
          <w:color w:val="auto"/>
        </w:rPr>
        <w:t>such Selling Stockholder’s jurisdiction of organization (if other than the United States) or, in each case, any political subdivision or taxing authority thereof in connection with (A) the execution, delivery and performance of this Agreement, (B) the sale and the delivery of the Shares to be sold by such Selling Stockholder in the manner contemplated by this Agreement and the Prospectus or (C) the sale and delivery by the Underwriters of the Shares to be sold by such Selling Stockholder as contemplated herein and in the Prospectus.</w:t>
      </w:r>
    </w:p>
    <w:p>
      <w:pPr>
        <w:spacing w:after="0" w:line="68" w:lineRule="exact"/>
        <w:rPr>
          <w:rFonts w:ascii="Arial" w:cs="Arial" w:eastAsia="Arial" w:hAnsi="Arial"/>
          <w:sz w:val="17"/>
          <w:szCs w:val="17"/>
          <w:color w:val="auto"/>
        </w:rPr>
      </w:pPr>
    </w:p>
    <w:p>
      <w:pPr>
        <w:ind w:left="4" w:right="160" w:firstLine="419"/>
        <w:spacing w:after="0" w:line="301" w:lineRule="auto"/>
        <w:tabs>
          <w:tab w:leader="none" w:pos="641" w:val="left"/>
        </w:tabs>
        <w:numPr>
          <w:ilvl w:val="1"/>
          <w:numId w:val="90"/>
        </w:numPr>
        <w:rPr>
          <w:rFonts w:ascii="Arial" w:cs="Arial" w:eastAsia="Arial" w:hAnsi="Arial"/>
          <w:sz w:val="16"/>
          <w:szCs w:val="16"/>
          <w:color w:val="auto"/>
        </w:rPr>
      </w:pPr>
      <w:r>
        <w:rPr>
          <w:rFonts w:ascii="Arial" w:cs="Arial" w:eastAsia="Arial" w:hAnsi="Arial"/>
          <w:sz w:val="16"/>
          <w:szCs w:val="16"/>
          <w:i w:val="1"/>
          <w:iCs w:val="1"/>
          <w:color w:val="auto"/>
        </w:rPr>
        <w:t>Enforcement of Foreign Judgments</w:t>
      </w:r>
      <w:r>
        <w:rPr>
          <w:rFonts w:ascii="Arial" w:cs="Arial" w:eastAsia="Arial" w:hAnsi="Arial"/>
          <w:sz w:val="16"/>
          <w:szCs w:val="16"/>
          <w:color w:val="auto"/>
        </w:rPr>
        <w:t>. Any final judgment for a fixed or determined sum of money rendered by any U.S. federal or New</w:t>
      </w:r>
      <w:r>
        <w:rPr>
          <w:rFonts w:ascii="Arial" w:cs="Arial" w:eastAsia="Arial" w:hAnsi="Arial"/>
          <w:sz w:val="16"/>
          <w:szCs w:val="16"/>
          <w:i w:val="1"/>
          <w:iCs w:val="1"/>
          <w:color w:val="auto"/>
        </w:rPr>
        <w:t xml:space="preserve"> </w:t>
      </w:r>
      <w:r>
        <w:rPr>
          <w:rFonts w:ascii="Arial" w:cs="Arial" w:eastAsia="Arial" w:hAnsi="Arial"/>
          <w:sz w:val="16"/>
          <w:szCs w:val="16"/>
          <w:color w:val="auto"/>
        </w:rPr>
        <w:t>York State court located in the State of New York having jurisdiction under its own laws in respect of any suit, action or proceeding against such Selling Stockholder based upon this Agreement would be declared enforceable against such Selling Stockholder by the courts of such Selling Stockholder’s jurisdiction of organization (if other than the United States), without reconsideration or reexamination of the merits.</w:t>
      </w:r>
    </w:p>
    <w:p>
      <w:pPr>
        <w:spacing w:after="0" w:line="49" w:lineRule="exact"/>
        <w:rPr>
          <w:rFonts w:ascii="Arial" w:cs="Arial" w:eastAsia="Arial" w:hAnsi="Arial"/>
          <w:sz w:val="16"/>
          <w:szCs w:val="16"/>
          <w:color w:val="auto"/>
        </w:rPr>
      </w:pPr>
    </w:p>
    <w:p>
      <w:pPr>
        <w:ind w:left="4" w:right="40" w:firstLine="419"/>
        <w:spacing w:after="0" w:line="255" w:lineRule="auto"/>
        <w:tabs>
          <w:tab w:leader="none" w:pos="731" w:val="left"/>
        </w:tabs>
        <w:numPr>
          <w:ilvl w:val="1"/>
          <w:numId w:val="90"/>
        </w:numPr>
        <w:rPr>
          <w:rFonts w:ascii="Arial" w:cs="Arial" w:eastAsia="Arial" w:hAnsi="Arial"/>
          <w:sz w:val="18"/>
          <w:szCs w:val="18"/>
          <w:color w:val="auto"/>
        </w:rPr>
      </w:pPr>
      <w:r>
        <w:rPr>
          <w:rFonts w:ascii="Arial" w:cs="Arial" w:eastAsia="Arial" w:hAnsi="Arial"/>
          <w:sz w:val="18"/>
          <w:szCs w:val="18"/>
          <w:i w:val="1"/>
          <w:iCs w:val="1"/>
          <w:color w:val="auto"/>
        </w:rPr>
        <w:t>Valid Choice of Law</w:t>
      </w:r>
      <w:r>
        <w:rPr>
          <w:rFonts w:ascii="Arial" w:cs="Arial" w:eastAsia="Arial" w:hAnsi="Arial"/>
          <w:sz w:val="18"/>
          <w:szCs w:val="18"/>
          <w:color w:val="auto"/>
        </w:rPr>
        <w:t>. The choice of laws of the State of New York as the governing law of this Agreement is a valid choice of law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such Selling Stockholder’s jurisdiction of organization (if other than the United States) and will be honored by the courts of such Selling Stockholder’s jurisdiction of organization (if other than the United States). The Selling Stockholder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4"/>
          </w:cols>
          <w:pgMar w:left="876" w:top="274" w:right="459" w:bottom="1440" w:gutter="0" w:footer="0" w:header="0"/>
        </w:sectPr>
      </w:pPr>
    </w:p>
    <w:bookmarkStart w:id="115" w:name="page116"/>
    <w:bookmarkEnd w:id="115"/>
    <w:p>
      <w:pPr>
        <w:ind w:right="140" w:firstLine="419"/>
        <w:spacing w:after="0" w:line="275" w:lineRule="auto"/>
        <w:tabs>
          <w:tab w:leader="none" w:pos="678"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Currency</w:t>
      </w:r>
      <w:r>
        <w:rPr>
          <w:rFonts w:ascii="Arial" w:cs="Arial" w:eastAsia="Arial" w:hAnsi="Arial"/>
          <w:sz w:val="17"/>
          <w:szCs w:val="17"/>
          <w:color w:val="auto"/>
        </w:rPr>
        <w:t>. To the extent any payment is to be made by such Selling Stockholder pursuant to this Agreement, such Selling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has access, subject to the laws of such Selling Stockholder’s jurisdiction of organization (if other than the United States), to the internal currency market in such Selling Stockholder’s jurisdiction of organization (if other than the United States) and, to the extent necessary, valid agreements with commercial banks of such Selling Stockholder’s jurisdiction of organization (if other than the United States) for purchasing U.S. dollars to make payments of amounts which may be payable under this Agreement.</w:t>
      </w:r>
    </w:p>
    <w:p>
      <w:pPr>
        <w:spacing w:after="0" w:line="68" w:lineRule="exact"/>
        <w:rPr>
          <w:sz w:val="20"/>
          <w:szCs w:val="20"/>
          <w:color w:val="auto"/>
        </w:rPr>
      </w:pPr>
    </w:p>
    <w:p>
      <w:pPr>
        <w:ind w:firstLine="419"/>
        <w:spacing w:after="0" w:line="255" w:lineRule="auto"/>
        <w:tabs>
          <w:tab w:leader="none" w:pos="70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Representations of the Non-Sponsor Selling Stockholders</w:t>
      </w:r>
      <w:r>
        <w:rPr>
          <w:rFonts w:ascii="Arial" w:cs="Arial" w:eastAsia="Arial" w:hAnsi="Arial"/>
          <w:sz w:val="18"/>
          <w:szCs w:val="18"/>
          <w:color w:val="auto"/>
        </w:rPr>
        <w:t>. Each of the Selling Stockholders other than (i) Warburg Pincus Private Equity XI, L.P., Warburg Pincus Private Equity XI-B, L.P., Warburg Pincus Private Equity XI-C, L.P., WP XI Partners, L.P., Warburg Pincus XI Partners, L.P. and Bull Co-Invest L.P. (collectively, the “Warburg Sponsor Selling Stockholders”) and (ii) GTCR Fund XI/A LP, GTCR Fund XI/C LP and GTCR Co-Invest XI LP (collectively, the “GTCR Sponsor Selling Stockholders” and, together with the Warburg Sponsor Selling Stockholders, the “Sponsor Selling Stockholders”) (such other Selling Stockholders, the “Non-Sponsor Selling Stockholders”), severally and not jointly, represents and warrants to, and agrees with, each of the Underwriters that:</w:t>
      </w:r>
    </w:p>
    <w:p>
      <w:pPr>
        <w:spacing w:after="0" w:line="84" w:lineRule="exact"/>
        <w:rPr>
          <w:sz w:val="20"/>
          <w:szCs w:val="20"/>
          <w:color w:val="auto"/>
        </w:rPr>
      </w:pPr>
    </w:p>
    <w:p>
      <w:pPr>
        <w:ind w:right="20" w:firstLine="419"/>
        <w:spacing w:after="0" w:line="273" w:lineRule="auto"/>
        <w:tabs>
          <w:tab w:leader="none" w:pos="667"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 xml:space="preserve">Required Consents; Authority. </w:t>
      </w:r>
      <w:r>
        <w:rPr>
          <w:rFonts w:ascii="Arial" w:cs="Arial" w:eastAsia="Arial" w:hAnsi="Arial"/>
          <w:sz w:val="17"/>
          <w:szCs w:val="17"/>
          <w:color w:val="auto"/>
        </w:rPr>
        <w:t>Except as would not, individually or in the aggregate, reasonably be expected to impair such Non-Sponsor</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Stockholder’s ability to perform its obligations under the Power of Attorney and the Custody Agreement in any material respect, all consents, approvals, authorizations and orders necessary for the execution and delivery by such Non-Sponsor Selling Stockholder of the Power of Attorney and the Custody Agreement hereinafter referred to, have been obtained; and such Non-Sponsor Selling Stockholder has full right, power and authority to enter into the Power of Attorney and the Custody Agreement; each of the Power of Attorney and the Custody Agreement been duly authorized, executed and delivered by such Non-Sponsor Selling Stockholder;</w:t>
      </w:r>
    </w:p>
    <w:p>
      <w:pPr>
        <w:spacing w:after="0" w:line="69" w:lineRule="exact"/>
        <w:rPr>
          <w:rFonts w:ascii="Arial" w:cs="Arial" w:eastAsia="Arial" w:hAnsi="Arial"/>
          <w:sz w:val="17"/>
          <w:szCs w:val="17"/>
          <w:color w:val="auto"/>
        </w:rPr>
      </w:pPr>
    </w:p>
    <w:p>
      <w:pPr>
        <w:ind w:right="80" w:firstLine="419"/>
        <w:spacing w:after="0" w:line="271" w:lineRule="auto"/>
        <w:tabs>
          <w:tab w:leader="none" w:pos="678"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The execution, delivery and performance by such Non-Sponsor Selling Stockholder of the Power of Attorney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Custody Agreement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Non-Sponsor Selling Stockholder pursuant to, any indenture, mortgage, deed of trust, loan agreement or other agreement or instrument to which such Non-Sponsor Selling Stockholder is a party or by which such Non-Sponsor Selling Stockholder is bound or to which any of the property, right or asset of such Non-Sponsor Selling Stockholder is subject, (ii) if such Non-Sponsor Selling Stockholder is not a natural person, result in any violation of the provisions of the charter or by-laws or similar organizational documents of such Non-Sponsor Selling Stockholder or (iii) result in the violation of any</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4" w:right="459" w:bottom="1440" w:gutter="0" w:footer="0" w:header="0"/>
        </w:sectPr>
      </w:pPr>
    </w:p>
    <w:bookmarkStart w:id="116" w:name="page117"/>
    <w:bookmarkEnd w:id="11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 or statute or any judgment, order, rule or regulation of any court or arbitrator or governmental or regulatory agency applicable to such Non-Sponsor Selling Stockholder, except in the case of (i) and (iii), as would not, individually or in the aggregate, reasonably be expected to impair such Non-Sponsor Selling Stockholder’s ability to perform its obligations under the Power of Attorney and the Custody Agreement in any material respect;</w:t>
      </w:r>
    </w:p>
    <w:p>
      <w:pPr>
        <w:spacing w:after="0" w:line="79" w:lineRule="exact"/>
        <w:rPr>
          <w:sz w:val="20"/>
          <w:szCs w:val="20"/>
          <w:color w:val="auto"/>
        </w:rPr>
      </w:pPr>
    </w:p>
    <w:p>
      <w:pPr>
        <w:ind w:firstLine="419"/>
        <w:spacing w:after="0" w:line="288" w:lineRule="auto"/>
        <w:tabs>
          <w:tab w:leader="none" w:pos="668" w:val="left"/>
        </w:tabs>
        <w:numPr>
          <w:ilvl w:val="0"/>
          <w:numId w:val="94"/>
        </w:numPr>
        <w:rPr>
          <w:rFonts w:ascii="Arial" w:cs="Arial" w:eastAsia="Arial" w:hAnsi="Arial"/>
          <w:sz w:val="16"/>
          <w:szCs w:val="16"/>
          <w:color w:val="auto"/>
        </w:rPr>
      </w:pPr>
      <w:r>
        <w:rPr>
          <w:rFonts w:ascii="Arial" w:cs="Arial" w:eastAsia="Arial" w:hAnsi="Arial"/>
          <w:sz w:val="16"/>
          <w:szCs w:val="16"/>
          <w:color w:val="auto"/>
        </w:rPr>
        <w:t>Such Non-Sponsor Selling Stockholder has (i) authorized Computershare Inc. to place in a book-entry account established for such purchase all of the Shares to be sold by such Non-Sponsor Selling Stockholder hereunder, (ii) has placed such Shares in custody under a Custody Agreement relating to such Shares, in the form heretofore furnished to you (the “Custody Agreement”), duly executed and delivered by such Non-Sponsor Selling Stockholder to Computershare Inc., as custodian (the “Custodian”), and that such Non-Sponsor Selling Stockholder has duly executed and delivered a Power of Attorney (the “Power of Attorney”), in the form heretofore furnished to you, appointing the person or persons indicated in Schedule 2 hereto, and each of them, as such Non-Sponsor Selling Stockholder’s Attorneys-in-fact (the “Attorneys-in-Fact” or any one of them the “Attorney-in Fact”) with authority to execute and deliver this Agreement on behalf of such Non-Sponsor Selling Stockholder, to determine the purchase price to be paid by the Underwriters to the Non-Sponsor Selling Stockholder as provided herein, to authorize the delivery of the Shares to be sold by such Non-Sponsor Selling Stockholder hereunder and otherwise to act on behalf of such Non-Sponsor Selling Stockholder in connection with the transactions contemplated by this Agreement and the Custody Agreement;</w:t>
      </w:r>
    </w:p>
    <w:p>
      <w:pPr>
        <w:spacing w:after="0" w:line="60" w:lineRule="exact"/>
        <w:rPr>
          <w:rFonts w:ascii="Arial" w:cs="Arial" w:eastAsia="Arial" w:hAnsi="Arial"/>
          <w:sz w:val="16"/>
          <w:szCs w:val="16"/>
          <w:color w:val="auto"/>
        </w:rPr>
      </w:pPr>
    </w:p>
    <w:p>
      <w:pPr>
        <w:ind w:firstLine="419"/>
        <w:spacing w:after="0" w:line="286" w:lineRule="auto"/>
        <w:tabs>
          <w:tab w:leader="none" w:pos="678"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Shares held in custody for such Non-Sponsor Selling Stockholder under the Custody Agreement, are subject to the interests of the Underwriters hereunder, and that the arrangements made by such Non-Sponsor Selling Stockholder for such custody, and the appointment by such Non-Sponsor Selling Stockholder of the Attorneys-in-Fact by the Power of Attorney, are to that extent irrevocable. The obligations of such Non-Sponsor Selling Stockholder hereunder shall not be terminated by operation of law, whether by the death or incapacity of any individual Non-Sponsor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If any individual Non-Sponsor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Shares hereunder, such Shares shall be delivered by or on behalf of such Non-Sponsor Selling Stockholder in accordance with the terms and conditions of this Agreement and the Custody Agreement,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10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40"/>
          </w:cols>
          <w:pgMar w:left="880" w:top="274" w:right="479" w:bottom="1440" w:gutter="0" w:footer="0" w:header="0"/>
        </w:sectPr>
      </w:pPr>
    </w:p>
    <w:bookmarkStart w:id="117" w:name="page118"/>
    <w:bookmarkEnd w:id="117"/>
    <w:p>
      <w:pPr>
        <w:ind w:left="4" w:firstLine="419"/>
        <w:spacing w:after="0" w:line="263" w:lineRule="auto"/>
        <w:tabs>
          <w:tab w:leader="none" w:pos="671" w:val="left"/>
        </w:tabs>
        <w:numPr>
          <w:ilvl w:val="1"/>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of the date hereof and as of the Closing Date and as of the Additional Closing Date, as the case may be, that the sale of the Shares by such Non-Sponsor Selling Stockholder is not and will not be prompted by any material information concerning the Company which is not set forth in the Registration Statement, the Pricing Disclosure Package or the Prospectus.</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left="4" w:right="100" w:firstLine="419"/>
        <w:spacing w:after="0" w:line="255" w:lineRule="auto"/>
        <w:tabs>
          <w:tab w:leader="none" w:pos="671"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424(b)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(or such later time as may be agreed by the Company and the Representatives) in such quantities as the Representatives may reasonably request.</w:t>
      </w:r>
    </w:p>
    <w:p>
      <w:pPr>
        <w:spacing w:after="0" w:line="84" w:lineRule="exact"/>
        <w:rPr>
          <w:rFonts w:ascii="Arial" w:cs="Arial" w:eastAsia="Arial" w:hAnsi="Arial"/>
          <w:sz w:val="18"/>
          <w:szCs w:val="18"/>
          <w:color w:val="auto"/>
        </w:rPr>
      </w:pPr>
    </w:p>
    <w:p>
      <w:pPr>
        <w:ind w:left="4" w:right="20" w:firstLine="419"/>
        <w:spacing w:after="0" w:line="270" w:lineRule="auto"/>
        <w:tabs>
          <w:tab w:leader="none" w:pos="681" w:val="left"/>
        </w:tabs>
        <w:numPr>
          <w:ilvl w:val="1"/>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Delivery of Copies. </w:t>
      </w:r>
      <w:r>
        <w:rPr>
          <w:rFonts w:ascii="Arial" w:cs="Arial" w:eastAsia="Arial" w:hAnsi="Arial"/>
          <w:sz w:val="17"/>
          <w:szCs w:val="17"/>
          <w:color w:val="auto"/>
        </w:rPr>
        <w:t>The Company will deliver, without charge, (i) to the Representatives, two signed copies of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upon request of the Representatives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72" w:lineRule="exact"/>
        <w:rPr>
          <w:rFonts w:ascii="Arial" w:cs="Arial" w:eastAsia="Arial" w:hAnsi="Arial"/>
          <w:sz w:val="17"/>
          <w:szCs w:val="17"/>
          <w:color w:val="auto"/>
        </w:rPr>
      </w:pPr>
    </w:p>
    <w:p>
      <w:pPr>
        <w:ind w:left="4" w:right="80" w:firstLine="419"/>
        <w:spacing w:after="0" w:line="296" w:lineRule="auto"/>
        <w:tabs>
          <w:tab w:leader="none" w:pos="671" w:val="left"/>
        </w:tabs>
        <w:numPr>
          <w:ilvl w:val="1"/>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making, preparing, using, authorizing, approving,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in a timely manner.</w:t>
      </w:r>
    </w:p>
    <w:p>
      <w:pPr>
        <w:spacing w:after="0" w:line="94"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84"/>
          </w:cols>
          <w:pgMar w:left="876" w:top="274" w:right="439" w:bottom="1440" w:gutter="0" w:footer="0" w:header="0"/>
        </w:sectPr>
      </w:pPr>
    </w:p>
    <w:bookmarkStart w:id="118" w:name="page119"/>
    <w:bookmarkEnd w:id="118"/>
    <w:p>
      <w:pPr>
        <w:ind w:left="4" w:right="100" w:firstLine="419"/>
        <w:spacing w:after="0" w:line="291" w:lineRule="auto"/>
        <w:tabs>
          <w:tab w:leader="none" w:pos="681" w:val="left"/>
        </w:tabs>
        <w:numPr>
          <w:ilvl w:val="1"/>
          <w:numId w:val="9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to the Representatives. </w:t>
      </w:r>
      <w:r>
        <w:rPr>
          <w:rFonts w:ascii="Arial" w:cs="Arial" w:eastAsia="Arial" w:hAnsi="Arial"/>
          <w:sz w:val="16"/>
          <w:szCs w:val="16"/>
          <w:color w:val="auto"/>
        </w:rPr>
        <w:t>The Company will advise the Representatives promptly, and confirm such advice in writing, (i)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has become effective; (ii) when any amendment to the Registration Statement has been filed or becomes effective;</w:t>
      </w:r>
    </w:p>
    <w:p>
      <w:pPr>
        <w:ind w:left="324" w:hanging="324"/>
        <w:spacing w:after="0"/>
        <w:tabs>
          <w:tab w:leader="none" w:pos="3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when any supplement to the Pricing Disclosure Package, the Prospectus, any Issuer Free Writing Prospectus or any Written</w:t>
      </w:r>
    </w:p>
    <w:p>
      <w:pPr>
        <w:spacing w:after="0" w:line="9"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w:t>
      </w:r>
    </w:p>
    <w:p>
      <w:pPr>
        <w:spacing w:after="0" w:line="66" w:lineRule="exact"/>
        <w:rPr>
          <w:sz w:val="20"/>
          <w:szCs w:val="20"/>
          <w:color w:val="auto"/>
        </w:rPr>
      </w:pPr>
    </w:p>
    <w:p>
      <w:pPr>
        <w:ind w:left="4" w:right="60" w:firstLine="419"/>
        <w:spacing w:after="0" w:line="270" w:lineRule="auto"/>
        <w:tabs>
          <w:tab w:leader="none" w:pos="671"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Ongoing Compliance. </w:t>
      </w:r>
      <w:r>
        <w:rPr>
          <w:rFonts w:ascii="Arial" w:cs="Arial" w:eastAsia="Arial" w:hAnsi="Arial"/>
          <w:sz w:val="17"/>
          <w:szCs w:val="17"/>
          <w:color w:val="auto"/>
        </w:rPr>
        <w:t>(1) If during the Prospectus Delivery Period (i) any event or development shall occur or condition shall exist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w:t>
      </w:r>
    </w:p>
    <w:p>
      <w:pPr>
        <w:spacing w:after="0" w:line="113"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24"/>
          </w:cols>
          <w:pgMar w:left="876" w:top="274" w:right="499" w:bottom="1440" w:gutter="0" w:footer="0" w:header="0"/>
        </w:sectPr>
      </w:pPr>
    </w:p>
    <w:bookmarkStart w:id="119" w:name="page120"/>
    <w:bookmarkEnd w:id="119"/>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77" w:lineRule="exact"/>
        <w:rPr>
          <w:sz w:val="20"/>
          <w:szCs w:val="20"/>
          <w:color w:val="auto"/>
        </w:rPr>
      </w:pPr>
    </w:p>
    <w:p>
      <w:pPr>
        <w:ind w:firstLine="419"/>
        <w:spacing w:after="0" w:line="255"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use its reasonable best efforts, in cooperation with the Representatives, to qualify the Shares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offer and sale under the securities or Blue Sky laws of such jurisdictions as the Representatives shall reasonably request and will continue such qualifications in effect so long as required for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4" w:lineRule="exact"/>
        <w:rPr>
          <w:rFonts w:ascii="Arial" w:cs="Arial" w:eastAsia="Arial" w:hAnsi="Arial"/>
          <w:sz w:val="18"/>
          <w:szCs w:val="18"/>
          <w:color w:val="auto"/>
        </w:rPr>
      </w:pPr>
    </w:p>
    <w:p>
      <w:pPr>
        <w:ind w:right="100" w:firstLine="419"/>
        <w:spacing w:after="0" w:line="296" w:lineRule="auto"/>
        <w:tabs>
          <w:tab w:leader="none" w:pos="678"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Earning Statement. </w:t>
      </w:r>
      <w:r>
        <w:rPr>
          <w:rFonts w:ascii="Arial" w:cs="Arial" w:eastAsia="Arial" w:hAnsi="Arial"/>
          <w:sz w:val="16"/>
          <w:szCs w:val="16"/>
          <w:color w:val="auto"/>
        </w:rPr>
        <w:t>The Company will make generally available to its security holders and the Representatives as soon as practicable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will be deemed to have complied with such requirement by filing such earnings statement on the Commission’s Electronic Data Gathering, Analysis, and Retrieval system (or any successor system) (“EDGAR”).</w:t>
      </w:r>
    </w:p>
    <w:p>
      <w:pPr>
        <w:spacing w:after="0" w:line="53" w:lineRule="exact"/>
        <w:rPr>
          <w:rFonts w:ascii="Arial" w:cs="Arial" w:eastAsia="Arial" w:hAnsi="Arial"/>
          <w:sz w:val="16"/>
          <w:szCs w:val="16"/>
          <w:color w:val="auto"/>
        </w:rPr>
      </w:pPr>
    </w:p>
    <w:p>
      <w:pPr>
        <w:ind w:firstLine="419"/>
        <w:spacing w:after="0" w:line="255" w:lineRule="auto"/>
        <w:tabs>
          <w:tab w:leader="none" w:pos="678"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For a period of 90 days after the date of the Prospectus, the Company will not (i) offer, pledge, sell, contract to sell, sell</w:t>
      </w:r>
      <w:r>
        <w:rPr>
          <w:rFonts w:ascii="Arial" w:cs="Arial" w:eastAsia="Arial" w:hAnsi="Arial"/>
          <w:sz w:val="18"/>
          <w:szCs w:val="18"/>
          <w:i w:val="1"/>
          <w:iCs w:val="1"/>
          <w:color w:val="auto"/>
        </w:rPr>
        <w:t xml:space="preserve"> </w:t>
      </w:r>
      <w:r>
        <w:rPr>
          <w:rFonts w:ascii="Arial" w:cs="Arial" w:eastAsia="Arial" w:hAnsi="Arial"/>
          <w:sz w:val="18"/>
          <w:szCs w:val="18"/>
          <w:color w:val="auto"/>
        </w:rPr>
        <w:t>any option or contract to purchase, purchase any option or contract to sell, grant any option, right or warrant to purchase, lend, or otherwise transfer or dispose of, directly or indirectly, or publicly file with, the Commission a registration statement under the Securities Act relating to, any shares of Stock or any securities convertible into or exercisable or exchangeable for Stock, or publicly disclose the intention to undertake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provide written notice to the Representatives at least two business days prior to any confidential or non-public submission of a registration statement</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0"/>
          </w:cols>
          <w:pgMar w:left="880" w:top="274" w:right="459" w:bottom="1440" w:gutter="0" w:footer="0" w:header="0"/>
        </w:sectPr>
      </w:pPr>
    </w:p>
    <w:bookmarkStart w:id="120" w:name="page121"/>
    <w:bookmarkEnd w:id="1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described in this clause (i)),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J.P. Morgan Securities LLC, on behalf of the Underwriters, other than the Shares to be sold hereunder.</w:t>
      </w:r>
    </w:p>
    <w:p>
      <w:pPr>
        <w:spacing w:after="0" w:line="79" w:lineRule="exact"/>
        <w:rPr>
          <w:sz w:val="20"/>
          <w:szCs w:val="20"/>
          <w:color w:val="auto"/>
        </w:rPr>
      </w:pPr>
    </w:p>
    <w:p>
      <w:pPr>
        <w:ind w:right="20" w:firstLine="952"/>
        <w:spacing w:after="0" w:line="286" w:lineRule="auto"/>
        <w:rPr>
          <w:sz w:val="20"/>
          <w:szCs w:val="20"/>
          <w:color w:val="auto"/>
        </w:rPr>
      </w:pPr>
      <w:r>
        <w:rPr>
          <w:rFonts w:ascii="Arial" w:cs="Arial" w:eastAsia="Arial" w:hAnsi="Arial"/>
          <w:sz w:val="16"/>
          <w:szCs w:val="16"/>
          <w:color w:val="auto"/>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settlement of RSUs or otherwise), in each case, pursuant to or subject to the terms of an equity compensation plan in effect as of the Closing Date and described in the Prospectus (the “Compensation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recipients that are executive officers or directors of the Company enter into a lock-up agreement with the Underwriters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(iii) entry into one or more agreements providing for, and the issuance of, up to 10% of the outstanding shares of Stock, or securities convertible into, exercisable for, or which are otherwise exchangeable for, Stock, immediately following the Closing Date, in acquisitions of the securities, business, property or assets of another person or entity, joint ventures, commercial relationships or other similar strategic transactions or pursuant to any employee benefit plan assumed by the Company in connection with any such acquisition, provided that such recipients enter into a lock-up agreement with the Underwriters; or (iv) the filing of any registration statement on Form S-8 relating to securities granted or to be granted pursuant to any Compensation Plan described in the Prospectus or any assumed benefit plan pursuant to an acquisition or similar strategic transaction.</w:t>
      </w:r>
    </w:p>
    <w:p>
      <w:pPr>
        <w:spacing w:after="0" w:line="63" w:lineRule="exact"/>
        <w:rPr>
          <w:sz w:val="20"/>
          <w:szCs w:val="20"/>
          <w:color w:val="auto"/>
        </w:rPr>
      </w:pPr>
    </w:p>
    <w:p>
      <w:pPr>
        <w:ind w:left="640" w:hanging="221"/>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419"/>
        <w:spacing w:after="0" w:line="308" w:lineRule="auto"/>
        <w:tabs>
          <w:tab w:leader="none" w:pos="638"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Company will not take, directly or indirectly, without giving effect to the activities by the Underwriters,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would reasonably be expected to cause or result in any stabilization or manipulation of the price of the Stock.</w:t>
      </w:r>
    </w:p>
    <w:p>
      <w:pPr>
        <w:spacing w:after="0" w:line="38" w:lineRule="exact"/>
        <w:rPr>
          <w:rFonts w:ascii="Arial" w:cs="Arial" w:eastAsia="Arial" w:hAnsi="Arial"/>
          <w:sz w:val="17"/>
          <w:szCs w:val="17"/>
          <w:color w:val="auto"/>
        </w:rPr>
      </w:pPr>
    </w:p>
    <w:p>
      <w:pPr>
        <w:ind w:right="160" w:firstLine="419"/>
        <w:spacing w:after="0" w:line="277" w:lineRule="auto"/>
        <w:tabs>
          <w:tab w:leader="none" w:pos="678"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For so long as the Company is a reporting company pursuant to Section 12 or 15 of the Exchange Act,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use its reasonable best efforts to maintain the listing of the Shares on the Nasdaq Market.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121" w:name="page122"/>
    <w:bookmarkEnd w:id="121"/>
    <w:p>
      <w:pPr>
        <w:ind w:left="4" w:right="100" w:firstLine="419"/>
        <w:spacing w:after="0" w:line="301" w:lineRule="auto"/>
        <w:tabs>
          <w:tab w:leader="none" w:pos="641"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Reports. </w:t>
      </w:r>
      <w:r>
        <w:rPr>
          <w:rFonts w:ascii="Arial" w:cs="Arial" w:eastAsia="Arial" w:hAnsi="Arial"/>
          <w:sz w:val="16"/>
          <w:szCs w:val="16"/>
          <w:color w:val="auto"/>
        </w:rPr>
        <w:t>For a period of two years from the date of this Agreement, the Company will furnish to the Representatives, as soon as they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will be deemed to have furnished such reports and financial statements to the Representatives to the extent they are filed on EDGAR.</w:t>
      </w:r>
    </w:p>
    <w:p>
      <w:pPr>
        <w:spacing w:after="0" w:line="49" w:lineRule="exact"/>
        <w:rPr>
          <w:rFonts w:ascii="Arial" w:cs="Arial" w:eastAsia="Arial" w:hAnsi="Arial"/>
          <w:sz w:val="16"/>
          <w:szCs w:val="16"/>
          <w:color w:val="auto"/>
        </w:rPr>
      </w:pPr>
    </w:p>
    <w:p>
      <w:pPr>
        <w:ind w:left="4" w:right="420" w:firstLine="419"/>
        <w:spacing w:after="0" w:line="308" w:lineRule="auto"/>
        <w:tabs>
          <w:tab w:leader="none" w:pos="731" w:val="left"/>
        </w:tabs>
        <w:numPr>
          <w:ilvl w:val="1"/>
          <w:numId w:val="102"/>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that is not filed with the Commission in accordance with Rule 433 under the Securities Act.</w:t>
      </w:r>
    </w:p>
    <w:p>
      <w:pPr>
        <w:spacing w:after="0" w:line="38" w:lineRule="exact"/>
        <w:rPr>
          <w:rFonts w:ascii="Arial" w:cs="Arial" w:eastAsia="Arial" w:hAnsi="Arial"/>
          <w:sz w:val="17"/>
          <w:szCs w:val="17"/>
          <w:color w:val="auto"/>
        </w:rPr>
      </w:pPr>
    </w:p>
    <w:p>
      <w:pPr>
        <w:ind w:left="684" w:hanging="261"/>
        <w:spacing w:after="0"/>
        <w:tabs>
          <w:tab w:leader="none" w:pos="684" w:val="left"/>
        </w:tabs>
        <w:numPr>
          <w:ilvl w:val="1"/>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The Company will file with the Commission such reports as may be required by Rule 463 under the Securities Act.</w:t>
      </w:r>
    </w:p>
    <w:p>
      <w:pPr>
        <w:spacing w:after="0" w:line="117" w:lineRule="exact"/>
        <w:rPr>
          <w:rFonts w:ascii="Arial" w:cs="Arial" w:eastAsia="Arial" w:hAnsi="Arial"/>
          <w:sz w:val="18"/>
          <w:szCs w:val="18"/>
          <w:color w:val="auto"/>
        </w:rPr>
      </w:pPr>
    </w:p>
    <w:p>
      <w:pPr>
        <w:jc w:val="both"/>
        <w:ind w:left="4" w:right="100" w:firstLine="419"/>
        <w:spacing w:after="0" w:line="263" w:lineRule="auto"/>
        <w:tabs>
          <w:tab w:leader="none" w:pos="681" w:val="left"/>
        </w:tabs>
        <w:numPr>
          <w:ilvl w:val="1"/>
          <w:numId w:val="102"/>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Shares within the meaning of the Securities Act and (ii) completion of the 90-day restricted period referred to in Section 5(h) hereof.</w:t>
      </w:r>
    </w:p>
    <w:p>
      <w:pPr>
        <w:spacing w:after="0" w:line="75" w:lineRule="exact"/>
        <w:rPr>
          <w:rFonts w:ascii="Arial" w:cs="Arial" w:eastAsia="Arial" w:hAnsi="Arial"/>
          <w:sz w:val="18"/>
          <w:szCs w:val="18"/>
          <w:color w:val="auto"/>
        </w:rPr>
      </w:pPr>
    </w:p>
    <w:p>
      <w:pPr>
        <w:ind w:left="4" w:right="100" w:firstLine="419"/>
        <w:spacing w:after="0" w:line="287" w:lineRule="auto"/>
        <w:tabs>
          <w:tab w:leader="none" w:pos="681"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Tax Certificate</w:t>
      </w:r>
      <w:r>
        <w:rPr>
          <w:rFonts w:ascii="Arial" w:cs="Arial" w:eastAsia="Arial" w:hAnsi="Arial"/>
          <w:sz w:val="16"/>
          <w:szCs w:val="16"/>
          <w:color w:val="auto"/>
        </w:rPr>
        <w:t>. If any Selling Stockholder is not a United States person for U.S. federal income tax purposes, the Company will deliver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Representatives (i) at or prior to the Closing Date, a certificate with respect to the Company’s status as a “United States real property holding corporation,” dated no more than 30 days prior to the Closing Date, as described in Treasury Regulations Sections 1.897-2(h) and</w:t>
      </w:r>
    </w:p>
    <w:p>
      <w:pPr>
        <w:spacing w:after="0" w:line="2" w:lineRule="exact"/>
        <w:rPr>
          <w:rFonts w:ascii="Arial" w:cs="Arial" w:eastAsia="Arial" w:hAnsi="Arial"/>
          <w:sz w:val="16"/>
          <w:szCs w:val="16"/>
          <w:color w:val="auto"/>
        </w:rPr>
      </w:pPr>
    </w:p>
    <w:p>
      <w:pPr>
        <w:ind w:left="4" w:right="320"/>
        <w:spacing w:after="0" w:line="260" w:lineRule="auto"/>
        <w:rPr>
          <w:rFonts w:ascii="Arial" w:cs="Arial" w:eastAsia="Arial" w:hAnsi="Arial"/>
          <w:sz w:val="16"/>
          <w:szCs w:val="16"/>
          <w:color w:val="auto"/>
        </w:rPr>
      </w:pPr>
      <w:r>
        <w:rPr>
          <w:rFonts w:ascii="Arial" w:cs="Arial" w:eastAsia="Arial" w:hAnsi="Arial"/>
          <w:sz w:val="18"/>
          <w:szCs w:val="18"/>
          <w:color w:val="auto"/>
        </w:rPr>
        <w:t>1.1445-2(c)(3), and (ii) within 30 days following the Closing Date, proof of delivery to the Internal Revenue Service of the required notice, as described in Treasury Regulations Section 1.897-2(h)(2).</w:t>
      </w:r>
    </w:p>
    <w:p>
      <w:pPr>
        <w:spacing w:after="0" w:line="185" w:lineRule="exact"/>
        <w:rPr>
          <w:rFonts w:ascii="Arial" w:cs="Arial" w:eastAsia="Arial" w:hAnsi="Arial"/>
          <w:sz w:val="16"/>
          <w:szCs w:val="16"/>
          <w:color w:val="auto"/>
        </w:rPr>
      </w:pPr>
    </w:p>
    <w:p>
      <w:pPr>
        <w:ind w:left="184" w:hanging="184"/>
        <w:spacing w:after="0"/>
        <w:tabs>
          <w:tab w:leader="none" w:pos="184"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Further Agreements of the Selling Stockholders</w:t>
      </w:r>
      <w:r>
        <w:rPr>
          <w:rFonts w:ascii="Arial" w:cs="Arial" w:eastAsia="Arial" w:hAnsi="Arial"/>
          <w:sz w:val="16"/>
          <w:szCs w:val="16"/>
          <w:color w:val="auto"/>
        </w:rPr>
        <w:t>. Each of the Selling Stockholders severally covenants and agrees with each Underwriter that:</w:t>
      </w:r>
    </w:p>
    <w:p>
      <w:pPr>
        <w:spacing w:after="0" w:line="140" w:lineRule="exact"/>
        <w:rPr>
          <w:rFonts w:ascii="Arial" w:cs="Arial" w:eastAsia="Arial" w:hAnsi="Arial"/>
          <w:sz w:val="16"/>
          <w:szCs w:val="16"/>
          <w:color w:val="auto"/>
        </w:rPr>
      </w:pPr>
    </w:p>
    <w:p>
      <w:pPr>
        <w:ind w:left="4" w:right="600" w:firstLine="419"/>
        <w:spacing w:after="0" w:line="277" w:lineRule="auto"/>
        <w:tabs>
          <w:tab w:leader="none" w:pos="671"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Such Selling Stockholder will not take, directly or indirectly, any action designed to or that could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cause or result in any stabilization or manipulation of the price of the Stock.</w:t>
      </w:r>
    </w:p>
    <w:p>
      <w:pPr>
        <w:spacing w:after="0" w:line="62" w:lineRule="exact"/>
        <w:rPr>
          <w:rFonts w:ascii="Arial" w:cs="Arial" w:eastAsia="Arial" w:hAnsi="Arial"/>
          <w:sz w:val="18"/>
          <w:szCs w:val="18"/>
          <w:color w:val="auto"/>
        </w:rPr>
      </w:pPr>
    </w:p>
    <w:p>
      <w:pPr>
        <w:ind w:left="4" w:firstLine="419"/>
        <w:spacing w:after="0" w:line="259" w:lineRule="auto"/>
        <w:tabs>
          <w:tab w:leader="none" w:pos="681"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Tax Form. </w:t>
      </w:r>
      <w:r>
        <w:rPr>
          <w:rFonts w:ascii="Arial" w:cs="Arial" w:eastAsia="Arial" w:hAnsi="Arial"/>
          <w:sz w:val="18"/>
          <w:szCs w:val="18"/>
          <w:color w:val="auto"/>
        </w:rPr>
        <w:t>It will deliver to the Representatives prior to or at the Closing Date a properly completed and executed United States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Form W-9 or Form W-8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79" w:lineRule="exact"/>
        <w:rPr>
          <w:sz w:val="20"/>
          <w:szCs w:val="20"/>
          <w:color w:val="auto"/>
        </w:rPr>
      </w:pPr>
    </w:p>
    <w:p>
      <w:pPr>
        <w:ind w:left="4" w:right="20" w:firstLine="419"/>
        <w:spacing w:after="0" w:line="275" w:lineRule="auto"/>
        <w:tabs>
          <w:tab w:leader="none" w:pos="681"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It will not directly or indirectly use the proceeds of the offering of the Shares hereunder, or lend, contribute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10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44"/>
          </w:cols>
          <w:pgMar w:left="876" w:top="274" w:right="479" w:bottom="1440" w:gutter="0" w:footer="0" w:header="0"/>
        </w:sectPr>
      </w:pPr>
    </w:p>
    <w:bookmarkStart w:id="122" w:name="page123"/>
    <w:bookmarkEnd w:id="122"/>
    <w:p>
      <w:pPr>
        <w:ind w:left="620" w:hanging="184"/>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440" w:right="120" w:firstLine="419"/>
        <w:spacing w:after="0" w:line="290" w:lineRule="auto"/>
        <w:tabs>
          <w:tab w:leader="none" w:pos="110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(including through incorporation by reference) that was not included in the Preliminary Prospectus or a previously filed Issuer Free Writing Prospectus, (ii) any Issuer Free Writing Prospectus listed on Annex A or prepared pursuant to Section 3(c) or Section 4(f)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57" w:lineRule="exact"/>
        <w:rPr>
          <w:rFonts w:ascii="Arial" w:cs="Arial" w:eastAsia="Arial" w:hAnsi="Arial"/>
          <w:sz w:val="16"/>
          <w:szCs w:val="16"/>
          <w:color w:val="auto"/>
        </w:rPr>
      </w:pPr>
    </w:p>
    <w:p>
      <w:pPr>
        <w:ind w:left="440" w:right="100" w:firstLine="419"/>
        <w:spacing w:after="0" w:line="277" w:lineRule="auto"/>
        <w:tabs>
          <w:tab w:leader="none" w:pos="111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62" w:lineRule="exact"/>
        <w:rPr>
          <w:rFonts w:ascii="Arial" w:cs="Arial" w:eastAsia="Arial" w:hAnsi="Arial"/>
          <w:sz w:val="18"/>
          <w:szCs w:val="18"/>
          <w:color w:val="auto"/>
        </w:rPr>
      </w:pPr>
    </w:p>
    <w:p>
      <w:pPr>
        <w:ind w:left="440" w:right="160" w:firstLine="419"/>
        <w:spacing w:after="0" w:line="308" w:lineRule="auto"/>
        <w:tabs>
          <w:tab w:leader="none" w:pos="110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146" w:lineRule="exact"/>
        <w:rPr>
          <w:rFonts w:ascii="Arial" w:cs="Arial" w:eastAsia="Arial" w:hAnsi="Arial"/>
          <w:sz w:val="17"/>
          <w:szCs w:val="17"/>
          <w:color w:val="auto"/>
        </w:rPr>
      </w:pPr>
    </w:p>
    <w:p>
      <w:pPr>
        <w:ind w:firstLine="436"/>
        <w:spacing w:after="0" w:line="311" w:lineRule="auto"/>
        <w:tabs>
          <w:tab w:leader="none" w:pos="6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xml:space="preserve"> The obligation of each Underwriter to purchase the Underwritten Shares on the Closing Date or the Option Shares on the Closing Date or Additional Closing Date, as the case may be, as provided herein is subject to the performance by the Company and each of the Selling Stockholders of their respective covenants and other obligations hereunder and to the following additional conditions:</w:t>
      </w:r>
    </w:p>
    <w:p>
      <w:pPr>
        <w:spacing w:after="0" w:line="40" w:lineRule="exact"/>
        <w:rPr>
          <w:rFonts w:ascii="Arial" w:cs="Arial" w:eastAsia="Arial" w:hAnsi="Arial"/>
          <w:sz w:val="16"/>
          <w:szCs w:val="16"/>
          <w:color w:val="auto"/>
        </w:rPr>
      </w:pPr>
    </w:p>
    <w:p>
      <w:pPr>
        <w:ind w:left="440" w:right="160" w:firstLine="419"/>
        <w:spacing w:after="0" w:line="296" w:lineRule="auto"/>
        <w:tabs>
          <w:tab w:leader="none" w:pos="1107" w:val="left"/>
        </w:tabs>
        <w:numPr>
          <w:ilvl w:val="1"/>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23" w:name="page124"/>
    <w:bookmarkEnd w:id="123"/>
    <w:p>
      <w:pPr>
        <w:ind w:left="4" w:firstLine="419"/>
        <w:spacing w:after="0" w:line="301" w:lineRule="auto"/>
        <w:tabs>
          <w:tab w:leader="none" w:pos="681"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Representations and Warranties. </w:t>
      </w:r>
      <w:r>
        <w:rPr>
          <w:rFonts w:ascii="Arial" w:cs="Arial" w:eastAsia="Arial" w:hAnsi="Arial"/>
          <w:sz w:val="16"/>
          <w:szCs w:val="16"/>
          <w:color w:val="auto"/>
        </w:rPr>
        <w:t>The respective representations and warranties of the Company and the Selling Stockholders contained</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shall be true and correct on the date hereof and on and as of the Closing Date or the Additional Closing Date, as the case may be; and the statements of the Company and its officers and of each of the Selling Stockholders and their officers made in any certificates delivered pursuant to this Agreement shall be true and correct on and as of the Closing Date or the Additional Closing Date, as the case may be.</w:t>
      </w:r>
    </w:p>
    <w:p>
      <w:pPr>
        <w:spacing w:after="0" w:line="49" w:lineRule="exact"/>
        <w:rPr>
          <w:rFonts w:ascii="Arial" w:cs="Arial" w:eastAsia="Arial" w:hAnsi="Arial"/>
          <w:sz w:val="16"/>
          <w:szCs w:val="16"/>
          <w:color w:val="auto"/>
        </w:rPr>
      </w:pPr>
    </w:p>
    <w:p>
      <w:pPr>
        <w:ind w:left="4" w:right="120" w:firstLine="419"/>
        <w:spacing w:after="0" w:line="273" w:lineRule="auto"/>
        <w:tabs>
          <w:tab w:leader="none" w:pos="671" w:val="left"/>
        </w:tabs>
        <w:numPr>
          <w:ilvl w:val="1"/>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No Downgrade. </w:t>
      </w:r>
      <w:r>
        <w:rPr>
          <w:rFonts w:ascii="Arial" w:cs="Arial" w:eastAsia="Arial" w:hAnsi="Arial"/>
          <w:sz w:val="17"/>
          <w:szCs w:val="17"/>
          <w:color w:val="auto"/>
        </w:rPr>
        <w:t>Subsequent to the earlier of (A) the Applicable Time and (B) the execution and delivery of this Agreement, (i) no</w:t>
      </w:r>
      <w:r>
        <w:rPr>
          <w:rFonts w:ascii="Arial" w:cs="Arial" w:eastAsia="Arial" w:hAnsi="Arial"/>
          <w:sz w:val="17"/>
          <w:szCs w:val="17"/>
          <w:i w:val="1"/>
          <w:iCs w:val="1"/>
          <w:color w:val="auto"/>
        </w:rPr>
        <w:t xml:space="preserve"> </w:t>
      </w:r>
      <w:r>
        <w:rPr>
          <w:rFonts w:ascii="Arial" w:cs="Arial" w:eastAsia="Arial" w:hAnsi="Arial"/>
          <w:sz w:val="17"/>
          <w:szCs w:val="17"/>
          <w:color w:val="auto"/>
        </w:rPr>
        <w:t>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69" w:lineRule="exact"/>
        <w:rPr>
          <w:rFonts w:ascii="Arial" w:cs="Arial" w:eastAsia="Arial" w:hAnsi="Arial"/>
          <w:sz w:val="17"/>
          <w:szCs w:val="17"/>
          <w:color w:val="auto"/>
        </w:rPr>
      </w:pPr>
    </w:p>
    <w:p>
      <w:pPr>
        <w:ind w:left="4" w:right="40" w:firstLine="419"/>
        <w:spacing w:after="0" w:line="275" w:lineRule="auto"/>
        <w:tabs>
          <w:tab w:leader="none" w:pos="681" w:val="left"/>
        </w:tabs>
        <w:numPr>
          <w:ilvl w:val="1"/>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3(i) hereof shall have occurred or shall exist, which</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8" w:lineRule="exact"/>
        <w:rPr>
          <w:rFonts w:ascii="Arial" w:cs="Arial" w:eastAsia="Arial" w:hAnsi="Arial"/>
          <w:sz w:val="17"/>
          <w:szCs w:val="17"/>
          <w:color w:val="auto"/>
        </w:rPr>
      </w:pPr>
    </w:p>
    <w:p>
      <w:pPr>
        <w:ind w:left="4" w:right="160" w:firstLine="419"/>
        <w:spacing w:after="0" w:line="283" w:lineRule="auto"/>
        <w:tabs>
          <w:tab w:leader="none" w:pos="671"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or the Additional Closing Date,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(x)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Representatives (i) confirming that such officers have carefully reviewed the Registration Statement, the Pricing Disclosure Package and the Prospectus and, to the knowledge of such officers, the representations of the Company set forth in Sections 3(b) and 3(f)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or the Additional Closing Date, as the case may be, and (iii) to the effect set forth in paragraphs (a), (c) and (d) above and (y) a certificate of each of the Selling Stockholders, in form and substance reasonably satisfactory to the Representatives,</w:t>
      </w:r>
    </w:p>
    <w:p>
      <w:pPr>
        <w:spacing w:after="0" w:line="5" w:lineRule="exact"/>
        <w:rPr>
          <w:rFonts w:ascii="Arial" w:cs="Arial" w:eastAsia="Arial" w:hAnsi="Arial"/>
          <w:sz w:val="16"/>
          <w:szCs w:val="16"/>
          <w:color w:val="auto"/>
        </w:rPr>
      </w:pPr>
    </w:p>
    <w:p>
      <w:pPr>
        <w:ind w:left="304" w:hanging="304"/>
        <w:spacing w:after="0"/>
        <w:tabs>
          <w:tab w:leader="none" w:pos="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confirming that</w:t>
      </w:r>
    </w:p>
    <w:p>
      <w:pPr>
        <w:spacing w:after="0" w:line="14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44"/>
          </w:cols>
          <w:pgMar w:left="876" w:top="274" w:right="479" w:bottom="1440" w:gutter="0" w:footer="0" w:header="0"/>
        </w:sectPr>
      </w:pPr>
    </w:p>
    <w:bookmarkStart w:id="124" w:name="page125"/>
    <w:bookmarkEnd w:id="12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representations of such Selling Stockholder set forth in Sections 4(A)(e), 4(A)(f) and 4(A)(g) hereof is true and correct and (B) confirming that the other representations and warranties of such Selling Stockholder in this agreement are true and correct and that the such Selling Stockholder has complied in all material respects with all agreements and satisfied all conditions on their part to be performed or satisfied hereunder at or prior to such Closing Date.</w:t>
      </w:r>
    </w:p>
    <w:p>
      <w:pPr>
        <w:spacing w:after="0" w:line="79" w:lineRule="exact"/>
        <w:rPr>
          <w:sz w:val="20"/>
          <w:szCs w:val="20"/>
          <w:color w:val="auto"/>
        </w:rPr>
      </w:pPr>
    </w:p>
    <w:p>
      <w:pPr>
        <w:ind w:right="100" w:firstLine="419"/>
        <w:spacing w:after="0" w:line="291" w:lineRule="auto"/>
        <w:tabs>
          <w:tab w:leader="none" w:pos="64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(i) On the date of this Agreement and on the Closing Date or the Additional Closing Date, as the case may be, Ernst &amp;</w:t>
      </w:r>
      <w:r>
        <w:rPr>
          <w:rFonts w:ascii="Arial" w:cs="Arial" w:eastAsia="Arial" w:hAnsi="Arial"/>
          <w:sz w:val="16"/>
          <w:szCs w:val="16"/>
          <w:i w:val="1"/>
          <w:iCs w:val="1"/>
          <w:color w:val="auto"/>
        </w:rPr>
        <w:t xml:space="preserve"> </w:t>
      </w:r>
      <w:r>
        <w:rPr>
          <w:rFonts w:ascii="Arial" w:cs="Arial" w:eastAsia="Arial" w:hAnsi="Arial"/>
          <w:sz w:val="16"/>
          <w:szCs w:val="16"/>
          <w:color w:val="auto"/>
        </w:rPr>
        <w:t>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58" w:lineRule="exact"/>
        <w:rPr>
          <w:sz w:val="20"/>
          <w:szCs w:val="20"/>
          <w:color w:val="auto"/>
        </w:rPr>
      </w:pPr>
    </w:p>
    <w:p>
      <w:pPr>
        <w:ind w:firstLine="419"/>
        <w:spacing w:after="0" w:line="301" w:lineRule="auto"/>
        <w:tabs>
          <w:tab w:leader="none" w:pos="68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or incorporated by reference in the Pricing Disclosure Package and the Prospectus, providing “management comfort” with respect to such information, in form and substance reasonably satisfactory to the Representatives.</w:t>
      </w:r>
    </w:p>
    <w:p>
      <w:pPr>
        <w:spacing w:after="0" w:line="49" w:lineRule="exact"/>
        <w:rPr>
          <w:sz w:val="20"/>
          <w:szCs w:val="20"/>
          <w:color w:val="auto"/>
        </w:rPr>
      </w:pPr>
    </w:p>
    <w:p>
      <w:pPr>
        <w:ind w:right="80" w:firstLine="419"/>
        <w:spacing w:after="0" w:line="259" w:lineRule="auto"/>
        <w:tabs>
          <w:tab w:leader="none" w:pos="678"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w:t>
      </w:r>
      <w:r>
        <w:rPr>
          <w:rFonts w:ascii="Arial" w:cs="Arial" w:eastAsia="Arial" w:hAnsi="Arial"/>
          <w:sz w:val="18"/>
          <w:szCs w:val="18"/>
          <w:color w:val="auto"/>
        </w:rPr>
        <w:t>Cleary Gottlieb Steen &amp; Hamilton LLP, counsel for the Company,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Representatives, at the request of the Company, their written opinion and 10b-5 statement, dated the Closing Date or the Additional Closing Date, as the case may be, and addressed to the Underwriters, in form and substance reasonably satisfactory to the Representatives, to the effect set forth in Annex C-1 hereto.</w:t>
      </w:r>
    </w:p>
    <w:p>
      <w:pPr>
        <w:spacing w:after="0" w:line="78" w:lineRule="exact"/>
        <w:rPr>
          <w:rFonts w:ascii="Arial" w:cs="Arial" w:eastAsia="Arial" w:hAnsi="Arial"/>
          <w:sz w:val="18"/>
          <w:szCs w:val="18"/>
          <w:color w:val="auto"/>
        </w:rPr>
      </w:pPr>
    </w:p>
    <w:p>
      <w:pPr>
        <w:ind w:right="100" w:firstLine="419"/>
        <w:spacing w:after="0" w:line="259" w:lineRule="auto"/>
        <w:tabs>
          <w:tab w:leader="none" w:pos="678"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Opinion of Delaware Counsel for the Company. </w:t>
      </w:r>
      <w:r>
        <w:rPr>
          <w:rFonts w:ascii="Arial" w:cs="Arial" w:eastAsia="Arial" w:hAnsi="Arial"/>
          <w:sz w:val="18"/>
          <w:szCs w:val="18"/>
          <w:color w:val="auto"/>
        </w:rPr>
        <w:t>Richards, Layton &amp; Finger, P.A., Delaware counsel for the Company,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Representatives, at the request of the Company, their written opinion, dated the Closing Date or the Additional Closing Date, as the case may be, and addressed to the Underwriters, in form and substance reasonably satisfactory to the Representatives, to the effect set forth in Annex C-2 hereto.</w:t>
      </w:r>
    </w:p>
    <w:p>
      <w:pPr>
        <w:spacing w:after="0" w:line="78" w:lineRule="exact"/>
        <w:rPr>
          <w:rFonts w:ascii="Arial" w:cs="Arial" w:eastAsia="Arial" w:hAnsi="Arial"/>
          <w:sz w:val="18"/>
          <w:szCs w:val="18"/>
          <w:color w:val="auto"/>
        </w:rPr>
      </w:pPr>
    </w:p>
    <w:p>
      <w:pPr>
        <w:ind w:right="120" w:firstLine="419"/>
        <w:spacing w:after="0" w:line="259" w:lineRule="auto"/>
        <w:tabs>
          <w:tab w:leader="none" w:pos="638"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Opinion of General Counsel for the Company</w:t>
      </w:r>
      <w:r>
        <w:rPr>
          <w:rFonts w:ascii="Arial" w:cs="Arial" w:eastAsia="Arial" w:hAnsi="Arial"/>
          <w:sz w:val="18"/>
          <w:szCs w:val="18"/>
          <w:color w:val="auto"/>
        </w:rPr>
        <w:t>. Matthew J. Klaben, Senior Vice President and General Counsel to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furnished to the Representatives, at the request of the Company, his written opinion, dated the Closing Date or the Additional Closing Date, as the case may be, and addressed to the Underwriters, in form and substance reasonably satisfactory to the Representatives to the effect set forth in Annex C-3 hereto.</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60"/>
          </w:cols>
          <w:pgMar w:left="880" w:top="274" w:right="459" w:bottom="1440" w:gutter="0" w:footer="0" w:header="0"/>
        </w:sectPr>
      </w:pPr>
    </w:p>
    <w:bookmarkStart w:id="125" w:name="page126"/>
    <w:bookmarkEnd w:id="125"/>
    <w:p>
      <w:pPr>
        <w:jc w:val="both"/>
        <w:ind w:right="380" w:firstLine="419"/>
        <w:spacing w:after="0" w:line="279" w:lineRule="auto"/>
        <w:tabs>
          <w:tab w:leader="none" w:pos="638"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Opinion of Counsel for the Warburg Sponsor Selling Stockholders. </w:t>
      </w:r>
      <w:r>
        <w:rPr>
          <w:rFonts w:ascii="Arial" w:cs="Arial" w:eastAsia="Arial" w:hAnsi="Arial"/>
          <w:sz w:val="17"/>
          <w:szCs w:val="17"/>
          <w:color w:val="auto"/>
        </w:rPr>
        <w:t>Cleary Gottlieb Steen &amp; Hamilton LLP, counsel for the Warburg</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Selling Stockholders, shall have furnished to the Representatives, at the request of the Warburg Sponsor Selling Stockholders, their written opinion, dated the Closing Date or the Additional Closing Date, as the case may be, and addressed to the Underwriters, in form and substance reasonably satisfactory to the Representatives, to the effect set forth in Annex C-4 hereto.</w:t>
      </w:r>
    </w:p>
    <w:p>
      <w:pPr>
        <w:spacing w:after="0" w:line="63" w:lineRule="exact"/>
        <w:rPr>
          <w:rFonts w:ascii="Arial" w:cs="Arial" w:eastAsia="Arial" w:hAnsi="Arial"/>
          <w:sz w:val="17"/>
          <w:szCs w:val="17"/>
          <w:color w:val="auto"/>
        </w:rPr>
      </w:pPr>
    </w:p>
    <w:p>
      <w:pPr>
        <w:ind w:right="20" w:firstLine="419"/>
        <w:spacing w:after="0" w:line="259" w:lineRule="auto"/>
        <w:tabs>
          <w:tab w:leader="none" w:pos="678"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Opinion of Cayman Counsel for Warburg Pincus Private Equity XI-C, L.P. </w:t>
      </w:r>
      <w:r>
        <w:rPr>
          <w:rFonts w:ascii="Arial" w:cs="Arial" w:eastAsia="Arial" w:hAnsi="Arial"/>
          <w:sz w:val="18"/>
          <w:szCs w:val="18"/>
          <w:color w:val="auto"/>
        </w:rPr>
        <w:t>Walkers, Cayman counsel for Warburg Pincus Private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XI-C, shall have furnished to the Representatives, at the request of Warburg Pincus Private Equity XI-C, their written opinion, dated the Closing Date or the Additional Closing Date, as the case may be, and addressed to the Underwriters, in form and substance reasonably satisfactory to the Representatives, to the effect set forth in Annex C-5 hereto.</w:t>
      </w:r>
    </w:p>
    <w:p>
      <w:pPr>
        <w:spacing w:after="0" w:line="78" w:lineRule="exact"/>
        <w:rPr>
          <w:rFonts w:ascii="Arial" w:cs="Arial" w:eastAsia="Arial" w:hAnsi="Arial"/>
          <w:sz w:val="18"/>
          <w:szCs w:val="18"/>
          <w:color w:val="auto"/>
        </w:rPr>
      </w:pPr>
    </w:p>
    <w:p>
      <w:pPr>
        <w:ind w:left="640" w:hanging="221"/>
        <w:spacing w:after="0"/>
        <w:tabs>
          <w:tab w:leader="none" w:pos="64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Opinion of Counsel for the GTCR Sponsor Selling Stockholders. </w:t>
      </w:r>
      <w:r>
        <w:rPr>
          <w:rFonts w:ascii="Arial" w:cs="Arial" w:eastAsia="Arial" w:hAnsi="Arial"/>
          <w:sz w:val="17"/>
          <w:szCs w:val="17"/>
          <w:color w:val="auto"/>
        </w:rPr>
        <w:t>Kirkland &amp; Ellis LLP, counsel for the GTCR Sponsor Selling</w:t>
      </w:r>
    </w:p>
    <w:p>
      <w:pPr>
        <w:spacing w:after="0" w:line="34" w:lineRule="exact"/>
        <w:rPr>
          <w:rFonts w:ascii="Arial" w:cs="Arial" w:eastAsia="Arial" w:hAnsi="Arial"/>
          <w:sz w:val="17"/>
          <w:szCs w:val="17"/>
          <w:color w:val="auto"/>
        </w:rPr>
      </w:pPr>
    </w:p>
    <w:p>
      <w:pPr>
        <w:ind w:right="140"/>
        <w:spacing w:after="0" w:line="255" w:lineRule="auto"/>
        <w:rPr>
          <w:rFonts w:ascii="Arial" w:cs="Arial" w:eastAsia="Arial" w:hAnsi="Arial"/>
          <w:sz w:val="17"/>
          <w:szCs w:val="17"/>
          <w:color w:val="auto"/>
        </w:rPr>
      </w:pPr>
      <w:r>
        <w:rPr>
          <w:rFonts w:ascii="Arial" w:cs="Arial" w:eastAsia="Arial" w:hAnsi="Arial"/>
          <w:sz w:val="18"/>
          <w:szCs w:val="18"/>
          <w:color w:val="auto"/>
        </w:rPr>
        <w:t>Stockholders, shall have furnished to the Representatives, at the request of the GTCR Sponsor Selling Stockholders, their written opinion, dated the Closing Date or the Additional Closing Date, as the case may be, and addressed to the Underwriters, in form and substance reasonably satisfactory to the Representatives, to the effect set forth in Annex C-6 hereto.</w:t>
      </w:r>
    </w:p>
    <w:p>
      <w:pPr>
        <w:spacing w:after="0" w:line="81" w:lineRule="exact"/>
        <w:rPr>
          <w:rFonts w:ascii="Arial" w:cs="Arial" w:eastAsia="Arial" w:hAnsi="Arial"/>
          <w:sz w:val="17"/>
          <w:szCs w:val="17"/>
          <w:color w:val="auto"/>
        </w:rPr>
      </w:pPr>
    </w:p>
    <w:p>
      <w:pPr>
        <w:ind w:right="40" w:firstLine="419"/>
        <w:spacing w:after="0" w:line="279" w:lineRule="auto"/>
        <w:tabs>
          <w:tab w:leader="none" w:pos="728"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Opinion of Delaware Counsel for the GTCR Sponsor Selling Stockholders. </w:t>
      </w:r>
      <w:r>
        <w:rPr>
          <w:rFonts w:ascii="Arial" w:cs="Arial" w:eastAsia="Arial" w:hAnsi="Arial"/>
          <w:sz w:val="17"/>
          <w:szCs w:val="17"/>
          <w:color w:val="auto"/>
        </w:rPr>
        <w:t>Richards, Layton &amp; Finger, P.A., Delaware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GTCR Sponsor Selling Stockholders, shall have furnished to the Representatives, at the request of the GTCR Sponsor Selling Stockholders, their written opinion, dated the Closing Date or the Additional Closing Date, as the case may be, and addressed to the Underwriters, in form and substance reasonably satisfactory to the Representatives, to the effect set forth in Annex C-7 hereto.</w:t>
      </w:r>
    </w:p>
    <w:p>
      <w:pPr>
        <w:spacing w:after="0" w:line="63" w:lineRule="exact"/>
        <w:rPr>
          <w:rFonts w:ascii="Arial" w:cs="Arial" w:eastAsia="Arial" w:hAnsi="Arial"/>
          <w:sz w:val="17"/>
          <w:szCs w:val="17"/>
          <w:color w:val="auto"/>
        </w:rPr>
      </w:pPr>
    </w:p>
    <w:p>
      <w:pPr>
        <w:jc w:val="both"/>
        <w:ind w:right="120" w:firstLine="419"/>
        <w:spacing w:after="0" w:line="259" w:lineRule="auto"/>
        <w:tabs>
          <w:tab w:leader="none" w:pos="678"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Opinions of Counsel for the Non-Sponsor Selling Stockholders. </w:t>
      </w:r>
      <w:r>
        <w:rPr>
          <w:rFonts w:ascii="Arial" w:cs="Arial" w:eastAsia="Arial" w:hAnsi="Arial"/>
          <w:sz w:val="18"/>
          <w:szCs w:val="18"/>
          <w:color w:val="auto"/>
        </w:rPr>
        <w:t>The counsel for the Non-Sponsor Selling Stockholders, as indicated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2 hereto, shall have furnished to you their written opinion with respect to each of the Non-Sponsor Sellers for whom they are acting as counsel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firstLine="419"/>
        <w:spacing w:after="0" w:line="301" w:lineRule="auto"/>
        <w:tabs>
          <w:tab w:leader="none" w:pos="678"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w:t>
      </w:r>
      <w:r>
        <w:rPr>
          <w:rFonts w:ascii="Arial" w:cs="Arial" w:eastAsia="Arial" w:hAnsi="Arial"/>
          <w:sz w:val="16"/>
          <w:szCs w:val="16"/>
          <w:i w:val="1"/>
          <w:iCs w:val="1"/>
          <w:color w:val="auto"/>
        </w:rPr>
        <w:t xml:space="preserve"> </w:t>
      </w:r>
      <w:r>
        <w:rPr>
          <w:rFonts w:ascii="Arial" w:cs="Arial" w:eastAsia="Arial" w:hAnsi="Arial"/>
          <w:sz w:val="16"/>
          <w:szCs w:val="16"/>
          <w:color w:val="auto"/>
        </w:rPr>
        <w:t>the Additional Closing Date, as the case may be, an opinion and 10b-5 statement, addressed to the Underwriters, of Simpson Thacher &amp; Bartlett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9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00"/>
          </w:cols>
          <w:pgMar w:left="880" w:top="274" w:right="519" w:bottom="1440" w:gutter="0" w:footer="0" w:header="0"/>
        </w:sectPr>
      </w:pPr>
    </w:p>
    <w:bookmarkStart w:id="126" w:name="page127"/>
    <w:bookmarkEnd w:id="126"/>
    <w:p>
      <w:pPr>
        <w:jc w:val="both"/>
        <w:ind w:left="440" w:right="100" w:firstLine="419"/>
        <w:spacing w:after="0" w:line="279" w:lineRule="auto"/>
        <w:tabs>
          <w:tab w:leader="none" w:pos="1118"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Legal Impediment to Sale. </w:t>
      </w:r>
      <w:r>
        <w:rPr>
          <w:rFonts w:ascii="Arial" w:cs="Arial" w:eastAsia="Arial" w:hAnsi="Arial"/>
          <w:sz w:val="17"/>
          <w:szCs w:val="17"/>
          <w:color w:val="auto"/>
        </w:rPr>
        <w:t>No action shall have been taken and no statute, rule, regulation or order shall have been enacted, adopted</w:t>
      </w:r>
      <w:r>
        <w:rPr>
          <w:rFonts w:ascii="Arial" w:cs="Arial" w:eastAsia="Arial" w:hAnsi="Arial"/>
          <w:sz w:val="17"/>
          <w:szCs w:val="17"/>
          <w:i w:val="1"/>
          <w:iCs w:val="1"/>
          <w:color w:val="auto"/>
        </w:rPr>
        <w:t xml:space="preserve"> </w:t>
      </w:r>
      <w:r>
        <w:rPr>
          <w:rFonts w:ascii="Arial" w:cs="Arial" w:eastAsia="Arial" w:hAnsi="Arial"/>
          <w:sz w:val="17"/>
          <w:szCs w:val="17"/>
          <w:color w:val="auto"/>
        </w:rPr>
        <w:t>or issued by any federal, state or foreign governmental or regulatory authority that would, as of the Closing Date or the Additional Closing Date, as the case may be, prevent the sale of the Shares; and no injunction or order of any federal, state or foreign court shall have been issued that would, as of the Closing Date or the Additional Closing Date, as the case may be, prevent the sale of the Shares.</w:t>
      </w:r>
    </w:p>
    <w:p>
      <w:pPr>
        <w:spacing w:after="0" w:line="63" w:lineRule="exact"/>
        <w:rPr>
          <w:rFonts w:ascii="Arial" w:cs="Arial" w:eastAsia="Arial" w:hAnsi="Arial"/>
          <w:sz w:val="17"/>
          <w:szCs w:val="17"/>
          <w:color w:val="auto"/>
        </w:rPr>
      </w:pPr>
    </w:p>
    <w:p>
      <w:pPr>
        <w:ind w:left="440" w:right="40" w:firstLine="419"/>
        <w:spacing w:after="0" w:line="259" w:lineRule="auto"/>
        <w:tabs>
          <w:tab w:leader="none" w:pos="1118"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left="440" w:right="240" w:firstLine="419"/>
        <w:spacing w:after="0" w:line="277" w:lineRule="auto"/>
        <w:tabs>
          <w:tab w:leader="none" w:pos="1088"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the Additional Closing Date, as the case may be,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Market, subject to official notice of issuance.</w:t>
      </w:r>
    </w:p>
    <w:p>
      <w:pPr>
        <w:spacing w:after="0" w:line="62" w:lineRule="exact"/>
        <w:rPr>
          <w:rFonts w:ascii="Arial" w:cs="Arial" w:eastAsia="Arial" w:hAnsi="Arial"/>
          <w:sz w:val="18"/>
          <w:szCs w:val="18"/>
          <w:color w:val="auto"/>
        </w:rPr>
      </w:pPr>
    </w:p>
    <w:p>
      <w:pPr>
        <w:ind w:left="440" w:right="80" w:firstLine="419"/>
        <w:spacing w:after="0" w:line="259" w:lineRule="auto"/>
        <w:tabs>
          <w:tab w:leader="none" w:pos="1098"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between you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shareholders, executive officers and directors of the Company, including the Selling Stockholders,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78" w:lineRule="exact"/>
        <w:rPr>
          <w:rFonts w:ascii="Arial" w:cs="Arial" w:eastAsia="Arial" w:hAnsi="Arial"/>
          <w:sz w:val="18"/>
          <w:szCs w:val="18"/>
          <w:color w:val="auto"/>
        </w:rPr>
      </w:pPr>
    </w:p>
    <w:p>
      <w:pPr>
        <w:ind w:left="440" w:right="60" w:firstLine="419"/>
        <w:spacing w:after="0" w:line="342" w:lineRule="auto"/>
        <w:tabs>
          <w:tab w:leader="none" w:pos="1078"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Additional Documents. </w:t>
      </w:r>
      <w:r>
        <w:rPr>
          <w:rFonts w:ascii="Arial" w:cs="Arial" w:eastAsia="Arial" w:hAnsi="Arial"/>
          <w:sz w:val="16"/>
          <w:szCs w:val="16"/>
          <w:color w:val="auto"/>
        </w:rPr>
        <w:t>On or prior to the Closing Date or the Additional Closing Date, as the case may be, the Company and the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shall have furnished to the Representatives such further certificates and documents as the Representatives may reasonably request.</w:t>
      </w:r>
    </w:p>
    <w:p>
      <w:pPr>
        <w:spacing w:after="0" w:line="12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20" w:hanging="184"/>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3" w:lineRule="auto"/>
        <w:tabs>
          <w:tab w:leader="none" w:pos="685"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by the Company. </w:t>
      </w:r>
      <w:r>
        <w:rPr>
          <w:rFonts w:ascii="Arial" w:cs="Arial" w:eastAsia="Arial" w:hAnsi="Arial"/>
          <w:sz w:val="17"/>
          <w:szCs w:val="17"/>
          <w:color w:val="auto"/>
        </w:rPr>
        <w:t>The Company agrees to indemnify and hold harmless each Underwriter,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127" w:name="page128"/>
    <w:bookmarkEnd w:id="12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(d) below.</w:t>
      </w:r>
    </w:p>
    <w:p>
      <w:pPr>
        <w:spacing w:after="0" w:line="185" w:lineRule="exact"/>
        <w:rPr>
          <w:sz w:val="20"/>
          <w:szCs w:val="20"/>
          <w:color w:val="auto"/>
        </w:rPr>
      </w:pPr>
    </w:p>
    <w:p>
      <w:pPr>
        <w:ind w:right="40" w:firstLine="436"/>
        <w:spacing w:after="0" w:line="269" w:lineRule="auto"/>
        <w:tabs>
          <w:tab w:leader="none" w:pos="695"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Indemnification of the Selling Stockholders by the Company</w:t>
      </w:r>
      <w:r>
        <w:rPr>
          <w:rFonts w:ascii="Arial" w:cs="Arial" w:eastAsia="Arial" w:hAnsi="Arial"/>
          <w:sz w:val="17"/>
          <w:szCs w:val="17"/>
          <w:color w:val="auto"/>
        </w:rPr>
        <w:t>. The Company agrees to indemnify and hold harmless each Selling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the Selling Stockholder Information.</w:t>
      </w:r>
    </w:p>
    <w:p>
      <w:pPr>
        <w:spacing w:after="0" w:line="178" w:lineRule="exact"/>
        <w:rPr>
          <w:rFonts w:ascii="Arial" w:cs="Arial" w:eastAsia="Arial" w:hAnsi="Arial"/>
          <w:sz w:val="17"/>
          <w:szCs w:val="17"/>
          <w:color w:val="auto"/>
        </w:rPr>
      </w:pPr>
    </w:p>
    <w:p>
      <w:pPr>
        <w:ind w:firstLine="436"/>
        <w:spacing w:after="0" w:line="254" w:lineRule="auto"/>
        <w:tabs>
          <w:tab w:leader="none" w:pos="685"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Indemnification of the Underwriters by the Selling Stockholders</w:t>
      </w:r>
      <w:r>
        <w:rPr>
          <w:rFonts w:ascii="Arial" w:cs="Arial" w:eastAsia="Arial" w:hAnsi="Arial"/>
          <w:sz w:val="18"/>
          <w:szCs w:val="18"/>
          <w:color w:val="auto"/>
        </w:rPr>
        <w:t>. Each of the Selling Stockholders severally in proportion to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to the extent, and only to the extent, that such losses, claims, damages or liabilities arise out of, or are based upon, any untrue statement or omission or alleged untrue statement or omission made in reliance upon and in conformity with any Selling Stockholder Information relating to such Selling Stockholder in the Registration Statement, the Prospectus (or any amendment or supplement thereto), any Preliminary Prospectus, any Issuer Free Writing Prospectus, any Written Testing-the-Waters Communication or the Pricing Disclosure Package.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440" w:top="274" w:right="519" w:bottom="1440" w:gutter="0" w:footer="0" w:header="0"/>
        </w:sectPr>
      </w:pPr>
    </w:p>
    <w:bookmarkStart w:id="128" w:name="page129"/>
    <w:bookmarkEnd w:id="128"/>
    <w:p>
      <w:pPr>
        <w:ind w:left="-20" w:right="40" w:firstLine="436"/>
        <w:spacing w:after="0" w:line="287" w:lineRule="auto"/>
        <w:tabs>
          <w:tab w:leader="none" w:pos="675"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Indemnification of the Company and the Selling Stockholders by the Underwriters. </w:t>
      </w:r>
      <w:r>
        <w:rPr>
          <w:rFonts w:ascii="Arial" w:cs="Arial" w:eastAsia="Arial" w:hAnsi="Arial"/>
          <w:sz w:val="16"/>
          <w:szCs w:val="16"/>
          <w:color w:val="auto"/>
        </w:rPr>
        <w:t>Each Underwriter agrees, severally and not jointly, to</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indemnify and hold 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(i) the concession and reallowance figures appearing in the third paragraph under the caption “Underwriting”; and (ii) the information contained in the sixteenth, seventeenth and eighteenth paragraphs under the caption “Underwriting.”</w:t>
      </w:r>
    </w:p>
    <w:p>
      <w:pPr>
        <w:spacing w:after="0" w:line="171" w:lineRule="exact"/>
        <w:rPr>
          <w:rFonts w:ascii="Arial" w:cs="Arial" w:eastAsia="Arial" w:hAnsi="Arial"/>
          <w:sz w:val="16"/>
          <w:szCs w:val="16"/>
          <w:color w:val="auto"/>
        </w:rPr>
      </w:pPr>
    </w:p>
    <w:p>
      <w:pPr>
        <w:ind w:left="-20" w:firstLine="436"/>
        <w:spacing w:after="0" w:line="268" w:lineRule="auto"/>
        <w:tabs>
          <w:tab w:leader="none" w:pos="665"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upon request of the Indemnified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reasonable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60" w:top="274" w:right="479" w:bottom="1440" w:gutter="0" w:footer="0" w:header="0"/>
        </w:sectPr>
      </w:pPr>
    </w:p>
    <w:bookmarkStart w:id="129" w:name="page130"/>
    <w:bookmarkEnd w:id="129"/>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Selling Stockholders selling a majority of the Shares under this Agreement.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w:t>
      </w:r>
    </w:p>
    <w:p>
      <w:pPr>
        <w:spacing w:after="0" w:line="2" w:lineRule="exact"/>
        <w:rPr>
          <w:sz w:val="20"/>
          <w:szCs w:val="20"/>
          <w:color w:val="auto"/>
        </w:rPr>
      </w:pPr>
    </w:p>
    <w:p>
      <w:pPr>
        <w:ind w:left="4" w:right="40" w:hanging="4"/>
        <w:spacing w:after="0" w:line="269" w:lineRule="auto"/>
        <w:tabs>
          <w:tab w:leader="none" w:pos="21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0" w:lineRule="exact"/>
        <w:rPr>
          <w:rFonts w:ascii="Arial" w:cs="Arial" w:eastAsia="Arial" w:hAnsi="Arial"/>
          <w:sz w:val="17"/>
          <w:szCs w:val="17"/>
          <w:color w:val="auto"/>
        </w:rPr>
      </w:pPr>
    </w:p>
    <w:p>
      <w:pPr>
        <w:ind w:left="4" w:right="20" w:firstLine="436"/>
        <w:spacing w:after="0" w:line="270" w:lineRule="auto"/>
        <w:tabs>
          <w:tab w:leader="none" w:pos="669" w:val="left"/>
        </w:tabs>
        <w:numPr>
          <w:ilvl w:val="1"/>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(b), (c) or (d) above is unavailable to an Indemnified Person or insufficient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130" w:name="page131"/>
    <w:bookmarkEnd w:id="130"/>
    <w:p>
      <w:pPr>
        <w:ind w:left="4" w:right="2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one hand, and the Underwriters, on the other, shall be deemed to be in the same respective proportions as the net proceeds (before deducting expenses) received by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w:t>
      </w:r>
    </w:p>
    <w:p>
      <w:pPr>
        <w:spacing w:after="0" w:line="177" w:lineRule="exact"/>
        <w:rPr>
          <w:sz w:val="20"/>
          <w:szCs w:val="20"/>
          <w:color w:val="auto"/>
        </w:rPr>
      </w:pPr>
    </w:p>
    <w:p>
      <w:pPr>
        <w:ind w:left="4" w:firstLine="436"/>
        <w:spacing w:after="0" w:line="287" w:lineRule="auto"/>
        <w:tabs>
          <w:tab w:leader="none" w:pos="699"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the Selling Stockholders and the Underwriters agree that it would not be just and equitable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contribution pursuant to paragraph (f) 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Selling Stockholders or the Underwriters were treated as one entity for such purpose) or by any other method of allocation that does not take account of the equitable considerations referred to in paragraph</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above. The amount paid or payable by an Indemnified Person as a result of the losses, claims, damages and liabilities referred to in paragraph</w:t>
      </w:r>
    </w:p>
    <w:p>
      <w:pPr>
        <w:spacing w:after="0" w:line="21" w:lineRule="exact"/>
        <w:rPr>
          <w:sz w:val="20"/>
          <w:szCs w:val="20"/>
          <w:color w:val="auto"/>
        </w:rPr>
      </w:pPr>
    </w:p>
    <w:p>
      <w:pPr>
        <w:ind w:left="4" w:right="280" w:hanging="4"/>
        <w:spacing w:after="0" w:line="251" w:lineRule="auto"/>
        <w:tabs>
          <w:tab w:leader="none" w:pos="22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above shall be deemed to include, subject to the limitations set forth above, any reasonable legal or other expenses incurred by such Indemnified Person in connection with any such action or claim. Notwithstanding the provisions of paragraphs (f) and (g),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(f) and (g) are several in proportion to their respective purchase obligations hereunder and not joint.</w:t>
      </w:r>
    </w:p>
    <w:p>
      <w:pPr>
        <w:spacing w:after="0" w:line="197" w:lineRule="exact"/>
        <w:rPr>
          <w:rFonts w:ascii="Arial" w:cs="Arial" w:eastAsia="Arial" w:hAnsi="Arial"/>
          <w:sz w:val="18"/>
          <w:szCs w:val="18"/>
          <w:color w:val="auto"/>
        </w:rPr>
      </w:pPr>
    </w:p>
    <w:p>
      <w:pPr>
        <w:ind w:left="4" w:right="60" w:firstLine="436"/>
        <w:spacing w:after="0" w:line="263" w:lineRule="auto"/>
        <w:tabs>
          <w:tab w:leader="none" w:pos="699" w:val="left"/>
        </w:tabs>
        <w:numPr>
          <w:ilvl w:val="1"/>
          <w:numId w:val="120"/>
        </w:numPr>
        <w:rPr>
          <w:rFonts w:ascii="Arial" w:cs="Arial" w:eastAsia="Arial" w:hAnsi="Arial"/>
          <w:sz w:val="18"/>
          <w:szCs w:val="18"/>
          <w:color w:val="auto"/>
        </w:rPr>
      </w:pPr>
      <w:r>
        <w:rPr>
          <w:rFonts w:ascii="Arial" w:cs="Arial" w:eastAsia="Arial" w:hAnsi="Arial"/>
          <w:sz w:val="18"/>
          <w:szCs w:val="18"/>
          <w:i w:val="1"/>
          <w:iCs w:val="1"/>
          <w:color w:val="auto"/>
        </w:rPr>
        <w:t>Selling Stockholder Liability</w:t>
      </w:r>
      <w:r>
        <w:rPr>
          <w:rFonts w:ascii="Arial" w:cs="Arial" w:eastAsia="Arial" w:hAnsi="Arial"/>
          <w:sz w:val="18"/>
          <w:szCs w:val="18"/>
          <w:color w:val="auto"/>
        </w:rPr>
        <w:t>. The liability of each Selling Stockholder under the indemnity and contribution agreements contained in Sections</w:t>
      </w:r>
      <w:r>
        <w:rPr>
          <w:rFonts w:ascii="Arial" w:cs="Arial" w:eastAsia="Arial" w:hAnsi="Arial"/>
          <w:sz w:val="18"/>
          <w:szCs w:val="18"/>
          <w:i w:val="1"/>
          <w:iCs w:val="1"/>
          <w:color w:val="auto"/>
        </w:rPr>
        <w:t xml:space="preserve"> </w:t>
      </w:r>
      <w:r>
        <w:rPr>
          <w:rFonts w:ascii="Arial" w:cs="Arial" w:eastAsia="Arial" w:hAnsi="Arial"/>
          <w:sz w:val="18"/>
          <w:szCs w:val="18"/>
          <w:color w:val="auto"/>
        </w:rPr>
        <w:t>9(c) and 9(f) shall not exceed the aggregate gross proceeds after underwriting commissions and discounts, but before expenses, to such Selling Stockholder from the sale of the Shares sold by such Selling Stockholder pursuant to this Agreement.</w:t>
      </w:r>
    </w:p>
    <w:p>
      <w:pPr>
        <w:spacing w:after="0" w:line="183" w:lineRule="exact"/>
        <w:rPr>
          <w:rFonts w:ascii="Arial" w:cs="Arial" w:eastAsia="Arial" w:hAnsi="Arial"/>
          <w:sz w:val="18"/>
          <w:szCs w:val="18"/>
          <w:color w:val="auto"/>
        </w:rPr>
      </w:pPr>
    </w:p>
    <w:p>
      <w:pPr>
        <w:ind w:left="4" w:right="420" w:firstLine="436"/>
        <w:spacing w:after="0" w:line="277" w:lineRule="auto"/>
        <w:tabs>
          <w:tab w:leader="none" w:pos="659" w:val="left"/>
        </w:tabs>
        <w:numPr>
          <w:ilvl w:val="1"/>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9 are not exclusive and shall not limit any rights or remedies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170" w:lineRule="exact"/>
        <w:rPr>
          <w:sz w:val="20"/>
          <w:szCs w:val="20"/>
          <w:color w:val="auto"/>
        </w:rPr>
      </w:pPr>
    </w:p>
    <w:p>
      <w:pPr>
        <w:ind w:left="5424" w:right="2960" w:hanging="4984"/>
        <w:spacing w:after="0" w:line="449" w:lineRule="auto"/>
        <w:tabs>
          <w:tab w:leader="none" w:pos="716"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 39</w:t>
      </w:r>
    </w:p>
    <w:p>
      <w:pPr>
        <w:sectPr>
          <w:pgSz w:w="11900" w:h="16838" w:orient="portrait"/>
          <w:cols w:equalWidth="0" w:num="1">
            <w:col w:w="11004"/>
          </w:cols>
          <w:pgMar w:left="436" w:top="274" w:right="459" w:bottom="1440" w:gutter="0" w:footer="0" w:header="0"/>
        </w:sectPr>
      </w:pPr>
    </w:p>
    <w:bookmarkStart w:id="131" w:name="page132"/>
    <w:bookmarkEnd w:id="131"/>
    <w:p>
      <w:pPr>
        <w:ind w:left="-20" w:right="20" w:firstLine="436"/>
        <w:spacing w:after="0" w:line="270" w:lineRule="auto"/>
        <w:tabs>
          <w:tab w:leader="none" w:pos="683"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w:t>
      </w:r>
      <w:r>
        <w:rPr>
          <w:rFonts w:ascii="Arial" w:cs="Arial" w:eastAsia="Arial" w:hAnsi="Arial"/>
          <w:sz w:val="17"/>
          <w:szCs w:val="17"/>
          <w:color w:val="auto"/>
        </w:rPr>
        <w:t>. This Agreement may be terminated in the absolute discretion of the Representatives, by notice to the Company and the Selling Stockholders,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0" w:lineRule="exact"/>
        <w:rPr>
          <w:rFonts w:ascii="Arial" w:cs="Arial" w:eastAsia="Arial" w:hAnsi="Arial"/>
          <w:sz w:val="17"/>
          <w:szCs w:val="17"/>
          <w:color w:val="auto"/>
        </w:rPr>
      </w:pPr>
    </w:p>
    <w:p>
      <w:pPr>
        <w:ind w:left="680" w:hanging="264"/>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left="-20" w:firstLine="436"/>
        <w:spacing w:after="0" w:line="287" w:lineRule="auto"/>
        <w:tabs>
          <w:tab w:leader="none" w:pos="66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167" w:lineRule="exact"/>
        <w:rPr>
          <w:rFonts w:ascii="Arial" w:cs="Arial" w:eastAsia="Arial" w:hAnsi="Arial"/>
          <w:sz w:val="16"/>
          <w:szCs w:val="16"/>
          <w:color w:val="auto"/>
        </w:rPr>
      </w:pPr>
    </w:p>
    <w:p>
      <w:pPr>
        <w:ind w:left="-20" w:right="100" w:firstLine="436"/>
        <w:spacing w:after="0" w:line="254"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60" w:top="274" w:right="479" w:bottom="1440" w:gutter="0" w:footer="0" w:header="0"/>
        </w:sectPr>
      </w:pPr>
    </w:p>
    <w:bookmarkStart w:id="132" w:name="page133"/>
    <w:bookmarkEnd w:id="132"/>
    <w:p>
      <w:pPr>
        <w:ind w:left="-20" w:right="100" w:firstLine="436"/>
        <w:spacing w:after="0" w:line="290" w:lineRule="auto"/>
        <w:tabs>
          <w:tab w:leader="none" w:pos="665" w:val="left"/>
        </w:tabs>
        <w:numPr>
          <w:ilvl w:val="0"/>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except that the Company will continue to be liable for the payment of expenses as set forth in Section 13 hereof and except that the provisions of Section 9 hereof shall not terminate and shall remain in effect.</w:t>
      </w:r>
    </w:p>
    <w:p>
      <w:pPr>
        <w:spacing w:after="0" w:line="165" w:lineRule="exact"/>
        <w:rPr>
          <w:rFonts w:ascii="Arial" w:cs="Arial" w:eastAsia="Arial" w:hAnsi="Arial"/>
          <w:sz w:val="16"/>
          <w:szCs w:val="16"/>
          <w:color w:val="auto"/>
        </w:rPr>
      </w:pPr>
    </w:p>
    <w:p>
      <w:pPr>
        <w:ind w:left="-20" w:right="200" w:firstLine="436"/>
        <w:spacing w:after="0" w:line="277" w:lineRule="auto"/>
        <w:tabs>
          <w:tab w:leader="none" w:pos="67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the Selling Stockholders or any non-defaulting Underwriter for damages caused by its default.</w:t>
      </w:r>
    </w:p>
    <w:p>
      <w:pPr>
        <w:spacing w:after="0" w:line="170" w:lineRule="exact"/>
        <w:rPr>
          <w:sz w:val="20"/>
          <w:szCs w:val="20"/>
          <w:color w:val="auto"/>
        </w:rPr>
      </w:pPr>
    </w:p>
    <w:p>
      <w:pPr>
        <w:ind w:left="680" w:hanging="264"/>
        <w:spacing w:after="0"/>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left="-20" w:firstLine="436"/>
        <w:spacing w:after="0" w:line="285" w:lineRule="auto"/>
        <w:tabs>
          <w:tab w:leader="none" w:pos="66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and the Selling Stockholders’ obligations hereunder, including without limitation, (i) the costs incident to the authorization, issuance, sale, preparation and delivery of the Shares and, subject to the last sentence of this paragraph, any stamp or other issuance or transfer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and the fees and expenses of counsel to the Selling Stockholders pursuant to the Second Amended and Restated Registration Rights Agreement, dated as of November 19, 2020 by and among the Company and certain stockholders, or as otherwise approved by the Company; (iv) the reasonable fees and expenses incurred in connection with the registration or qualification and determination of eligibility for investment of the Shares under the laws of such jurisdictions as the Representatives may designate with the prior approval of the Company (such approval not to be unreasonably withheld, conditioned or delayed) and the preparation, printing and distribution of a Blue Sky Memorandum (including the related reasonable fees and expenses of counsel for the Underwriters pursuant to this clause (iv) which shall not exceed $10,000); (v) the cost of preparing stock certificates, if applicable; (vi) the costs and charges of any transfer agent and any registrar; (vii) all reasonable expenses and application fees incurred in connection with any filing with, and clearance of the offering by, FINRA (such application fees and the fees and disbursements of counsel for the Underwriters pursuant to this clause (vii) shall not exceed $25,000); (viii) all expenses incurred by the Company in connection with any “road show” presentation to potential investors; and (ix) all expenses and application fees related to the listing of the Shares on the Nasdaq Market. It is, however, understood that except as provided in this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60" w:top="274" w:right="479" w:bottom="1440" w:gutter="0" w:footer="0" w:header="0"/>
        </w:sectPr>
      </w:pPr>
    </w:p>
    <w:bookmarkStart w:id="133" w:name="page134"/>
    <w:bookmarkEnd w:id="133"/>
    <w:p>
      <w:pPr>
        <w:jc w:val="both"/>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 or Section 9 hereof, the Underwriters shall pay all of their own costs and expenses, including, without limitation, the fees and disbursements of their counsel, stock transfer taxes payable on resale of any Shares by them and any advertising expenses connected with any offers they make. Each Selling Stockholder further agrees with the Underwriters to pay (directly or by reimbursement) any stock transfer taxes, stamp duties and other similar taxes incident to the sale and delivery of the Shares to be sold by such Selling Stockholder to the Underwriters hereunder.</w:t>
      </w:r>
    </w:p>
    <w:p>
      <w:pPr>
        <w:spacing w:after="0" w:line="157" w:lineRule="exact"/>
        <w:rPr>
          <w:sz w:val="20"/>
          <w:szCs w:val="20"/>
          <w:color w:val="auto"/>
        </w:rPr>
      </w:pPr>
    </w:p>
    <w:p>
      <w:pPr>
        <w:ind w:right="40" w:firstLine="436"/>
        <w:spacing w:after="0" w:line="279" w:lineRule="auto"/>
        <w:tabs>
          <w:tab w:leader="none" w:pos="6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71" w:lineRule="exact"/>
        <w:rPr>
          <w:sz w:val="20"/>
          <w:szCs w:val="20"/>
          <w:color w:val="auto"/>
        </w:rPr>
      </w:pPr>
    </w:p>
    <w:p>
      <w:pPr>
        <w:ind w:firstLine="436"/>
        <w:spacing w:after="0" w:line="257" w:lineRule="auto"/>
        <w:tabs>
          <w:tab w:leader="none" w:pos="71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7" w:lineRule="exact"/>
        <w:rPr>
          <w:rFonts w:ascii="Arial" w:cs="Arial" w:eastAsia="Arial" w:hAnsi="Arial"/>
          <w:sz w:val="18"/>
          <w:szCs w:val="18"/>
          <w:color w:val="auto"/>
        </w:rPr>
      </w:pPr>
    </w:p>
    <w:p>
      <w:pPr>
        <w:ind w:right="60" w:firstLine="436"/>
        <w:spacing w:after="0" w:line="275" w:lineRule="auto"/>
        <w:tabs>
          <w:tab w:leader="none" w:pos="71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 or the directors, officers, controlling persons or affiliates referred to in Section 9 hereof.</w:t>
      </w:r>
    </w:p>
    <w:p>
      <w:pPr>
        <w:spacing w:after="0" w:line="176" w:lineRule="exact"/>
        <w:rPr>
          <w:rFonts w:ascii="Arial" w:cs="Arial" w:eastAsia="Arial" w:hAnsi="Arial"/>
          <w:sz w:val="17"/>
          <w:szCs w:val="17"/>
          <w:color w:val="auto"/>
        </w:rPr>
      </w:pPr>
    </w:p>
    <w:p>
      <w:pPr>
        <w:jc w:val="both"/>
        <w:ind w:right="180" w:firstLine="436"/>
        <w:spacing w:after="0" w:line="279" w:lineRule="auto"/>
        <w:tabs>
          <w:tab w:leader="none" w:pos="71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 and (d) the term “significant subsidiary” has the meaning set forth in Rule 1-02 of Regulation S-X under the Exchange Act.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34" w:name="page135"/>
    <w:bookmarkEnd w:id="134"/>
    <w:p>
      <w:pPr>
        <w:ind w:left="-40" w:firstLine="436"/>
        <w:spacing w:after="0" w:line="259" w:lineRule="auto"/>
        <w:tabs>
          <w:tab w:leader="none" w:pos="67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660" w:hanging="264"/>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0" w:right="40" w:firstLine="436"/>
        <w:spacing w:after="0" w:line="269" w:lineRule="auto"/>
        <w:tabs>
          <w:tab w:leader="none" w:pos="645"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and other communications hereunder shall be in writing and shall be deemed to have been duly given if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transmitted and confirmed by any standard form of telecommunication. Notices to the Underwriters shall be given to the Representatives c/o J.P. Morgan Securities LLC, 383 Madison Avenue, New York, New York 10179 (fax: (212) 622-8358), Attention: Equity Syndicate Desk; c/o Credit Suisse Securities (USA) LLC, Eleven Madison Avenue, New York, New York 10010 (fax: (212) 325-4296), Attention: IB-Legal; c/o Goldman Sachs &amp; Co. LLC, 200 West Street, New York, New York 10282; Attention Registration Department) and c/o Jefferies LLC, 520 Madison Avenue, New York, New York 10022 (fax: (646) 619-4437); Attention General Counsel). Notices to the Company shall be given to it at Sotera Health Company, 9100 S. Hills Blvd. Suite 300, Broadview Heights, Ohio 44147 (email: sleffler@soterahealth.com and mklaben@soterahealth.com); Attention: Scott J. Leffler and Matthew J. Klaben. Notice to any Warburg Sponsor Seller shall be delivered to Warburg Pincus LLC, 450 Lexington Avenue, New York, NY 10017, Attention: Lora Giampetruzzi, Esq., Notice to any GTCR Sponsor Seller shall be delivered to GTCR, LLC, 300 North LaSalle Street, Chicago, IL 60654, Attention: Constantine S. Mihas, David A. Donnini, Sean L. Cunningham and Jeffrey S. Wright. Notices to the Non-Sponsor Selling Stockholders shall be given to the Attorneys-in-Fact at Sotera Health Company, 9100 S. Hills Blvd. Suite 300, Broadview Heights, Ohio 44147 (email: mpetras@soterahealth.com, sleffler@soterahealth.com and mklaben@soterahealth.com).</w:t>
      </w:r>
    </w:p>
    <w:p>
      <w:pPr>
        <w:spacing w:after="0" w:line="178" w:lineRule="exact"/>
        <w:rPr>
          <w:rFonts w:ascii="Arial" w:cs="Arial" w:eastAsia="Arial" w:hAnsi="Arial"/>
          <w:sz w:val="17"/>
          <w:szCs w:val="17"/>
          <w:color w:val="auto"/>
        </w:rPr>
      </w:pPr>
    </w:p>
    <w:p>
      <w:pPr>
        <w:ind w:left="-40" w:right="260" w:firstLine="436"/>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New York.</w:t>
      </w:r>
    </w:p>
    <w:p>
      <w:pPr>
        <w:spacing w:after="0" w:line="170" w:lineRule="exact"/>
        <w:rPr>
          <w:rFonts w:ascii="Arial" w:cs="Arial" w:eastAsia="Arial" w:hAnsi="Arial"/>
          <w:sz w:val="18"/>
          <w:szCs w:val="18"/>
          <w:color w:val="auto"/>
        </w:rPr>
      </w:pPr>
    </w:p>
    <w:p>
      <w:pPr>
        <w:ind w:left="-40" w:right="60" w:firstLine="436"/>
        <w:spacing w:after="0" w:line="254" w:lineRule="auto"/>
        <w:tabs>
          <w:tab w:leader="none" w:pos="645"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Submission to Jurisdiction</w:t>
      </w:r>
      <w:r>
        <w:rPr>
          <w:rFonts w:ascii="Arial" w:cs="Arial" w:eastAsia="Arial" w:hAnsi="Arial"/>
          <w:sz w:val="18"/>
          <w:szCs w:val="18"/>
          <w:color w:val="auto"/>
        </w:rPr>
        <w:t>. Each of the Company and the Selling Stockholders hereby submit to the exclusive jurisdiction of the U.S.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York state courts in the Borough of Manhattan in The City of New York in any suit or proceeding arising out of or relating to this Agreement or the transactions contemplated hereby. Each of the Company and 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480" w:top="274" w:right="499" w:bottom="1440" w:gutter="0" w:footer="0" w:header="0"/>
        </w:sectPr>
      </w:pPr>
    </w:p>
    <w:bookmarkStart w:id="135" w:name="page136"/>
    <w:bookmarkEnd w:id="135"/>
    <w:p>
      <w:pPr>
        <w:ind w:right="60" w:firstLine="436"/>
        <w:spacing w:after="0" w:line="290" w:lineRule="auto"/>
        <w:tabs>
          <w:tab w:leader="none" w:pos="695"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Agent for Service of Process. </w:t>
      </w:r>
      <w:r>
        <w:rPr>
          <w:rFonts w:ascii="Arial" w:cs="Arial" w:eastAsia="Arial" w:hAnsi="Arial"/>
          <w:sz w:val="16"/>
          <w:szCs w:val="16"/>
          <w:color w:val="auto"/>
        </w:rPr>
        <w:t>Warburg Pincus Private Equity XI-C, L.P irrevocably appoints Warburg Pincus LLC, located at 450 Lexington</w:t>
      </w:r>
      <w:r>
        <w:rPr>
          <w:rFonts w:ascii="Arial" w:cs="Arial" w:eastAsia="Arial" w:hAnsi="Arial"/>
          <w:sz w:val="16"/>
          <w:szCs w:val="16"/>
          <w:i w:val="1"/>
          <w:iCs w:val="1"/>
          <w:color w:val="auto"/>
        </w:rPr>
        <w:t xml:space="preserve"> </w:t>
      </w:r>
      <w:r>
        <w:rPr>
          <w:rFonts w:ascii="Arial" w:cs="Arial" w:eastAsia="Arial" w:hAnsi="Arial"/>
          <w:sz w:val="16"/>
          <w:szCs w:val="16"/>
          <w:color w:val="auto"/>
        </w:rPr>
        <w:t>Avenue, New York, NY 10017, as its authorized agent in the Borough of Manhattan in The City of New York upon which process may be served in any such suit or proceeding, and agrees that service of process upon such authorized agent, and written notice of such service upon Warburg Pincus Private Equity XI-C, L.P, as the case may be, by the person serving the same to the address provided in this Section 18(d), shall be deemed in every respect effective service of process upon the Warburg Pincus Private Equity XI-C, L.P in any such suit or proceeding. Warburg Pincus Private Equity XI-C, L.P hereby represents and warrants that such authorized agent has accepted such appointment and has agreed to act as such authorized agent for service of process. Warburg Pincus Private Equity XI-C, L.P further agrees to take any and all action as may be necessary to maintain such designation and appointment of such authorized agent in full force and effect for a period of seven years from the date of this Agreement.</w:t>
      </w:r>
    </w:p>
    <w:p>
      <w:pPr>
        <w:spacing w:after="0" w:line="165" w:lineRule="exact"/>
        <w:rPr>
          <w:rFonts w:ascii="Arial" w:cs="Arial" w:eastAsia="Arial" w:hAnsi="Arial"/>
          <w:sz w:val="16"/>
          <w:szCs w:val="16"/>
          <w:color w:val="auto"/>
        </w:rPr>
      </w:pPr>
    </w:p>
    <w:p>
      <w:pPr>
        <w:ind w:firstLine="436"/>
        <w:spacing w:after="0" w:line="289" w:lineRule="auto"/>
        <w:tabs>
          <w:tab w:leader="none" w:pos="685"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Judgment Currency</w:t>
      </w:r>
      <w:r>
        <w:rPr>
          <w:rFonts w:ascii="Arial" w:cs="Arial" w:eastAsia="Arial" w:hAnsi="Arial"/>
          <w:sz w:val="16"/>
          <w:szCs w:val="16"/>
          <w:color w:val="auto"/>
        </w:rPr>
        <w:t>. Warburg Pincus Private Equity XI-C, L.P agrees to indemnify each Underwriter, its directors, officers, affiliates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person, if any, who controls 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“judgment currency”)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Warburg Pincus Private Equity XI-C, L.P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66" w:lineRule="exact"/>
        <w:rPr>
          <w:rFonts w:ascii="Arial" w:cs="Arial" w:eastAsia="Arial" w:hAnsi="Arial"/>
          <w:sz w:val="16"/>
          <w:szCs w:val="16"/>
          <w:color w:val="auto"/>
        </w:rPr>
      </w:pPr>
    </w:p>
    <w:p>
      <w:pPr>
        <w:ind w:right="60" w:firstLine="436"/>
        <w:spacing w:after="0" w:line="273" w:lineRule="auto"/>
        <w:tabs>
          <w:tab w:leader="none" w:pos="665"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Waiver of Immunity</w:t>
      </w:r>
      <w:r>
        <w:rPr>
          <w:rFonts w:ascii="Arial" w:cs="Arial" w:eastAsia="Arial" w:hAnsi="Arial"/>
          <w:sz w:val="17"/>
          <w:szCs w:val="17"/>
          <w:color w:val="auto"/>
        </w:rPr>
        <w:t>. To the extent that Warburg Pincus Private Equity XI-C, L.P has or hereafter may acquire any immunity (sovereign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from jurisdiction of any court of (i) Warburg Pincus Private Equity XI-C, L.P ’s jurisdiction of organization (if other than the United States),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Warburg Pincus Private Equity XI-C, L.P hereby irrevocably waives such immunity in respect of its obligations under this Agreement to the fullest extent permitted by applicable law.</w:t>
      </w:r>
    </w:p>
    <w:p>
      <w:pPr>
        <w:spacing w:after="0" w:line="177" w:lineRule="exact"/>
        <w:rPr>
          <w:rFonts w:ascii="Arial" w:cs="Arial" w:eastAsia="Arial" w:hAnsi="Arial"/>
          <w:sz w:val="17"/>
          <w:szCs w:val="17"/>
          <w:color w:val="auto"/>
        </w:rPr>
      </w:pPr>
    </w:p>
    <w:p>
      <w:pPr>
        <w:ind w:right="280" w:firstLine="436"/>
        <w:spacing w:after="0" w:line="277"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 proceeding arising out of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19"/>
        <w:spacing w:after="0" w:line="259" w:lineRule="auto"/>
        <w:tabs>
          <w:tab w:leader="none" w:pos="107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36" w:name="page137"/>
    <w:bookmarkEnd w:id="136"/>
    <w:p>
      <w:pPr>
        <w:ind w:left="380" w:firstLine="419"/>
        <w:spacing w:after="0" w:line="259" w:lineRule="auto"/>
        <w:tabs>
          <w:tab w:leader="none" w:pos="10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this Section 18(h):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960" w:hanging="209"/>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2020" w:hanging="269"/>
        <w:spacing w:after="0"/>
        <w:tabs>
          <w:tab w:leader="none" w:pos="20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2060" w:hanging="309"/>
        <w:spacing w:after="0"/>
        <w:tabs>
          <w:tab w:leader="none" w:pos="2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sz w:val="20"/>
          <w:szCs w:val="20"/>
          <w:color w:val="auto"/>
        </w:rPr>
      </w:pPr>
    </w:p>
    <w:p>
      <w:pPr>
        <w:ind w:left="1180" w:hanging="253"/>
        <w:spacing w:after="0"/>
        <w:tabs>
          <w:tab w:leader="none" w:pos="11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0" w:lineRule="exact"/>
        <w:rPr>
          <w:rFonts w:ascii="Arial" w:cs="Arial" w:eastAsia="Arial" w:hAnsi="Arial"/>
          <w:sz w:val="18"/>
          <w:szCs w:val="18"/>
          <w:color w:val="auto"/>
        </w:rPr>
      </w:pPr>
    </w:p>
    <w:p>
      <w:pPr>
        <w:ind w:left="-60" w:right="100" w:firstLine="436"/>
        <w:spacing w:after="0" w:line="293" w:lineRule="auto"/>
        <w:tabs>
          <w:tab w:leader="none" w:pos="595"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80"/>
          </w:cols>
          <w:pgMar w:left="500" w:top="274" w:right="519" w:bottom="1440" w:gutter="0" w:footer="0" w:header="0"/>
        </w:sectPr>
      </w:pPr>
    </w:p>
    <w:bookmarkStart w:id="137" w:name="page138"/>
    <w:bookmarkEnd w:id="137"/>
    <w:p>
      <w:pPr>
        <w:ind w:left="-20" w:firstLine="436"/>
        <w:spacing w:after="0" w:line="277" w:lineRule="auto"/>
        <w:tabs>
          <w:tab w:leader="none" w:pos="63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20" w:right="240" w:firstLine="436"/>
        <w:spacing w:after="0" w:line="277" w:lineRule="auto"/>
        <w:tabs>
          <w:tab w:leader="none" w:pos="67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60" w:top="274" w:right="459" w:bottom="1440" w:gutter="0" w:footer="0" w:header="0"/>
        </w:sectPr>
      </w:pPr>
    </w:p>
    <w:bookmarkStart w:id="138" w:name="page139"/>
    <w:bookmarkEnd w:id="13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Sotera Health Company Underwriting Agreement</w:t>
      </w:r>
      <w:r>
        <w:rPr>
          <w:rFonts w:ascii="Arial" w:cs="Arial" w:eastAsia="Arial" w:hAnsi="Arial"/>
          <w:sz w:val="18"/>
          <w:szCs w:val="18"/>
          <w:color w:val="auto"/>
        </w:rPr>
        <w:t>]</w:t>
      </w:r>
    </w:p>
    <w:p>
      <w:pPr>
        <w:sectPr>
          <w:pgSz w:w="11900" w:h="16838" w:orient="portrait"/>
          <w:cols w:equalWidth="0" w:num="1">
            <w:col w:w="10660"/>
          </w:cols>
          <w:pgMar w:left="440" w:top="274" w:right="799" w:bottom="1440" w:gutter="0" w:footer="0" w:header="0"/>
        </w:sectPr>
      </w:pPr>
    </w:p>
    <w:bookmarkStart w:id="139" w:name="page140"/>
    <w:bookmarkEnd w:id="1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SELLING STOCKHOLDERS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WARBURG PINCUS PRIVATE EQUITY XI, L.P.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&amp; Co., its managing member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XI PARTNERS,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&amp; Co., its managing member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WP XI PARTNERS,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&amp; Co., its managing member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Sotera Health Company Underwriting Agreement</w:t>
      </w:r>
      <w:r>
        <w:rPr>
          <w:rFonts w:ascii="Arial" w:cs="Arial" w:eastAsia="Arial" w:hAnsi="Arial"/>
          <w:sz w:val="18"/>
          <w:szCs w:val="18"/>
          <w:color w:val="auto"/>
        </w:rPr>
        <w:t>]</w:t>
      </w:r>
    </w:p>
    <w:p>
      <w:pPr>
        <w:sectPr>
          <w:pgSz w:w="11900" w:h="16838" w:orient="portrait"/>
          <w:cols w:equalWidth="0" w:num="1">
            <w:col w:w="9480"/>
          </w:cols>
          <w:pgMar w:left="1440" w:top="490" w:right="979" w:bottom="1440" w:gutter="0" w:footer="0" w:header="0"/>
        </w:sectPr>
      </w:pPr>
    </w:p>
    <w:bookmarkStart w:id="140" w:name="page141"/>
    <w:bookmarkEnd w:id="14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WARBURG PINCUS PRIVATE EQUITY XI-B,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PRIVATE EQUITY XI-C,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(Cayman) XI, L.P.,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XI-C,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(Bermuda) Private Equity GP Ltd., its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sole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BULL CO-INVEST,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Bull Manager,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Sotera Health Company Underwriting Agreement</w:t>
      </w:r>
      <w:r>
        <w:rPr>
          <w:rFonts w:ascii="Arial" w:cs="Arial" w:eastAsia="Arial" w:hAnsi="Arial"/>
          <w:sz w:val="18"/>
          <w:szCs w:val="18"/>
          <w:color w:val="auto"/>
        </w:rPr>
        <w:t>]</w:t>
      </w:r>
    </w:p>
    <w:p>
      <w:pPr>
        <w:sectPr>
          <w:pgSz w:w="11900" w:h="16838" w:orient="portrait"/>
          <w:cols w:equalWidth="0" w:num="1">
            <w:col w:w="9840"/>
          </w:cols>
          <w:pgMar w:left="1440" w:top="486" w:right="619" w:bottom="1440" w:gutter="0" w:footer="0" w:header="0"/>
        </w:sectPr>
      </w:pPr>
    </w:p>
    <w:bookmarkStart w:id="141" w:name="page142"/>
    <w:bookmarkEnd w:id="14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GTCR FUND XI/A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GTCR Partners XI/A&amp;C LP,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GTCR Investment XI LLC, its general partner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GTCR FUND XI/C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GTCR Partners XI/A&amp;C LP,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GTCR Investment XI LLC, its general partner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GTCR CO-INVEST XI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GTCR Investment XI LLC, its general partner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Sotera Health Company Underwriting Agreement</w:t>
      </w:r>
      <w:r>
        <w:rPr>
          <w:rFonts w:ascii="Arial" w:cs="Arial" w:eastAsia="Arial" w:hAnsi="Arial"/>
          <w:sz w:val="18"/>
          <w:szCs w:val="18"/>
          <w:color w:val="auto"/>
        </w:rPr>
        <w:t>]</w:t>
      </w:r>
    </w:p>
    <w:p>
      <w:pPr>
        <w:sectPr>
          <w:pgSz w:w="11900" w:h="16838" w:orient="portrait"/>
          <w:cols w:equalWidth="0" w:num="1">
            <w:col w:w="9320"/>
          </w:cols>
          <w:pgMar w:left="1440" w:top="486" w:right="1139" w:bottom="1440" w:gutter="0" w:footer="0" w:header="0"/>
        </w:sectPr>
      </w:pPr>
    </w:p>
    <w:bookmarkStart w:id="142" w:name="page143"/>
    <w:bookmarkEnd w:id="1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Attorneys-in-Fact acting on behalf of each of the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Non-Sponsor Selling Stockholders named in Schedule 2 to</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Sotera Health Company Underwriting Agreement</w:t>
      </w:r>
      <w:r>
        <w:rPr>
          <w:rFonts w:ascii="Arial" w:cs="Arial" w:eastAsia="Arial" w:hAnsi="Arial"/>
          <w:sz w:val="18"/>
          <w:szCs w:val="18"/>
          <w:color w:val="auto"/>
        </w:rPr>
        <w:t>]</w:t>
      </w:r>
    </w:p>
    <w:p>
      <w:pPr>
        <w:sectPr>
          <w:pgSz w:w="11900" w:h="16838" w:orient="portrait"/>
          <w:cols w:equalWidth="0" w:num="1">
            <w:col w:w="9840"/>
          </w:cols>
          <w:pgMar w:left="1440" w:top="490" w:right="61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Sotera Health Company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48" w:lineRule="exact"/>
        <w:rPr>
          <w:sz w:val="20"/>
          <w:szCs w:val="20"/>
          <w:color w:val="auto"/>
        </w:rPr>
      </w:pPr>
    </w:p>
    <w:p>
      <w:pPr>
        <w:spacing w:after="0"/>
        <w:tabs>
          <w:tab w:leader="none" w:pos="9100" w:val="left"/>
        </w:tabs>
        <w:rPr>
          <w:sz w:val="20"/>
          <w:szCs w:val="20"/>
          <w:color w:val="auto"/>
        </w:rPr>
      </w:pPr>
      <w:r>
        <w:rPr>
          <w:rFonts w:ascii="Arial" w:cs="Arial" w:eastAsia="Arial" w:hAnsi="Arial"/>
          <w:sz w:val="13"/>
          <w:szCs w:val="13"/>
          <w:u w:val="single" w:color="auto"/>
          <w:color w:val="auto"/>
        </w:rPr>
        <w:t>Underwriter</w:t>
      </w:r>
      <w:r>
        <w:rPr>
          <w:sz w:val="20"/>
          <w:szCs w:val="20"/>
          <w:color w:val="auto"/>
        </w:rPr>
        <w:tab/>
      </w:r>
      <w:r>
        <w:rPr>
          <w:rFonts w:ascii="Arial" w:cs="Arial" w:eastAsia="Arial" w:hAnsi="Arial"/>
          <w:sz w:val="13"/>
          <w:szCs w:val="13"/>
          <w:u w:val="single" w:color="auto"/>
          <w:color w:val="auto"/>
        </w:rPr>
        <w:t>Number of Underwritten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699516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5783580</wp:posOffset>
            </wp:positionH>
            <wp:positionV relativeFrom="paragraph">
              <wp:posOffset>5715</wp:posOffset>
            </wp:positionV>
            <wp:extent cx="11830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[List of Selling Stockholders]</w:t>
      </w:r>
    </w:p>
    <w:p>
      <w:pPr>
        <w:sectPr>
          <w:pgSz w:w="11900" w:h="16838" w:orient="portrait"/>
          <w:cols w:equalWidth="0" w:num="1">
            <w:col w:w="11020"/>
          </w:cols>
          <w:pgMar w:left="440" w:top="274" w:right="4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48" w:lineRule="exact"/>
        <w:rPr>
          <w:sz w:val="20"/>
          <w:szCs w:val="20"/>
          <w:color w:val="auto"/>
        </w:rPr>
      </w:pPr>
    </w:p>
    <w:p>
      <w:pPr>
        <w:ind w:left="444" w:right="8500" w:hanging="444"/>
        <w:spacing w:after="0" w:line="407" w:lineRule="auto"/>
        <w:tabs>
          <w:tab w:leader="none" w:pos="436"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Pricing Disclosure Package </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444" w:right="6440" w:hanging="444"/>
        <w:spacing w:after="0" w:line="378" w:lineRule="auto"/>
        <w:tabs>
          <w:tab w:leader="none" w:pos="436"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Pricing Information Provided Orally by Underwriters </w:t>
      </w:r>
      <w:r>
        <w:rPr>
          <w:rFonts w:ascii="Arial" w:cs="Arial" w:eastAsia="Arial" w:hAnsi="Arial"/>
          <w:sz w:val="18"/>
          <w:szCs w:val="18"/>
          <w:color w:val="auto"/>
        </w:rPr>
        <w:t>Underwritten Shares: [•]</w:t>
      </w:r>
    </w:p>
    <w:p>
      <w:pPr>
        <w:ind w:left="444"/>
        <w:spacing w:after="0"/>
        <w:rPr>
          <w:rFonts w:ascii="Arial" w:cs="Arial" w:eastAsia="Arial" w:hAnsi="Arial"/>
          <w:sz w:val="18"/>
          <w:szCs w:val="18"/>
          <w:color w:val="auto"/>
        </w:rPr>
      </w:pPr>
      <w:r>
        <w:rPr>
          <w:rFonts w:ascii="Arial" w:cs="Arial" w:eastAsia="Arial" w:hAnsi="Arial"/>
          <w:sz w:val="18"/>
          <w:szCs w:val="18"/>
          <w:color w:val="auto"/>
        </w:rPr>
        <w:t>Option Shares: [•]</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Public offering price per share: [•]</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Trade Date: [•]</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Settlement Date: [•]</w:t>
      </w:r>
    </w:p>
    <w:p>
      <w:pPr>
        <w:sectPr>
          <w:pgSz w:w="11900" w:h="16838" w:orient="portrait"/>
          <w:cols w:equalWidth="0" w:num="1">
            <w:col w:w="11024"/>
          </w:cols>
          <w:pgMar w:left="436" w:top="274" w:right="4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274" w:right="4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C-1</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[Form of Opinion of Counsel for the Company]</w:t>
      </w:r>
    </w:p>
    <w:p>
      <w:pPr>
        <w:sectPr>
          <w:pgSz w:w="11900" w:h="16838" w:orient="portrait"/>
          <w:cols w:equalWidth="0" w:num="1">
            <w:col w:w="10020"/>
          </w:cols>
          <w:pgMar w:left="1440" w:top="274" w:right="4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C-2</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[Form of Opinion of Delaware Counsel for the Company]</w:t>
      </w:r>
    </w:p>
    <w:p>
      <w:pPr>
        <w:sectPr>
          <w:pgSz w:w="11900" w:h="16838" w:orient="portrait"/>
          <w:cols w:equalWidth="0" w:num="1">
            <w:col w:w="10020"/>
          </w:cols>
          <w:pgMar w:left="1440" w:top="274" w:right="4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C-3</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[Form of Opinion of General Counsel for the Company]</w:t>
      </w:r>
    </w:p>
    <w:p>
      <w:pPr>
        <w:sectPr>
          <w:pgSz w:w="11900" w:h="16838" w:orient="portrait"/>
          <w:cols w:equalWidth="0" w:num="1">
            <w:col w:w="10020"/>
          </w:cols>
          <w:pgMar w:left="1440" w:top="274" w:right="4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C-4</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[Form of Opinion of Counsel for the Warburg Sponsor Selling Stockholders]</w:t>
      </w:r>
    </w:p>
    <w:p>
      <w:pPr>
        <w:sectPr>
          <w:pgSz w:w="11900" w:h="16838" w:orient="portrait"/>
          <w:cols w:equalWidth="0" w:num="1">
            <w:col w:w="10020"/>
          </w:cols>
          <w:pgMar w:left="1440" w:top="274" w:right="4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C-5</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[Form of Opinion of Cayman Counsel for the Warburg Sponsor Selling Stockholders]</w:t>
      </w:r>
    </w:p>
    <w:p>
      <w:pPr>
        <w:sectPr>
          <w:pgSz w:w="11900" w:h="16838" w:orient="portrait"/>
          <w:cols w:equalWidth="0" w:num="1">
            <w:col w:w="10020"/>
          </w:cols>
          <w:pgMar w:left="1440" w:top="274"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C-6</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[Form of Opinion of Counsel for the GTCR Sponsor Selling Stockholders]</w:t>
      </w:r>
    </w:p>
    <w:p>
      <w:pPr>
        <w:sectPr>
          <w:pgSz w:w="11900" w:h="16838" w:orient="portrait"/>
          <w:cols w:equalWidth="0" w:num="1">
            <w:col w:w="10020"/>
          </w:cols>
          <w:pgMar w:left="1440" w:top="274" w:right="4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C-7</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[Form of Opinion of Delaware Counsel for the GTCR Sponsor Selling Stockholders]</w:t>
      </w:r>
    </w:p>
    <w:p>
      <w:pPr>
        <w:sectPr>
          <w:pgSz w:w="11900" w:h="16838" w:orient="portrait"/>
          <w:cols w:equalWidth="0" w:num="1">
            <w:col w:w="10020"/>
          </w:cols>
          <w:pgMar w:left="1440" w:top="274" w:right="4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ind w:left="9840"/>
        <w:spacing w:after="0"/>
        <w:rPr>
          <w:sz w:val="20"/>
          <w:szCs w:val="20"/>
          <w:color w:val="auto"/>
        </w:rPr>
      </w:pPr>
      <w:r>
        <w:rPr>
          <w:rFonts w:ascii="Arial" w:cs="Arial" w:eastAsia="Arial" w:hAnsi="Arial"/>
          <w:sz w:val="16"/>
          <w:szCs w:val="16"/>
          <w:color w:val="auto"/>
        </w:rPr>
        <w:t>________,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SOTERA HEALTH COMPANY —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The undersigned understands that you, as Representatives of the several underwriters named in Schedule I to the Underwriting Agreement (as defined below) (the “Underwriters”), propose to enter into an underwriting agreement (the “Underwriting Agreement”) with Sotera Health Company (the “Company”) and the Selling Stockholders listed on Schedule 2 to the Underwriting Agreement, providing for the public offering (the “Public Offering”) by the Underwriters, of shares of the Common Stock, par value $0.01 per share (“Common Stock”), of the Company (such shares to be sold in the Public Offering, the “Securities”). Capitalized terms used herein and not otherwise defined shall have the meanings set forth in the Underwriting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4" w:right="439" w:bottom="1440" w:gutter="0" w:footer="0" w:header="0"/>
        </w:sectPr>
      </w:pPr>
    </w:p>
    <w:bookmarkStart w:id="156" w:name="page157"/>
    <w:bookmarkEnd w:id="156"/>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on behalf of the Underwriters, the undersigned will not, and will not cause any direct or indirect affiliate (provided, that any “portfolio company” (as such term is customarily used among institutional investors) of the undersigned, or any entity controlled by any such portfolio company, shall not be considered an affiliate of the undersigned) to, during the period beginning on the date of this letter agreement (this “Letter Agreement”) and ending at the close of business on the date that is 90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except as those demands or exercises that do not involve any public disclosure or filing during the Restricted Period (provided that the Company shall provide written notice to the Representatives at least two business days prior to any confidential or non-public submission of a registration statement made during the Restricted Period) or (4) publicly disclose the intention to do any of the foregoing.</w:t>
      </w:r>
    </w:p>
    <w:p>
      <w:pPr>
        <w:spacing w:after="0" w:line="17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loan, pledge or other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or to publicly disclose the intention to undertake any of the foregoing. The undersigned represents and warrants that the undersigned is not, has not caused or directed any of its affiliates to be or become, and is not aware of any of its affiliates (provided, that any “portfolio company” (as such term is customarily used among institutional investors) of the undersigned, or any entity controlled by any such portfolio company, shall not be considered an affiliate of the undersigned) being, currently a party to any agreement or arrangement that is designed to or which reasonably could be expected to lead to or result in any activity prohibited by this Letter Agreement during the Restricted Period.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40"/>
          </w:cols>
          <w:pgMar w:left="440" w:top="274" w:right="519" w:bottom="1440" w:gutter="0" w:footer="0" w:header="0"/>
        </w:sectPr>
      </w:pPr>
    </w:p>
    <w:bookmarkStart w:id="157" w:name="page158"/>
    <w:bookmarkEnd w:id="1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the undersigned may: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transfer the undersigned’s Lock-Up Securities:</w:t>
      </w:r>
    </w:p>
    <w:p>
      <w:pPr>
        <w:spacing w:after="0" w:line="117" w:lineRule="exact"/>
        <w:rPr>
          <w:sz w:val="20"/>
          <w:szCs w:val="20"/>
          <w:color w:val="auto"/>
        </w:rPr>
      </w:pPr>
    </w:p>
    <w:p>
      <w:pPr>
        <w:ind w:left="660" w:hanging="224"/>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 a bona fide gift or gifts, or for bona fide estate planning purposes,</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upon death or by will, testamentary document or intestacy,</w:t>
      </w:r>
    </w:p>
    <w:p>
      <w:pPr>
        <w:spacing w:after="0" w:line="225" w:lineRule="exact"/>
        <w:rPr>
          <w:rFonts w:ascii="Arial" w:cs="Arial" w:eastAsia="Arial" w:hAnsi="Arial"/>
          <w:sz w:val="18"/>
          <w:szCs w:val="18"/>
          <w:color w:val="auto"/>
        </w:rPr>
      </w:pPr>
    </w:p>
    <w:p>
      <w:pPr>
        <w:jc w:val="both"/>
        <w:ind w:right="100" w:firstLine="436"/>
        <w:spacing w:after="0" w:line="259" w:lineRule="auto"/>
        <w:tabs>
          <w:tab w:leader="none" w:pos="7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any member of the undersigned’s immediate family (as defined below),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86" w:lineRule="exact"/>
        <w:rPr>
          <w:rFonts w:ascii="Arial" w:cs="Arial" w:eastAsia="Arial" w:hAnsi="Arial"/>
          <w:sz w:val="18"/>
          <w:szCs w:val="18"/>
          <w:color w:val="auto"/>
        </w:rPr>
      </w:pPr>
    </w:p>
    <w:p>
      <w:pPr>
        <w:ind w:right="100" w:firstLine="436"/>
        <w:spacing w:after="0" w:line="277" w:lineRule="auto"/>
        <w:tabs>
          <w:tab w:leader="none" w:pos="74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170" w:lineRule="exact"/>
        <w:rPr>
          <w:rFonts w:ascii="Arial" w:cs="Arial" w:eastAsia="Arial" w:hAnsi="Arial"/>
          <w:sz w:val="18"/>
          <w:szCs w:val="18"/>
          <w:color w:val="auto"/>
        </w:rPr>
      </w:pPr>
    </w:p>
    <w:p>
      <w:pPr>
        <w:ind w:firstLine="436"/>
        <w:spacing w:after="0" w:line="255"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 holders of the undersigned,</w:t>
      </w:r>
    </w:p>
    <w:p>
      <w:pPr>
        <w:spacing w:after="0" w:line="192" w:lineRule="exact"/>
        <w:rPr>
          <w:rFonts w:ascii="Arial" w:cs="Arial" w:eastAsia="Arial" w:hAnsi="Arial"/>
          <w:sz w:val="18"/>
          <w:szCs w:val="18"/>
          <w:color w:val="auto"/>
        </w:rPr>
      </w:pPr>
    </w:p>
    <w:p>
      <w:pPr>
        <w:ind w:left="740" w:hanging="304"/>
        <w:spacing w:after="0"/>
        <w:tabs>
          <w:tab w:leader="none" w:pos="7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(i) through (v) above,</w:t>
      </w:r>
    </w:p>
    <w:p>
      <w:pPr>
        <w:spacing w:after="0" w:line="248" w:lineRule="exact"/>
        <w:rPr>
          <w:rFonts w:ascii="Arial" w:cs="Arial" w:eastAsia="Arial" w:hAnsi="Arial"/>
          <w:sz w:val="16"/>
          <w:szCs w:val="16"/>
          <w:color w:val="auto"/>
        </w:rPr>
      </w:pPr>
    </w:p>
    <w:p>
      <w:pPr>
        <w:ind w:left="800" w:hanging="364"/>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operation of law, such as pursuant to a qualified domestic order, divorce settlement, divorce decree or separation agreement,</w:t>
      </w:r>
    </w:p>
    <w:p>
      <w:pPr>
        <w:spacing w:after="0" w:line="225" w:lineRule="exact"/>
        <w:rPr>
          <w:rFonts w:ascii="Arial" w:cs="Arial" w:eastAsia="Arial" w:hAnsi="Arial"/>
          <w:sz w:val="18"/>
          <w:szCs w:val="18"/>
          <w:color w:val="auto"/>
        </w:rPr>
      </w:pPr>
    </w:p>
    <w:p>
      <w:pPr>
        <w:ind w:left="840" w:hanging="404"/>
        <w:spacing w:after="0"/>
        <w:tabs>
          <w:tab w:leader="none" w:pos="8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the Company from an employee of the Company upon death, disability or termination of employment, in each case, of such employee,</w:t>
      </w:r>
    </w:p>
    <w:p>
      <w:pPr>
        <w:spacing w:after="0" w:line="248" w:lineRule="exact"/>
        <w:rPr>
          <w:rFonts w:ascii="Arial" w:cs="Arial" w:eastAsia="Arial" w:hAnsi="Arial"/>
          <w:sz w:val="16"/>
          <w:szCs w:val="16"/>
          <w:color w:val="auto"/>
        </w:rPr>
      </w:pPr>
    </w:p>
    <w:p>
      <w:pPr>
        <w:ind w:left="740" w:hanging="304"/>
        <w:spacing w:after="0"/>
        <w:tabs>
          <w:tab w:leader="none" w:pos="7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as part of a sale of the undersigned’s Lock-Up Securities acquired in open market transactions after the closing date for the Public Offering,</w:t>
      </w:r>
    </w:p>
    <w:p>
      <w:pPr>
        <w:spacing w:after="0" w:line="248" w:lineRule="exact"/>
        <w:rPr>
          <w:rFonts w:ascii="Arial" w:cs="Arial" w:eastAsia="Arial" w:hAnsi="Arial"/>
          <w:sz w:val="16"/>
          <w:szCs w:val="16"/>
          <w:color w:val="auto"/>
        </w:rPr>
      </w:pPr>
    </w:p>
    <w:p>
      <w:pPr>
        <w:ind w:firstLine="436"/>
        <w:spacing w:after="0" w:line="255"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the Company in connection with the vesting, settlement, or exercise of restricted stock units, shares of restricted stock, options, warrants or other rights to purchase shares of Common Stock (including, in each case, by way of “net” or “cashless” exercise), including for the payment of exercise price and tax (including estimated taxes) and remittance payments due as a result of the vesting, settlement, or exercise of such restricted stock units, shares of restricted stock, options, warrants or rights, provided that any such shares of Common Stock received upon such exercise, vesting or settlement shall be subject to the terms of this Letter Agreement, and provided further that any such restricted stock units, shares of restricted stock, options, warrants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00"/>
          </w:cols>
          <w:pgMar w:left="440" w:top="274" w:right="459" w:bottom="1440" w:gutter="0" w:footer="0" w:header="0"/>
        </w:sectPr>
      </w:pPr>
    </w:p>
    <w:bookmarkStart w:id="158" w:name="page159"/>
    <w:bookmarkEnd w:id="158"/>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rights are held by the undersigned pursuant to an agreement or equity awards granted under a stock incentive plan or other equity award plan, each such agreement or plan which is described in or filed as an exhibit to the Registration Statement, the Pricing Disclosure Package or the Prospectus, as applicable,</w:t>
      </w:r>
    </w:p>
    <w:p>
      <w:pPr>
        <w:spacing w:after="0" w:line="184" w:lineRule="exact"/>
        <w:rPr>
          <w:sz w:val="20"/>
          <w:szCs w:val="20"/>
          <w:color w:val="auto"/>
        </w:rPr>
      </w:pPr>
    </w:p>
    <w:p>
      <w:pPr>
        <w:ind w:firstLine="436"/>
        <w:spacing w:after="0" w:line="254" w:lineRule="auto"/>
        <w:tabs>
          <w:tab w:leader="none" w:pos="7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94" w:lineRule="exact"/>
        <w:rPr>
          <w:rFonts w:ascii="Arial" w:cs="Arial" w:eastAsia="Arial" w:hAnsi="Arial"/>
          <w:sz w:val="18"/>
          <w:szCs w:val="18"/>
          <w:color w:val="auto"/>
        </w:rPr>
      </w:pPr>
    </w:p>
    <w:p>
      <w:pPr>
        <w:ind w:firstLine="436"/>
        <w:spacing w:after="0" w:line="259" w:lineRule="auto"/>
        <w:tabs>
          <w:tab w:leader="none" w:pos="7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pursuant to an order of a court or regulatory agency (for purposes hereof,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related to the undersigned’s ownership of the Lock-Up Securities;</w:t>
      </w:r>
    </w:p>
    <w:p>
      <w:pPr>
        <w:spacing w:after="0" w:line="186" w:lineRule="exact"/>
        <w:rPr>
          <w:rFonts w:ascii="Arial" w:cs="Arial" w:eastAsia="Arial" w:hAnsi="Arial"/>
          <w:sz w:val="18"/>
          <w:szCs w:val="18"/>
          <w:color w:val="auto"/>
        </w:rPr>
      </w:pPr>
    </w:p>
    <w:p>
      <w:pPr>
        <w:ind w:right="520" w:firstLine="436"/>
        <w:spacing w:after="0" w:line="277" w:lineRule="auto"/>
        <w:tabs>
          <w:tab w:leader="none" w:pos="8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Company pursuant to the call or put provisions of existing employment agreements and equity grant documents, in each case in existence as of the date hereof; or</w:t>
      </w:r>
    </w:p>
    <w:p>
      <w:pPr>
        <w:spacing w:after="0" w:line="170" w:lineRule="exact"/>
        <w:rPr>
          <w:rFonts w:ascii="Arial" w:cs="Arial" w:eastAsia="Arial" w:hAnsi="Arial"/>
          <w:sz w:val="18"/>
          <w:szCs w:val="18"/>
          <w:color w:val="auto"/>
        </w:rPr>
      </w:pPr>
    </w:p>
    <w:p>
      <w:pPr>
        <w:ind w:right="340" w:firstLine="436"/>
        <w:spacing w:after="0" w:line="279" w:lineRule="auto"/>
        <w:tabs>
          <w:tab w:leader="none" w:pos="83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by pledging, hypothecating or otherwise granting a security interest in any Lock-Up Securities to one or more lending institutions as collateral or security for any loan, advance or extension of credit and any transfer upon foreclosure upon such Lock-Up Securities; provided that the undersigned or the Company, as the case may be, shall provide J.P. Morgan Securities LLC prior written notice informing it of any required public filing, report or announcement to be made by or on behalf of the Company or the undersigned with respect thereto;</w:t>
      </w:r>
    </w:p>
    <w:p>
      <w:pPr>
        <w:spacing w:after="0" w:line="17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(a)(i), (ii), (iii), (iv), (v) and (vi), no filing by any party (donor, donee, devisee, transferor, transferee, distributer or distributee) under the Securities Exchange Act of 1934, as amended (the “Exchange Act”), or other public announcement showing a reduction in ownership shall be required or shall be made voluntarily in connection with such transfer or distribution during the Restricted Period, (C) in the case of any transfer pursuant to clause (a)(ix), no filing by the undersigned or any party (transferor or transferee) under the Exchange Act, or other public filing, report or announcement shall be voluntarily made in connection with such transfer, and if the undersigned is required to file a report under the Exchange Act in connection with such transfer during the Restricted Period, the undersigned shall include a statement in such report to the effect that the filing relates to the transfer or disposition of any shares of Lock-Up Securities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00"/>
          </w:cols>
          <w:pgMar w:left="440" w:top="274" w:right="459" w:bottom="1440" w:gutter="0" w:footer="0" w:header="0"/>
        </w:sectPr>
      </w:pPr>
    </w:p>
    <w:bookmarkStart w:id="159" w:name="page160"/>
    <w:bookmarkEnd w:id="159"/>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purchased by the undersigned, or any of its affiliates, in the Public Offering or in open market transactions following the Public Offering, and (D) in the case of any transfer or distribution pursuant to clause (a)(vii), (viii), (x), (xii), (xiii) and (xiv),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w:t>
      </w:r>
    </w:p>
    <w:p>
      <w:pPr>
        <w:spacing w:after="0" w:line="164" w:lineRule="exact"/>
        <w:rPr>
          <w:sz w:val="20"/>
          <w:szCs w:val="20"/>
          <w:color w:val="auto"/>
        </w:rPr>
      </w:pPr>
    </w:p>
    <w:p>
      <w:pPr>
        <w:ind w:right="160" w:firstLine="436"/>
        <w:spacing w:after="0" w:line="263"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 and</w:t>
      </w:r>
    </w:p>
    <w:p>
      <w:pPr>
        <w:spacing w:after="0" w:line="183" w:lineRule="exact"/>
        <w:rPr>
          <w:rFonts w:ascii="Arial" w:cs="Arial" w:eastAsia="Arial" w:hAnsi="Arial"/>
          <w:sz w:val="18"/>
          <w:szCs w:val="18"/>
          <w:color w:val="auto"/>
        </w:rPr>
      </w:pPr>
    </w:p>
    <w:p>
      <w:pPr>
        <w:ind w:right="20" w:firstLine="436"/>
        <w:spacing w:after="0" w:line="257" w:lineRule="auto"/>
        <w:tabs>
          <w:tab w:leader="none" w:pos="68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establish trading plans pursuant to Rule 10b5-1 under the Exchange Act for the transfer of shares of Lock-Up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plans do not provide for the transfer of Lock-Up Securities during the Restricted Period and (2) to the extent a public announcement or filing under the Exchange Act, if any, is required or voluntarily made by or on behalf of the undersigned or the Company in connection with such trading plan, such announcement or filing shall include a statement to the effect that no transfer of Lock-Up Securities may be made under such plan during the Restricted Period.</w:t>
      </w:r>
    </w:p>
    <w:p>
      <w:pPr>
        <w:spacing w:after="0" w:line="188"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84"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Shares at the price determined in the Public Offering, and nothing set forth in such disclosures is intended to suggest that the Representatives or any Underwriter is making such a recommendation.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00"/>
          </w:cols>
          <w:pgMar w:left="440" w:top="274" w:right="459" w:bottom="1440" w:gutter="0" w:footer="0" w:header="0"/>
        </w:sectPr>
      </w:pPr>
    </w:p>
    <w:bookmarkStart w:id="160" w:name="page161"/>
    <w:bookmarkEnd w:id="160"/>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undersigned understands that, if (i) prior to entering into the Underwriting Agreement, the Company notifies the Representatives in writing that the Company does not intend to proceed with the Public Offering, (ii) the Company files an application to withdraw the registration statement related to the Public Offering, (iii) the Underwriting Agreement does not become effective by April 1, 2021 or (iv)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6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STOCKHOLDER]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00"/>
          </w:cols>
          <w:pgMar w:left="440" w:top="274" w:right="45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[List of Lock-Up Signatories]</w:t>
      </w:r>
    </w:p>
    <w:p>
      <w:pPr>
        <w:sectPr>
          <w:pgSz w:w="11900" w:h="16838" w:orient="portrait"/>
          <w:cols w:equalWidth="0" w:num="1">
            <w:col w:w="10020"/>
          </w:cols>
          <w:pgMar w:left="1440" w:top="274" w:right="4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171450</wp:posOffset>
            </wp:positionV>
            <wp:extent cx="6266180" cy="2442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626618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March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9100 South Hills Blvd,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Broadview Heights, Ohio 44147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special counsel to Sotera Health Company,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the preparation of a registration statement on Form S-1, including the documents incorporated by reference therein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filed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the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The Registration Statement relates to the registration of shares (the “Securities”) of the Company’s common stock, par value $0.01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for resale by certain selling stockholders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225" w:lineRule="exact"/>
        <w:rPr>
          <w:sz w:val="20"/>
          <w:szCs w:val="20"/>
          <w:color w:val="auto"/>
        </w:rPr>
      </w:pPr>
    </w:p>
    <w:p>
      <w:pPr>
        <w:ind w:left="680" w:hanging="244"/>
        <w:spacing w:after="0"/>
        <w:tabs>
          <w:tab w:leader="none" w:pos="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Amended and Restated Certificate of Incorporation of the Company, certified by the Secretary of State of the State of Delaware;</w:t>
      </w:r>
    </w:p>
    <w:p>
      <w:pPr>
        <w:spacing w:after="0" w:line="236" w:lineRule="exact"/>
        <w:rPr>
          <w:rFonts w:ascii="Arial" w:cs="Arial" w:eastAsia="Arial" w:hAnsi="Arial"/>
          <w:sz w:val="17"/>
          <w:szCs w:val="17"/>
          <w:color w:val="auto"/>
        </w:rPr>
      </w:pPr>
    </w:p>
    <w:p>
      <w:pPr>
        <w:ind w:right="400" w:firstLine="436"/>
        <w:spacing w:after="0" w:line="342" w:lineRule="auto"/>
        <w:tabs>
          <w:tab w:leader="none" w:pos="68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form of underwriting agreement by and among the Company, the Selling Stockholders and the representatives on behalf of each of the several underwriters named in Schedule 1 thereto, included as Exhibit 1.1 to the Registration Statement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700" w:hanging="264"/>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certificate, dated the date hereof, by the secretary of the Company, relating to the Company’s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Cleary Gottlieb Steen &amp; Hamilton LLP or an affiliated entity has an office in each of the cities listed above.</w:t>
      </w:r>
    </w:p>
    <w:p>
      <w:pPr>
        <w:sectPr>
          <w:pgSz w:w="11900" w:h="16838" w:orient="portrait"/>
          <w:cols w:equalWidth="0" w:num="1">
            <w:col w:w="11020"/>
          </w:cols>
          <w:pgMar w:left="440" w:top="121" w:right="4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Sotera Health Company, p. 2</w:t>
      </w:r>
    </w:p>
    <w:p>
      <w:pPr>
        <w:spacing w:after="0" w:line="158"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2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to be offered and sold by the Selling Stockholders are validly issued by the Company and fully paid and nonassessable.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foregoing opinions are limited to the General Corporation Law of the State of Delaware, including the applicable provisions of the Delaware Constitution and reported judicial decisions interpreting such laws.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this firm under the heading “Legal Matters” in the Registration Statement and the related prospectus included in the Registration Statement. In giving such consent, we do not thereby admit that we are within the category of persons whose consent is required under Section 7 of the Securities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Lopez, a Partner</w:t>
      </w:r>
    </w:p>
    <w:p>
      <w:pPr>
        <w:sectPr>
          <w:pgSz w:w="11900" w:h="16838" w:orient="portrait"/>
          <w:cols w:equalWidth="0" w:num="1">
            <w:col w:w="10880"/>
          </w:cols>
          <w:pgMar w:left="440" w:top="274" w:right="57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S-1) and related Prospectus of Sotera Health Company for the registration of shares of its common stock and to the incorporation by reference therein of our report dated March 9, 2021, with respect to the consolidated financial statements and schedule of Sotera Health Company included in its Annual Report (Form 10-K) for the year ended December 31, 2020,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decimal"/>
      <w:start w:val="1"/>
    </w:lvl>
  </w:abstractNum>
  <w:abstractNum w:abstractNumId="1">
    <w:nsid w:val="6B94764"/>
    <w:multiLevelType w:val="hybridMultilevel"/>
    <w:lvl w:ilvl="0">
      <w:lvlJc w:val="left"/>
      <w:lvlText w:val="(%1)"/>
      <w:numFmt w:val="decimal"/>
      <w:start w:val="1"/>
    </w:lvl>
  </w:abstractNum>
  <w:abstractNum w:abstractNumId="2">
    <w:nsid w:val="42C296B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168E121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1)"/>
      <w:numFmt w:val="lowerRoman"/>
      <w:start w:val="3"/>
    </w:lvl>
  </w:abstractNum>
  <w:abstractNum w:abstractNumId="9">
    <w:nsid w:val="51D9C564"/>
    <w:multiLevelType w:val="hybridMultilevel"/>
    <w:lvl w:ilvl="0">
      <w:lvlJc w:val="left"/>
      <w:lvlText w:val="(%1)"/>
      <w:numFmt w:val="decimal"/>
      <w:start w:val="440"/>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1)"/>
      <w:numFmt w:val="lowerLetter"/>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1)"/>
      <w:numFmt w:val="lowerLetter"/>
      <w:start w:val="1"/>
    </w:lvl>
  </w:abstractNum>
  <w:abstractNum w:abstractNumId="14">
    <w:nsid w:val="A0382C5"/>
    <w:multiLevelType w:val="hybridMultilevel"/>
    <w:lvl w:ilvl="0">
      <w:lvlJc w:val="left"/>
      <w:lvlText w:val="(%1)"/>
      <w:numFmt w:val="lowerLetter"/>
      <w:start w:val="7"/>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1)"/>
      <w:numFmt w:val="lowerRoman"/>
      <w:start w:val="4"/>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1)"/>
      <w:numFmt w:val="lowerLetter"/>
      <w:start w:val="4"/>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1)"/>
      <w:numFmt w:val="decimal"/>
      <w:start w:val="3"/>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1)"/>
      <w:numFmt w:val="lowerLetter"/>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1)"/>
      <w:numFmt w:val="decimal"/>
      <w:start w:val="1"/>
    </w:lvl>
  </w:abstractNum>
  <w:abstractNum w:abstractNumId="36">
    <w:nsid w:val="3222E7CD"/>
    <w:multiLevelType w:val="hybridMultilevel"/>
    <w:lvl w:ilvl="0">
      <w:lvlJc w:val="left"/>
      <w:lvlText w:val="(%1)"/>
      <w:numFmt w:val="decimal"/>
      <w:start w:val="8"/>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1)"/>
      <w:numFmt w:val="decimal"/>
      <w:start w:val="3"/>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1)"/>
      <w:numFmt w:val="lowerRoman"/>
      <w:start w:val="1"/>
    </w:lvl>
  </w:abstractNum>
  <w:abstractNum w:abstractNumId="43">
    <w:nsid w:val="57FC4FBB"/>
    <w:multiLevelType w:val="hybridMultilevel"/>
    <w:lvl w:ilvl="0">
      <w:lvlJc w:val="left"/>
      <w:lvlText w:val="(%1)"/>
      <w:numFmt w:val="lowerRoman"/>
      <w:start w:val="3"/>
    </w:lvl>
  </w:abstractNum>
  <w:abstractNum w:abstractNumId="44">
    <w:nsid w:val="CC1016F"/>
    <w:multiLevelType w:val="hybridMultilevel"/>
    <w:lvl w:ilvl="0">
      <w:lvlJc w:val="left"/>
      <w:lvlText w:val="%1."/>
      <w:numFmt w:val="lowerLetter"/>
      <w:start w:val="1"/>
    </w:lvl>
  </w:abstractNum>
  <w:abstractNum w:abstractNumId="45">
    <w:nsid w:val="43F18422"/>
    <w:multiLevelType w:val="hybridMultilevel"/>
    <w:lvl w:ilvl="0">
      <w:lvlJc w:val="left"/>
      <w:lvlText w:val="%1."/>
      <w:numFmt w:val="lowerLetter"/>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1)"/>
      <w:numFmt w:val="lowerLetter"/>
      <w:start w:val="1"/>
    </w:lvl>
  </w:abstractNum>
  <w:abstractNum w:abstractNumId="48">
    <w:nsid w:val="7F01579B"/>
    <w:multiLevelType w:val="hybridMultilevel"/>
    <w:lvl w:ilvl="0">
      <w:lvlJc w:val="left"/>
      <w:lvlText w:val="(%1)"/>
      <w:numFmt w:val="lowerLetter"/>
      <w:start w:val="1"/>
    </w:lvl>
  </w:abstractNum>
  <w:abstractNum w:abstractNumId="49">
    <w:nsid w:val="49DA307D"/>
    <w:multiLevelType w:val="hybridMultilevel"/>
    <w:lvl w:ilvl="0">
      <w:lvlJc w:val="left"/>
      <w:lvlText w:val="(%1)"/>
      <w:numFmt w:val="lowerRoman"/>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1)"/>
      <w:numFmt w:val="lowerLetter"/>
      <w:start w:val="1"/>
    </w:lvl>
  </w:abstractNum>
  <w:abstractNum w:abstractNumId="52">
    <w:nsid w:val="50801E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1."/>
      <w:numFmt w:val="decimal"/>
      <w:start w:val="1"/>
    </w:lvl>
  </w:abstractNum>
  <w:abstractNum w:abstractNumId="59">
    <w:nsid w:val="7D5E18F8"/>
    <w:multiLevelType w:val="hybridMultilevel"/>
    <w:lvl w:ilvl="0">
      <w:lvlJc w:val="left"/>
      <w:lvlText w:val="%1."/>
      <w:numFmt w:val="decimal"/>
      <w:start w:val="2"/>
    </w:lvl>
  </w:abstractNum>
  <w:abstractNum w:abstractNumId="60">
    <w:nsid w:val="5F3534A4"/>
    <w:multiLevelType w:val="hybridMultilevel"/>
    <w:lvl w:ilvl="0">
      <w:lvlJc w:val="left"/>
      <w:lvlText w:val="(%1)"/>
      <w:numFmt w:val="lowerLetter"/>
      <w:start w:val="1"/>
    </w:lvl>
  </w:abstractNum>
  <w:abstractNum w:abstractNumId="61">
    <w:nsid w:val="73A1821B"/>
    <w:multiLevelType w:val="hybridMultilevel"/>
    <w:lvl w:ilvl="0">
      <w:lvlJc w:val="left"/>
      <w:lvlText w:val="(%1)"/>
      <w:numFmt w:val="lowerLetter"/>
      <w:start w:val="2"/>
    </w:lvl>
  </w:abstractNum>
  <w:abstractNum w:abstractNumId="62">
    <w:nsid w:val="7DE67713"/>
    <w:multiLevelType w:val="hybridMultilevel"/>
    <w:lvl w:ilvl="0">
      <w:lvlJc w:val="left"/>
      <w:lvlText w:val="(%1)"/>
      <w:numFmt w:val="lowerLetter"/>
      <w:start w:val="4"/>
    </w:lvl>
  </w:abstractNum>
  <w:abstractNum w:abstractNumId="63">
    <w:nsid w:val="555C55B5"/>
    <w:multiLevelType w:val="hybridMultilevel"/>
    <w:lvl w:ilvl="0">
      <w:lvlJc w:val="left"/>
      <w:lvlText w:val="%1."/>
      <w:numFmt w:val="decimal"/>
      <w:start w:val="3"/>
    </w:lvl>
    <w:lvl w:ilvl="1">
      <w:lvlJc w:val="left"/>
      <w:lvlText w:val="(%2)"/>
      <w:numFmt w:val="lowerLetter"/>
      <w:start w:val="1"/>
    </w:lvl>
  </w:abstractNum>
  <w:abstractNum w:abstractNumId="64">
    <w:nsid w:val="3FA62ACA"/>
    <w:multiLevelType w:val="hybridMultilevel"/>
    <w:lvl w:ilvl="0">
      <w:lvlJc w:val="left"/>
      <w:lvlText w:val="(%1)"/>
      <w:numFmt w:val="lowerLetter"/>
      <w:start w:val="2"/>
    </w:lvl>
  </w:abstractNum>
  <w:abstractNum w:abstractNumId="65">
    <w:nsid w:val="14FCE74E"/>
    <w:multiLevelType w:val="hybridMultilevel"/>
    <w:lvl w:ilvl="0">
      <w:lvlJc w:val="left"/>
      <w:lvlText w:val="(%1)"/>
      <w:numFmt w:val="lowerLetter"/>
      <w:start w:val="4"/>
    </w:lvl>
  </w:abstractNum>
  <w:abstractNum w:abstractNumId="66">
    <w:nsid w:val="6A3DD3E8"/>
    <w:multiLevelType w:val="hybridMultilevel"/>
    <w:lvl w:ilvl="0">
      <w:lvlJc w:val="left"/>
      <w:lvlText w:val="(%1)"/>
      <w:numFmt w:val="lowerLetter"/>
      <w:start w:val="25"/>
    </w:lvl>
    <w:lvl w:ilvl="1">
      <w:lvlJc w:val="left"/>
      <w:lvlText w:val="(%2)"/>
      <w:numFmt w:val="lowerLetter"/>
      <w:start w:val="6"/>
    </w:lvl>
  </w:abstractNum>
  <w:abstractNum w:abstractNumId="67">
    <w:nsid w:val="71C91298"/>
    <w:multiLevelType w:val="hybridMultilevel"/>
    <w:lvl w:ilvl="0">
      <w:lvlJc w:val="left"/>
      <w:lvlText w:val="(%1)"/>
      <w:numFmt w:val="lowerLetter"/>
      <w:start w:val="7"/>
    </w:lvl>
  </w:abstractNum>
  <w:abstractNum w:abstractNumId="68">
    <w:nsid w:val="9DAF632"/>
    <w:multiLevelType w:val="hybridMultilevel"/>
    <w:lvl w:ilvl="0">
      <w:lvlJc w:val="left"/>
      <w:lvlText w:val="%1"/>
      <w:numFmt w:val="lowerRoman"/>
      <w:start w:val="1"/>
    </w:lvl>
    <w:lvl w:ilvl="1">
      <w:lvlJc w:val="left"/>
      <w:lvlText w:val="(%2)"/>
      <w:numFmt w:val="lowerRoman"/>
      <w:start w:val="1"/>
    </w:lvl>
  </w:abstractNum>
  <w:abstractNum w:abstractNumId="69">
    <w:nsid w:val="53299938"/>
    <w:multiLevelType w:val="hybridMultilevel"/>
    <w:lvl w:ilvl="0">
      <w:lvlJc w:val="left"/>
      <w:lvlText w:val="(%1)"/>
      <w:numFmt w:val="lowerRoman"/>
      <w:start w:val="2"/>
    </w:lvl>
    <w:lvl w:ilvl="1">
      <w:lvlJc w:val="left"/>
      <w:lvlText w:val="%2"/>
      <w:numFmt w:val="lowerRoman"/>
      <w:start w:val="1"/>
    </w:lvl>
  </w:abstractNum>
  <w:abstractNum w:abstractNumId="70">
    <w:nsid w:val="1FBFE8E0"/>
    <w:multiLevelType w:val="hybridMultilevel"/>
    <w:lvl w:ilvl="0">
      <w:lvlJc w:val="left"/>
      <w:lvlText w:val="(%1)"/>
      <w:numFmt w:val="lowerLetter"/>
      <w:start w:val="10"/>
    </w:lvl>
  </w:abstractNum>
  <w:abstractNum w:abstractNumId="71">
    <w:nsid w:val="5092CA79"/>
    <w:multiLevelType w:val="hybridMultilevel"/>
    <w:lvl w:ilvl="0">
      <w:lvlJc w:val="left"/>
      <w:lvlText w:val="(%1)"/>
      <w:numFmt w:val="lowerLetter"/>
      <w:start w:val="11"/>
    </w:lvl>
  </w:abstractNum>
  <w:abstractNum w:abstractNumId="72">
    <w:nsid w:val="1D545C4D"/>
    <w:multiLevelType w:val="hybridMultilevel"/>
    <w:lvl w:ilvl="0">
      <w:lvlJc w:val="left"/>
      <w:lvlText w:val="(%1)"/>
      <w:numFmt w:val="lowerLetter"/>
      <w:start w:val="13"/>
    </w:lvl>
  </w:abstractNum>
  <w:abstractNum w:abstractNumId="73">
    <w:nsid w:val="59ADEA3D"/>
    <w:multiLevelType w:val="hybridMultilevel"/>
    <w:lvl w:ilvl="0">
      <w:lvlJc w:val="left"/>
      <w:lvlText w:val="(%1)"/>
      <w:numFmt w:val="lowerLetter"/>
      <w:start w:val="19"/>
    </w:lvl>
  </w:abstractNum>
  <w:abstractNum w:abstractNumId="74">
    <w:nsid w:val="288F1A34"/>
    <w:multiLevelType w:val="hybridMultilevel"/>
    <w:lvl w:ilvl="0">
      <w:lvlJc w:val="left"/>
      <w:lvlText w:val="(%1)"/>
      <w:numFmt w:val="lowerLetter"/>
      <w:start w:val="22"/>
    </w:lvl>
  </w:abstractNum>
  <w:abstractNum w:abstractNumId="75">
    <w:nsid w:val="2A155DBC"/>
    <w:multiLevelType w:val="hybridMultilevel"/>
    <w:lvl w:ilvl="0">
      <w:lvlJc w:val="left"/>
      <w:lvlText w:val="(%1)"/>
      <w:numFmt w:val="lowerLetter"/>
      <w:start w:val="27"/>
    </w:lvl>
  </w:abstractNum>
  <w:abstractNum w:abstractNumId="76">
    <w:nsid w:val="1D9F6E5F"/>
    <w:multiLevelType w:val="hybridMultilevel"/>
    <w:lvl w:ilvl="0">
      <w:lvlJc w:val="left"/>
      <w:lvlText w:val="%1"/>
      <w:numFmt w:val="lowerRoman"/>
      <w:start w:val="1"/>
    </w:lvl>
    <w:lvl w:ilvl="1">
      <w:lvlJc w:val="left"/>
      <w:lvlText w:val="(%2)"/>
      <w:numFmt w:val="lowerLetter"/>
      <w:start w:val="30"/>
    </w:lvl>
  </w:abstractNum>
  <w:abstractNum w:abstractNumId="77">
    <w:nsid w:val="97E1B4E"/>
    <w:multiLevelType w:val="hybridMultilevel"/>
    <w:lvl w:ilvl="0">
      <w:lvlJc w:val="left"/>
      <w:lvlText w:val="(%1)"/>
      <w:numFmt w:val="lowerRoman"/>
      <w:start w:val="4"/>
    </w:lvl>
    <w:lvl w:ilvl="1">
      <w:lvlJc w:val="left"/>
      <w:lvlText w:val="%2"/>
      <w:numFmt w:val="lowerLetter"/>
      <w:start w:val="1"/>
    </w:lvl>
  </w:abstractNum>
  <w:abstractNum w:abstractNumId="78">
    <w:nsid w:val="51088277"/>
    <w:multiLevelType w:val="hybridMultilevel"/>
    <w:lvl w:ilvl="0">
      <w:lvlJc w:val="left"/>
      <w:lvlText w:val="(%1)"/>
      <w:numFmt w:val="lowerLetter"/>
      <w:start w:val="31"/>
    </w:lvl>
  </w:abstractNum>
  <w:abstractNum w:abstractNumId="79">
    <w:nsid w:val="1CA0C5FA"/>
    <w:multiLevelType w:val="hybridMultilevel"/>
    <w:lvl w:ilvl="0">
      <w:lvlJc w:val="left"/>
      <w:lvlText w:val="(%1)"/>
      <w:numFmt w:val="lowerLetter"/>
      <w:start w:val="33"/>
    </w:lvl>
  </w:abstractNum>
  <w:abstractNum w:abstractNumId="80">
    <w:nsid w:val="53584BCB"/>
    <w:multiLevelType w:val="hybridMultilevel"/>
    <w:lvl w:ilvl="0">
      <w:lvlJc w:val="left"/>
      <w:lvlText w:val="(%1)"/>
      <w:numFmt w:val="lowerLetter"/>
      <w:start w:val="36"/>
    </w:lvl>
  </w:abstractNum>
  <w:abstractNum w:abstractNumId="81">
    <w:nsid w:val="415E286C"/>
    <w:multiLevelType w:val="hybridMultilevel"/>
    <w:lvl w:ilvl="0">
      <w:lvlJc w:val="left"/>
      <w:lvlText w:val="(%1)"/>
      <w:numFmt w:val="lowerLetter"/>
      <w:start w:val="37"/>
    </w:lvl>
  </w:abstractNum>
  <w:abstractNum w:abstractNumId="82">
    <w:nsid w:val="7C58FD05"/>
    <w:multiLevelType w:val="hybridMultilevel"/>
    <w:lvl w:ilvl="0">
      <w:lvlJc w:val="left"/>
      <w:lvlText w:val="(%1)"/>
      <w:numFmt w:val="lowerLetter"/>
      <w:start w:val="38"/>
    </w:lvl>
  </w:abstractNum>
  <w:abstractNum w:abstractNumId="83">
    <w:nsid w:val="23D86AAC"/>
    <w:multiLevelType w:val="hybridMultilevel"/>
    <w:lvl w:ilvl="0">
      <w:lvlJc w:val="left"/>
      <w:lvlText w:val="(%1)"/>
      <w:numFmt w:val="lowerLetter"/>
      <w:start w:val="43"/>
    </w:lvl>
  </w:abstractNum>
  <w:abstractNum w:abstractNumId="84">
    <w:nsid w:val="45E6D486"/>
    <w:multiLevelType w:val="hybridMultilevel"/>
    <w:lvl w:ilvl="0">
      <w:lvlJc w:val="left"/>
      <w:lvlText w:val="%1"/>
      <w:numFmt w:val="decimal"/>
      <w:start w:val="1"/>
    </w:lvl>
    <w:lvl w:ilvl="1">
      <w:lvlJc w:val="left"/>
      <w:lvlText w:val="(%2)"/>
      <w:numFmt w:val="lowerLetter"/>
      <w:start w:val="47"/>
    </w:lvl>
  </w:abstractNum>
  <w:abstractNum w:abstractNumId="85">
    <w:nsid w:val="5C10FE21"/>
    <w:multiLevelType w:val="hybridMultilevel"/>
    <w:lvl w:ilvl="0">
      <w:lvlJc w:val="left"/>
      <w:lvlText w:val="%1."/>
      <w:numFmt w:val="decimal"/>
      <w:start w:val="4"/>
    </w:lvl>
    <w:lvl w:ilvl="1">
      <w:lvlJc w:val="left"/>
      <w:lvlText w:val="(%2)"/>
      <w:numFmt w:val="lowerLetter"/>
      <w:start w:val="1"/>
    </w:lvl>
  </w:abstractNum>
  <w:abstractNum w:abstractNumId="86">
    <w:nsid w:val="E7FFA2B"/>
    <w:multiLevelType w:val="hybridMultilevel"/>
    <w:lvl w:ilvl="0">
      <w:lvlJc w:val="left"/>
      <w:lvlText w:val="(%1)"/>
      <w:numFmt w:val="lowerLetter"/>
      <w:start w:val="2"/>
    </w:lvl>
  </w:abstractNum>
  <w:abstractNum w:abstractNumId="87">
    <w:nsid w:val="3C5991AA"/>
    <w:multiLevelType w:val="hybridMultilevel"/>
    <w:lvl w:ilvl="0">
      <w:lvlJc w:val="left"/>
      <w:lvlText w:val="(%1)"/>
      <w:numFmt w:val="lowerLetter"/>
      <w:start w:val="5"/>
    </w:lvl>
  </w:abstractNum>
  <w:abstractNum w:abstractNumId="88">
    <w:nsid w:val="4BD8591A"/>
    <w:multiLevelType w:val="hybridMultilevel"/>
    <w:lvl w:ilvl="0">
      <w:lvlJc w:val="left"/>
      <w:lvlText w:val="%1"/>
      <w:numFmt w:val="decimal"/>
      <w:start w:val="1"/>
    </w:lvl>
    <w:lvl w:ilvl="1">
      <w:lvlJc w:val="left"/>
      <w:lvlText w:val="(%2)"/>
      <w:numFmt w:val="lowerLetter"/>
      <w:start w:val="8"/>
    </w:lvl>
  </w:abstractNum>
  <w:abstractNum w:abstractNumId="89">
    <w:nsid w:val="78DF6A55"/>
    <w:multiLevelType w:val="hybridMultilevel"/>
    <w:lvl w:ilvl="0">
      <w:lvlJc w:val="left"/>
      <w:lvlText w:val="(%1)"/>
      <w:numFmt w:val="decimal"/>
      <w:start w:val="1"/>
    </w:lvl>
    <w:lvl w:ilvl="1">
      <w:lvlJc w:val="left"/>
      <w:lvlText w:val="(%2)"/>
      <w:numFmt w:val="lowerLetter"/>
      <w:start w:val="11"/>
    </w:lvl>
  </w:abstractNum>
  <w:abstractNum w:abstractNumId="90">
    <w:nsid w:val="39B7AAA2"/>
    <w:multiLevelType w:val="hybridMultilevel"/>
    <w:lvl w:ilvl="0">
      <w:lvlJc w:val="left"/>
      <w:lvlText w:val="(%1)"/>
      <w:numFmt w:val="lowerLetter"/>
      <w:start w:val="14"/>
    </w:lvl>
  </w:abstractNum>
  <w:abstractNum w:abstractNumId="91">
    <w:nsid w:val="2B0D8DBE"/>
    <w:multiLevelType w:val="hybridMultilevel"/>
    <w:lvl w:ilvl="0">
      <w:lvlJc w:val="left"/>
      <w:lvlText w:val="(%1)"/>
      <w:numFmt w:val="upperLetter"/>
      <w:start w:val="2"/>
    </w:lvl>
  </w:abstractNum>
  <w:abstractNum w:abstractNumId="92">
    <w:nsid w:val="6C80EC70"/>
    <w:multiLevelType w:val="hybridMultilevel"/>
    <w:lvl w:ilvl="0">
      <w:lvlJc w:val="left"/>
      <w:lvlText w:val="(%1)"/>
      <w:numFmt w:val="lowerLetter"/>
      <w:start w:val="1"/>
    </w:lvl>
  </w:abstractNum>
  <w:abstractNum w:abstractNumId="93">
    <w:nsid w:val="379E21B5"/>
    <w:multiLevelType w:val="hybridMultilevel"/>
    <w:lvl w:ilvl="0">
      <w:lvlJc w:val="left"/>
      <w:lvlText w:val="(%1)"/>
      <w:numFmt w:val="lowerLetter"/>
      <w:start w:val="3"/>
    </w:lvl>
  </w:abstractNum>
  <w:abstractNum w:abstractNumId="94">
    <w:nsid w:val="69E373"/>
    <w:multiLevelType w:val="hybridMultilevel"/>
    <w:lvl w:ilvl="0">
      <w:lvlJc w:val="left"/>
      <w:lvlText w:val="%1"/>
      <w:numFmt w:val="decimal"/>
      <w:start w:val="1"/>
    </w:lvl>
    <w:lvl w:ilvl="1">
      <w:lvlJc w:val="left"/>
      <w:lvlText w:val="(%2)"/>
      <w:numFmt w:val="lowerLetter"/>
      <w:start w:val="5"/>
    </w:lvl>
  </w:abstractNum>
  <w:abstractNum w:abstractNumId="95">
    <w:nsid w:val="2C27173B"/>
    <w:multiLevelType w:val="hybridMultilevel"/>
    <w:lvl w:ilvl="0">
      <w:lvlJc w:val="left"/>
      <w:lvlText w:val="%1."/>
      <w:numFmt w:val="decimal"/>
      <w:start w:val="5"/>
    </w:lvl>
    <w:lvl w:ilvl="1">
      <w:lvlJc w:val="left"/>
      <w:lvlText w:val="(%2)"/>
      <w:numFmt w:val="lowerLetter"/>
      <w:start w:val="1"/>
    </w:lvl>
  </w:abstractNum>
  <w:abstractNum w:abstractNumId="96">
    <w:nsid w:val="4C9B0904"/>
    <w:multiLevelType w:val="hybridMultilevel"/>
    <w:lvl w:ilvl="0">
      <w:lvlJc w:val="left"/>
      <w:lvlText w:val="%1"/>
      <w:numFmt w:val="lowerLetter"/>
      <w:start w:val="1"/>
    </w:lvl>
    <w:lvl w:ilvl="1">
      <w:lvlJc w:val="left"/>
      <w:lvlText w:val="(%2)"/>
      <w:numFmt w:val="lowerLetter"/>
      <w:start w:val="4"/>
    </w:lvl>
  </w:abstractNum>
  <w:abstractNum w:abstractNumId="97">
    <w:nsid w:val="6AA7B75C"/>
    <w:multiLevelType w:val="hybridMultilevel"/>
    <w:lvl w:ilvl="0">
      <w:lvlJc w:val="left"/>
      <w:lvlText w:val="(%1)"/>
      <w:numFmt w:val="lowerLetter"/>
      <w:start w:val="61"/>
    </w:lvl>
    <w:lvl w:ilvl="1">
      <w:lvlJc w:val="left"/>
      <w:lvlText w:val="%2"/>
      <w:numFmt w:val="lowerLetter"/>
      <w:start w:val="1"/>
    </w:lvl>
  </w:abstractNum>
  <w:abstractNum w:abstractNumId="98">
    <w:nsid w:val="1DF029D3"/>
    <w:multiLevelType w:val="hybridMultilevel"/>
    <w:lvl w:ilvl="0">
      <w:lvlJc w:val="left"/>
      <w:lvlText w:val="(%1)"/>
      <w:numFmt w:val="lowerLetter"/>
      <w:start w:val="5"/>
    </w:lvl>
  </w:abstractNum>
  <w:abstractNum w:abstractNumId="99">
    <w:nsid w:val="5675FF36"/>
    <w:multiLevelType w:val="hybridMultilevel"/>
    <w:lvl w:ilvl="0">
      <w:lvlJc w:val="left"/>
      <w:lvlText w:val="(%1)"/>
      <w:numFmt w:val="lowerLetter"/>
      <w:start w:val="6"/>
    </w:lvl>
  </w:abstractNum>
  <w:abstractNum w:abstractNumId="100">
    <w:nsid w:val="3DD15094"/>
    <w:multiLevelType w:val="hybridMultilevel"/>
    <w:lvl w:ilvl="0">
      <w:lvlJc w:val="left"/>
      <w:lvlText w:val="(%1)"/>
      <w:numFmt w:val="lowerLetter"/>
      <w:start w:val="9"/>
    </w:lvl>
  </w:abstractNum>
  <w:abstractNum w:abstractNumId="101">
    <w:nsid w:val="3DB012B3"/>
    <w:multiLevelType w:val="hybridMultilevel"/>
    <w:lvl w:ilvl="0">
      <w:lvlJc w:val="left"/>
      <w:lvlText w:val="%1"/>
      <w:numFmt w:val="decimal"/>
      <w:start w:val="1"/>
    </w:lvl>
    <w:lvl w:ilvl="1">
      <w:lvlJc w:val="left"/>
      <w:lvlText w:val="(%2)"/>
      <w:numFmt w:val="lowerLetter"/>
      <w:start w:val="12"/>
    </w:lvl>
  </w:abstractNum>
  <w:abstractNum w:abstractNumId="102">
    <w:nsid w:val="2708C9AF"/>
    <w:multiLevelType w:val="hybridMultilevel"/>
    <w:lvl w:ilvl="0">
      <w:lvlJc w:val="left"/>
      <w:lvlText w:val="%1."/>
      <w:numFmt w:val="decimal"/>
      <w:start w:val="6"/>
    </w:lvl>
    <w:lvl w:ilvl="1">
      <w:lvlJc w:val="left"/>
      <w:lvlText w:val="(%2)"/>
      <w:numFmt w:val="lowerLetter"/>
      <w:start w:val="1"/>
    </w:lvl>
  </w:abstractNum>
  <w:abstractNum w:abstractNumId="103">
    <w:nsid w:val="5B25ACE2"/>
    <w:multiLevelType w:val="hybridMultilevel"/>
    <w:lvl w:ilvl="0">
      <w:lvlJc w:val="left"/>
      <w:lvlText w:val="(%1)"/>
      <w:numFmt w:val="lowerLetter"/>
      <w:start w:val="4"/>
    </w:lvl>
  </w:abstractNum>
  <w:abstractNum w:abstractNumId="104">
    <w:nsid w:val="175DFCF0"/>
    <w:multiLevelType w:val="hybridMultilevel"/>
    <w:lvl w:ilvl="0">
      <w:lvlJc w:val="left"/>
      <w:lvlText w:val="%1."/>
      <w:numFmt w:val="decimal"/>
      <w:start w:val="7"/>
    </w:lvl>
    <w:lvl w:ilvl="1">
      <w:lvlJc w:val="left"/>
      <w:lvlText w:val="(%2)"/>
      <w:numFmt w:val="lowerLetter"/>
      <w:start w:val="1"/>
    </w:lvl>
  </w:abstractNum>
  <w:abstractNum w:abstractNumId="105">
    <w:nsid w:val="4F97E3E4"/>
    <w:multiLevelType w:val="hybridMultilevel"/>
    <w:lvl w:ilvl="0">
      <w:lvlJc w:val="left"/>
      <w:lvlText w:val="%1"/>
      <w:numFmt w:val="upperLetter"/>
      <w:start w:val="1"/>
    </w:lvl>
    <w:lvl w:ilvl="1">
      <w:lvlJc w:val="left"/>
      <w:lvlText w:val="(%2)"/>
      <w:numFmt w:val="lowerLetter"/>
      <w:start w:val="2"/>
    </w:lvl>
  </w:abstractNum>
  <w:abstractNum w:abstractNumId="106">
    <w:nsid w:val="53B0A9E"/>
    <w:multiLevelType w:val="hybridMultilevel"/>
    <w:lvl w:ilvl="0">
      <w:lvlJc w:val="left"/>
      <w:lvlText w:val="(%1)"/>
      <w:numFmt w:val="upperLetter"/>
      <w:start w:val="1"/>
    </w:lvl>
    <w:lvl w:ilvl="1">
      <w:lvlJc w:val="left"/>
      <w:lvlText w:val="%2"/>
      <w:numFmt w:val="lowerLetter"/>
      <w:start w:val="1"/>
    </w:lvl>
  </w:abstractNum>
  <w:abstractNum w:abstractNumId="107">
    <w:nsid w:val="34FD6B4F"/>
    <w:multiLevelType w:val="hybridMultilevel"/>
    <w:lvl w:ilvl="0">
      <w:lvlJc w:val="left"/>
      <w:lvlText w:val="(%1)"/>
      <w:numFmt w:val="lowerLetter"/>
      <w:start w:val="6"/>
    </w:lvl>
  </w:abstractNum>
  <w:abstractNum w:abstractNumId="108">
    <w:nsid w:val="5915FF32"/>
    <w:multiLevelType w:val="hybridMultilevel"/>
    <w:lvl w:ilvl="0">
      <w:lvlJc w:val="left"/>
      <w:lvlText w:val="(%1)"/>
      <w:numFmt w:val="lowerRoman"/>
      <w:start w:val="2"/>
    </w:lvl>
  </w:abstractNum>
  <w:abstractNum w:abstractNumId="109">
    <w:nsid w:val="56438D15"/>
    <w:multiLevelType w:val="hybridMultilevel"/>
    <w:lvl w:ilvl="0">
      <w:lvlJc w:val="left"/>
      <w:lvlText w:val="(%1)"/>
      <w:numFmt w:val="lowerLetter"/>
      <w:start w:val="7"/>
    </w:lvl>
  </w:abstractNum>
  <w:abstractNum w:abstractNumId="110">
    <w:nsid w:val="519E3149"/>
    <w:multiLevelType w:val="hybridMultilevel"/>
    <w:lvl w:ilvl="0">
      <w:lvlJc w:val="left"/>
      <w:lvlText w:val="(%1)"/>
      <w:numFmt w:val="lowerLetter"/>
      <w:start w:val="10"/>
    </w:lvl>
  </w:abstractNum>
  <w:abstractNum w:abstractNumId="111">
    <w:nsid w:val="2C6E4AFD"/>
    <w:multiLevelType w:val="hybridMultilevel"/>
    <w:lvl w:ilvl="0">
      <w:lvlJc w:val="left"/>
      <w:lvlText w:val="(%1)"/>
      <w:numFmt w:val="lowerLetter"/>
      <w:start w:val="16"/>
    </w:lvl>
  </w:abstractNum>
  <w:abstractNum w:abstractNumId="112">
    <w:nsid w:val="17A1B582"/>
    <w:multiLevelType w:val="hybridMultilevel"/>
    <w:lvl w:ilvl="0">
      <w:lvlJc w:val="left"/>
      <w:lvlText w:val="%1."/>
      <w:numFmt w:val="decimal"/>
      <w:start w:val="9"/>
    </w:lvl>
  </w:abstractNum>
  <w:abstractNum w:abstractNumId="113">
    <w:nsid w:val="4DF72E4E"/>
    <w:multiLevelType w:val="hybridMultilevel"/>
    <w:lvl w:ilvl="0">
      <w:lvlJc w:val="left"/>
      <w:lvlText w:val="(%1)"/>
      <w:numFmt w:val="lowerLetter"/>
      <w:start w:val="1"/>
    </w:lvl>
  </w:abstractNum>
  <w:abstractNum w:abstractNumId="114">
    <w:nsid w:val="5046B5A9"/>
    <w:multiLevelType w:val="hybridMultilevel"/>
    <w:lvl w:ilvl="0">
      <w:lvlJc w:val="left"/>
      <w:lvlText w:val="(%1)"/>
      <w:numFmt w:val="lowerLetter"/>
      <w:start w:val="2"/>
    </w:lvl>
  </w:abstractNum>
  <w:abstractNum w:abstractNumId="115">
    <w:nsid w:val="5D888A08"/>
    <w:multiLevelType w:val="hybridMultilevel"/>
    <w:lvl w:ilvl="0">
      <w:lvlJc w:val="left"/>
      <w:lvlText w:val="(%1)"/>
      <w:numFmt w:val="lowerLetter"/>
      <w:start w:val="4"/>
    </w:lvl>
  </w:abstractNum>
  <w:abstractNum w:abstractNumId="116">
    <w:nsid w:val="2A082C70"/>
    <w:multiLevelType w:val="hybridMultilevel"/>
    <w:lvl w:ilvl="0">
      <w:lvlJc w:val="left"/>
      <w:lvlText w:val="(%1)"/>
      <w:numFmt w:val="lowerLetter"/>
      <w:start w:val="9"/>
    </w:lvl>
    <w:lvl w:ilvl="1">
      <w:lvlJc w:val="left"/>
      <w:lvlText w:val="(%2)"/>
      <w:numFmt w:val="lowerLetter"/>
      <w:start w:val="6"/>
    </w:lvl>
  </w:abstractNum>
  <w:abstractNum w:abstractNumId="117">
    <w:nsid w:val="5EC6AFD4"/>
    <w:multiLevelType w:val="hybridMultilevel"/>
    <w:lvl w:ilvl="0">
      <w:lvlJc w:val="left"/>
      <w:lvlText w:val="%1"/>
      <w:numFmt w:val="lowerLetter"/>
      <w:start w:val="1"/>
    </w:lvl>
    <w:lvl w:ilvl="1">
      <w:lvlJc w:val="left"/>
      <w:lvlText w:val="(%2)"/>
      <w:numFmt w:val="lowerLetter"/>
      <w:start w:val="7"/>
    </w:lvl>
  </w:abstractNum>
  <w:abstractNum w:abstractNumId="118">
    <w:nsid w:val="19E21BB2"/>
    <w:multiLevelType w:val="hybridMultilevel"/>
    <w:lvl w:ilvl="0">
      <w:lvlJc w:val="left"/>
      <w:lvlText w:val="(%1)"/>
      <w:numFmt w:val="lowerLetter"/>
      <w:start w:val="6"/>
    </w:lvl>
    <w:lvl w:ilvl="1">
      <w:lvlJc w:val="left"/>
      <w:lvlText w:val="%2"/>
      <w:numFmt w:val="lowerLetter"/>
      <w:start w:val="1"/>
    </w:lvl>
  </w:abstractNum>
  <w:abstractNum w:abstractNumId="119">
    <w:nsid w:val="75E0858A"/>
    <w:multiLevelType w:val="hybridMultilevel"/>
    <w:lvl w:ilvl="0">
      <w:lvlJc w:val="left"/>
      <w:lvlText w:val="(%1)"/>
      <w:numFmt w:val="lowerLetter"/>
      <w:start w:val="6"/>
    </w:lvl>
    <w:lvl w:ilvl="1">
      <w:lvlJc w:val="left"/>
      <w:lvlText w:val="(%2)"/>
      <w:numFmt w:val="lowerLetter"/>
      <w:start w:val="8"/>
    </w:lvl>
  </w:abstractNum>
  <w:abstractNum w:abstractNumId="120">
    <w:nsid w:val="57A61A29"/>
    <w:multiLevelType w:val="hybridMultilevel"/>
    <w:lvl w:ilvl="0">
      <w:lvlJc w:val="left"/>
      <w:lvlText w:val="%1."/>
      <w:numFmt w:val="decimal"/>
      <w:start w:val="10"/>
    </w:lvl>
  </w:abstractNum>
  <w:abstractNum w:abstractNumId="121">
    <w:nsid w:val="5399C654"/>
    <w:multiLevelType w:val="hybridMultilevel"/>
    <w:lvl w:ilvl="0">
      <w:lvlJc w:val="left"/>
      <w:lvlText w:val="%1."/>
      <w:numFmt w:val="decimal"/>
      <w:start w:val="11"/>
    </w:lvl>
  </w:abstractNum>
  <w:abstractNum w:abstractNumId="122">
    <w:nsid w:val="20EE1348"/>
    <w:multiLevelType w:val="hybridMultilevel"/>
    <w:lvl w:ilvl="0">
      <w:lvlJc w:val="left"/>
      <w:lvlText w:val="(%1)"/>
      <w:numFmt w:val="lowerLetter"/>
      <w:start w:val="1"/>
    </w:lvl>
  </w:abstractNum>
  <w:abstractNum w:abstractNumId="123">
    <w:nsid w:val="4427069A"/>
    <w:multiLevelType w:val="hybridMultilevel"/>
    <w:lvl w:ilvl="0">
      <w:lvlJc w:val="left"/>
      <w:lvlText w:val="(%1)"/>
      <w:numFmt w:val="lowerLetter"/>
      <w:start w:val="3"/>
    </w:lvl>
  </w:abstractNum>
  <w:abstractNum w:abstractNumId="124">
    <w:nsid w:val="B37E80A"/>
    <w:multiLevelType w:val="hybridMultilevel"/>
    <w:lvl w:ilvl="0">
      <w:lvlJc w:val="left"/>
      <w:lvlText w:val="%1."/>
      <w:numFmt w:val="decimal"/>
      <w:start w:val="13"/>
    </w:lvl>
  </w:abstractNum>
  <w:abstractNum w:abstractNumId="125">
    <w:nsid w:val="2157F6BC"/>
    <w:multiLevelType w:val="hybridMultilevel"/>
    <w:lvl w:ilvl="0">
      <w:lvlJc w:val="left"/>
      <w:lvlText w:val="(%1)"/>
      <w:numFmt w:val="lowerLetter"/>
      <w:start w:val="1"/>
    </w:lvl>
  </w:abstractNum>
  <w:abstractNum w:abstractNumId="126">
    <w:nsid w:val="704E1DD5"/>
    <w:multiLevelType w:val="hybridMultilevel"/>
    <w:lvl w:ilvl="0">
      <w:lvlJc w:val="left"/>
      <w:lvlText w:val="(%1)"/>
      <w:numFmt w:val="lowerLetter"/>
      <w:start w:val="2"/>
    </w:lvl>
  </w:abstractNum>
  <w:abstractNum w:abstractNumId="127">
    <w:nsid w:val="57D2F10E"/>
    <w:multiLevelType w:val="hybridMultilevel"/>
    <w:lvl w:ilvl="0">
      <w:lvlJc w:val="left"/>
      <w:lvlText w:val="%1."/>
      <w:numFmt w:val="decimal"/>
      <w:start w:val="14"/>
    </w:lvl>
  </w:abstractNum>
  <w:abstractNum w:abstractNumId="128">
    <w:nsid w:val="BFFAE18"/>
    <w:multiLevelType w:val="hybridMultilevel"/>
    <w:lvl w:ilvl="0">
      <w:lvlJc w:val="left"/>
      <w:lvlText w:val="%1."/>
      <w:numFmt w:val="decimal"/>
      <w:start w:val="17"/>
    </w:lvl>
  </w:abstractNum>
  <w:abstractNum w:abstractNumId="129">
    <w:nsid w:val="E3E47A8"/>
    <w:multiLevelType w:val="hybridMultilevel"/>
    <w:lvl w:ilvl="0">
      <w:lvlJc w:val="left"/>
      <w:lvlText w:val="(%1)"/>
      <w:numFmt w:val="lowerLetter"/>
      <w:start w:val="1"/>
    </w:lvl>
  </w:abstractNum>
  <w:abstractNum w:abstractNumId="130">
    <w:nsid w:val="2E48F044"/>
    <w:multiLevelType w:val="hybridMultilevel"/>
    <w:lvl w:ilvl="0">
      <w:lvlJc w:val="left"/>
      <w:lvlText w:val="(%1)"/>
      <w:numFmt w:val="lowerLetter"/>
      <w:start w:val="4"/>
    </w:lvl>
    <w:lvl w:ilvl="1">
      <w:lvlJc w:val="left"/>
      <w:lvlText w:val="(%2)"/>
      <w:numFmt w:val="lowerLetter"/>
      <w:start w:val="9"/>
    </w:lvl>
  </w:abstractNum>
  <w:abstractNum w:abstractNumId="131">
    <w:nsid w:val="49D0FEAC"/>
    <w:multiLevelType w:val="hybridMultilevel"/>
    <w:lvl w:ilvl="0">
      <w:lvlJc w:val="left"/>
      <w:lvlText w:val="(%1)"/>
      <w:numFmt w:val="lowerRoman"/>
      <w:start w:val="2"/>
    </w:lvl>
  </w:abstractNum>
  <w:abstractNum w:abstractNumId="132">
    <w:nsid w:val="4BEE5A5B"/>
    <w:multiLevelType w:val="hybridMultilevel"/>
    <w:lvl w:ilvl="0">
      <w:lvlJc w:val="left"/>
      <w:lvlText w:val="(%1)"/>
      <w:numFmt w:val="lowerRoman"/>
      <w:start w:val="1"/>
    </w:lvl>
  </w:abstractNum>
  <w:abstractNum w:abstractNumId="133">
    <w:nsid w:val="5551B9F3"/>
    <w:multiLevelType w:val="hybridMultilevel"/>
    <w:lvl w:ilvl="0">
      <w:lvlJc w:val="left"/>
      <w:lvlText w:val="%1"/>
      <w:numFmt w:val="lowerRoman"/>
      <w:start w:val="1"/>
    </w:lvl>
    <w:lvl w:ilvl="1">
      <w:lvlJc w:val="left"/>
      <w:lvlText w:val="(%2)"/>
      <w:numFmt w:val="lowerRoman"/>
      <w:start w:val="2"/>
    </w:lvl>
  </w:abstractNum>
  <w:abstractNum w:abstractNumId="134">
    <w:nsid w:val="24F6AB8E"/>
    <w:multiLevelType w:val="hybridMultilevel"/>
    <w:lvl w:ilvl="0">
      <w:lvlJc w:val="left"/>
      <w:lvlText w:val="(%1)"/>
      <w:numFmt w:val="lowerRoman"/>
      <w:start w:val="1"/>
    </w:lvl>
    <w:lvl w:ilvl="1">
      <w:lvlJc w:val="left"/>
      <w:lvlText w:val="%2"/>
      <w:numFmt w:val="lowerRoman"/>
      <w:start w:val="1"/>
    </w:lvl>
  </w:abstractNum>
  <w:abstractNum w:abstractNumId="135">
    <w:nsid w:val="634C574C"/>
    <w:multiLevelType w:val="hybridMultilevel"/>
    <w:lvl w:ilvl="0">
      <w:lvlJc w:val="left"/>
      <w:lvlText w:val="(%1)"/>
      <w:numFmt w:val="lowerLetter"/>
      <w:start w:val="10"/>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1)"/>
      <w:numFmt w:val="lowerRoman"/>
      <w:start w:val="1"/>
    </w:lvl>
  </w:abstractNum>
  <w:abstractNum w:abstractNumId="138">
    <w:nsid w:val="1849C29B"/>
    <w:multiLevelType w:val="hybridMultilevel"/>
    <w:lvl w:ilvl="0">
      <w:lvlJc w:val="left"/>
      <w:lvlText w:val="(%1)"/>
      <w:numFmt w:val="lowerRoman"/>
      <w:start w:val="11"/>
    </w:lvl>
  </w:abstractNum>
  <w:abstractNum w:abstractNumId="139">
    <w:nsid w:val="7DFF9D09"/>
    <w:multiLevelType w:val="hybridMultilevel"/>
    <w:lvl w:ilvl="0">
      <w:lvlJc w:val="left"/>
      <w:lvlText w:val="(%1)"/>
      <w:numFmt w:val="lowerLetter"/>
      <w:start w:val="2"/>
    </w:lvl>
  </w:abstractNum>
  <w:abstractNum w:abstractNumId="140">
    <w:nsid w:val="75434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jpe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69" Type="http://schemas.openxmlformats.org/officeDocument/2006/relationships/image" Target="media/image144.png"/><Relationship Id="rId181"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jpeg"/><Relationship Id="rId282" Type="http://schemas.openxmlformats.org/officeDocument/2006/relationships/image" Target="media/image238.png"/><Relationship Id="rId283" Type="http://schemas.openxmlformats.org/officeDocument/2006/relationships/image" Target="media/image239.png"/><Relationship Id="rId136" Type="http://schemas.openxmlformats.org/officeDocument/2006/relationships/hyperlink" Target="http://www.sec.gov/Archives/edgar/data/1822479/000182247921000018/soterahealthcompany-10k2020.htm" TargetMode="External"/><Relationship Id="rId137" Type="http://schemas.openxmlformats.org/officeDocument/2006/relationships/hyperlink" Target="http://www.sec.gov/Archives/edgar/data/1822479/000182247921000007/january202021-8k.htm" TargetMode="External"/><Relationship Id="rId138" Type="http://schemas.openxmlformats.org/officeDocument/2006/relationships/hyperlink" Target="http://www.sec.gov/Archives/edgar/data/1822479/000119312521081365/d227857d8k.htm" TargetMode="External"/><Relationship Id="rId154" Type="http://schemas.openxmlformats.org/officeDocument/2006/relationships/hyperlink" Target="http://www.sec.gov/Archives/edgar/data/1822479/000182247921000018/shc_20201231xexhibitx3x1.htm" TargetMode="External"/><Relationship Id="rId155" Type="http://schemas.openxmlformats.org/officeDocument/2006/relationships/hyperlink" Target="http://www.sec.gov/Archives/edgar/data/1822479/000182247921000018/shc20201231_exhibitx3x2.htm" TargetMode="External"/><Relationship Id="rId156" Type="http://schemas.openxmlformats.org/officeDocument/2006/relationships/hyperlink" Target="http://www.sec.gov/Archives/edgar/data/1822479/000182247921000018/shc_20201231xexhibitx4x2.htm" TargetMode="External"/><Relationship Id="rId157" Type="http://schemas.openxmlformats.org/officeDocument/2006/relationships/hyperlink" Target="http://www.sec.gov/Archives/edgar/data/1822479/000119312520275568/d93452dex44.htm" TargetMode="External"/><Relationship Id="rId158" Type="http://schemas.openxmlformats.org/officeDocument/2006/relationships/hyperlink" Target="http://www.sec.gov/Archives/edgar/data/1822479/000119312520275568/d93452dex43.htm" TargetMode="External"/><Relationship Id="rId159" Type="http://schemas.openxmlformats.org/officeDocument/2006/relationships/hyperlink" Target="http://www.sec.gov/Archives/edgar/data/1822479/000119312520290973/d93452dex101.htm" TargetMode="External"/><Relationship Id="rId160" Type="http://schemas.openxmlformats.org/officeDocument/2006/relationships/hyperlink" Target="http://www.sec.gov/Archives/edgar/data/1822479/000119312520290973/d93452dex102.htm" TargetMode="External"/><Relationship Id="rId161" Type="http://schemas.openxmlformats.org/officeDocument/2006/relationships/hyperlink" Target="http://www.sec.gov/Archives/edgar/data/1822479/000119312520290973/d93452dex103.htm" TargetMode="External"/><Relationship Id="rId162" Type="http://schemas.openxmlformats.org/officeDocument/2006/relationships/hyperlink" Target="http://www.sec.gov/Archives/edgar/data/1822479/000119312520290973/d93452dex104.htm" TargetMode="External"/><Relationship Id="rId163" Type="http://schemas.openxmlformats.org/officeDocument/2006/relationships/hyperlink" Target="http://www.sec.gov/Archives/edgar/data/1822479/000119312520290973/d93452dex105.htm" TargetMode="External"/><Relationship Id="rId164" Type="http://schemas.openxmlformats.org/officeDocument/2006/relationships/hyperlink" Target="http://www.sec.gov/Archives/edgar/data/1822479/000119312520290973/d93452dex106.htm" TargetMode="External"/><Relationship Id="rId165" Type="http://schemas.openxmlformats.org/officeDocument/2006/relationships/hyperlink" Target="http://www.sec.gov/Archives/edgar/data/1822479/000119312520290973/d93452dex107.htm" TargetMode="External"/><Relationship Id="rId166" Type="http://schemas.openxmlformats.org/officeDocument/2006/relationships/hyperlink" Target="http://www.sec.gov/Archives/edgar/data/1822479/000119312520284069/d93452dex108.htm" TargetMode="External"/><Relationship Id="rId167" Type="http://schemas.openxmlformats.org/officeDocument/2006/relationships/hyperlink" Target="http://www.sec.gov/Archives/edgar/data/1822479/000182247921000018/shc_20201231xexhibitx10x9.htm" TargetMode="External"/><Relationship Id="rId168" Type="http://schemas.openxmlformats.org/officeDocument/2006/relationships/hyperlink" Target="http://www.sec.gov/Archives/edgar/data/1822479/000119312520275568/d93452dex1010.htm" TargetMode="External"/><Relationship Id="rId170" Type="http://schemas.openxmlformats.org/officeDocument/2006/relationships/hyperlink" Target="http://www.sec.gov/Archives/edgar/data/1822479/000119312520275568/d93452dex1011.htm" TargetMode="External"/><Relationship Id="rId171" Type="http://schemas.openxmlformats.org/officeDocument/2006/relationships/hyperlink" Target="http://www.sec.gov/Archives/edgar/data/1822479/000119312520275568/d93452dex1012.htm" TargetMode="External"/><Relationship Id="rId172" Type="http://schemas.openxmlformats.org/officeDocument/2006/relationships/hyperlink" Target="http://www.sec.gov/Archives/edgar/data/1822479/000119312520275568/d93452dex1013.htm" TargetMode="External"/><Relationship Id="rId173" Type="http://schemas.openxmlformats.org/officeDocument/2006/relationships/hyperlink" Target="http://www.sec.gov/Archives/edgar/data/1822479/000119312520275568/d93452dex1014.htm" TargetMode="External"/><Relationship Id="rId174" Type="http://schemas.openxmlformats.org/officeDocument/2006/relationships/hyperlink" Target="http://www.sec.gov/Archives/edgar/data/1822479/000119312520275568/d93452dex1015.htm" TargetMode="External"/><Relationship Id="rId175" Type="http://schemas.openxmlformats.org/officeDocument/2006/relationships/hyperlink" Target="http://www.sec.gov/Archives/edgar/data/1822479/000119312520275568/d93452dex1016.htm" TargetMode="External"/><Relationship Id="rId176" Type="http://schemas.openxmlformats.org/officeDocument/2006/relationships/hyperlink" Target="http://www.sec.gov/Archives/edgar/data/1822479/000119312520275568/d93452dex1017.htm" TargetMode="External"/><Relationship Id="rId177" Type="http://schemas.openxmlformats.org/officeDocument/2006/relationships/hyperlink" Target="http://www.sec.gov/Archives/edgar/data/1822479/000119312520275568/d93452dex1025.htm" TargetMode="External"/><Relationship Id="rId178" Type="http://schemas.openxmlformats.org/officeDocument/2006/relationships/hyperlink" Target="http://www.sec.gov/Archives/edgar/data/1822479/000119312520275568/d93452dex1026.htm" TargetMode="External"/><Relationship Id="rId179" Type="http://schemas.openxmlformats.org/officeDocument/2006/relationships/hyperlink" Target="http://www.sec.gov/Archives/edgar/data/1822479/000119312520275568/d93452dex1027.htm" TargetMode="External"/><Relationship Id="rId180" Type="http://schemas.openxmlformats.org/officeDocument/2006/relationships/hyperlink" Target="http://www.sec.gov/Archives/edgar/data/1822479/000119312520275568/d93452dex1028.htm" TargetMode="External"/><Relationship Id="rId182" Type="http://schemas.openxmlformats.org/officeDocument/2006/relationships/hyperlink" Target="http://www.sec.gov/Archives/edgar/data/1822479/000119312520275568/d93452dex1029.htm" TargetMode="External"/><Relationship Id="rId183" Type="http://schemas.openxmlformats.org/officeDocument/2006/relationships/hyperlink" Target="http://www.sec.gov/Archives/edgar/data/1822479/000119312520297076/d93452dex1030.htm" TargetMode="External"/><Relationship Id="rId184" Type="http://schemas.openxmlformats.org/officeDocument/2006/relationships/hyperlink" Target="http://www.sec.gov/Archives/edgar/data/1822479/000119312520290973/d93452dex1031.htm" TargetMode="External"/><Relationship Id="rId185" Type="http://schemas.openxmlformats.org/officeDocument/2006/relationships/hyperlink" Target="http://www.sec.gov/Archives/edgar/data/1822479/000119312520290973/d93452dex1032.htm" TargetMode="External"/><Relationship Id="rId186" Type="http://schemas.openxmlformats.org/officeDocument/2006/relationships/hyperlink" Target="http://www.sec.gov/Archives/edgar/data/1822479/000182247921000018/shc_20201231xexhibitx10x26.htm" TargetMode="External"/><Relationship Id="rId187" Type="http://schemas.openxmlformats.org/officeDocument/2006/relationships/hyperlink" Target="http://www.sec.gov/Archives/edgar/data/1822479/000182247921000018/shc_20201231xexhibitx10x27.htm" TargetMode="External"/><Relationship Id="rId188" Type="http://schemas.openxmlformats.org/officeDocument/2006/relationships/hyperlink" Target="http://www.sec.gov/Archives/edgar/data/1822479/000182247921000018/shc_20201231xexhibitx10x28.htm" TargetMode="External"/><Relationship Id="rId189" Type="http://schemas.openxmlformats.org/officeDocument/2006/relationships/hyperlink" Target="http://www.sec.gov/Archives/edgar/data/1822479/000182247921000018/shc_20201231xexhibitx21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2021-03-15T15:21:59Z</dcterms:created>
  <dcterms:modified xsi:type="dcterms:W3CDTF">2021-03-15T15:21:59Z</dcterms:modified>
</cp:coreProperties>
</file>