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 2024, Sotera Health Company (the “Company”) issued a press release (the “Press Release”) announcing its financial results for the quarter ended March 31, 2024. The Company will hold its previously announced conference call on May 2, 2024, at 9:00 a.m. Eastern Time to discuss its financial results for the quarter. A copy of the Press Release is attached hereto as Exhibit 99.1 and is incorporated herein by reference.</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2, 2024</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top w:val="single" w:sz="8" w:color="0000FF"/>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First-Quarter 2024 Results</w:t>
      </w:r>
    </w:p>
    <w:p>
      <w:pPr>
        <w:spacing w:after="0" w:line="215"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net revenues increased 12.5% to $248 million, compared to Q1 2023</w:t>
      </w:r>
    </w:p>
    <w:p>
      <w:pPr>
        <w:spacing w:after="0" w:line="66" w:lineRule="exact"/>
        <w:rPr>
          <w:rFonts w:ascii="Calibri" w:cs="Calibri" w:eastAsia="Calibri" w:hAnsi="Calibri"/>
          <w:sz w:val="22"/>
          <w:szCs w:val="22"/>
          <w:b w:val="1"/>
          <w:bCs w:val="1"/>
          <w:i w:val="1"/>
          <w:iCs w:val="1"/>
          <w:color w:val="auto"/>
        </w:rPr>
      </w:pPr>
    </w:p>
    <w:p>
      <w:pPr>
        <w:ind w:left="660" w:right="60" w:hanging="328"/>
        <w:spacing w:after="0" w:line="235"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net income of $6 million or $0.02 per diluted share, compared to net income of $3 million or $0.01 per diluted share in Q1 2023</w:t>
      </w:r>
    </w:p>
    <w:p>
      <w:pPr>
        <w:spacing w:after="0" w:line="54"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Adjusted EBITDA</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increased 13.7% to $112 million, compared to Q1 2023</w:t>
      </w:r>
    </w:p>
    <w:p>
      <w:pPr>
        <w:ind w:left="660" w:hanging="328"/>
        <w:spacing w:after="0" w:line="227"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Q1 2024 Adjusted EPS</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of $0.13 compared to Adjusted EPS of $0.13 in Q1 2023</w:t>
      </w:r>
    </w:p>
    <w:p>
      <w:pPr>
        <w:ind w:left="660" w:hanging="328"/>
        <w:spacing w:after="0" w:line="236"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Company reafrms 2024 outlook</w:t>
      </w:r>
    </w:p>
    <w:p>
      <w:pPr>
        <w:spacing w:after="0" w:line="22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 xml:space="preserve">CLEVELAND, OH, May 2, 2024 </w:t>
      </w:r>
      <w:r>
        <w:rPr>
          <w:rFonts w:ascii="Calibri" w:cs="Calibri" w:eastAsia="Calibri" w:hAnsi="Calibri"/>
          <w:sz w:val="20"/>
          <w:szCs w:val="20"/>
          <w:color w:val="auto"/>
        </w:rPr>
        <w:t>– Sotera Health Company (“Sotera Health” or the “Company”) (Nasdaq: SHC), a leading global provider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mission-critcal end-to-end sterilizaton solutons, lab testng and advisory services for the healthcare industry, today announced fnancial results for the three months ended March 31, 2024.</w:t>
      </w:r>
    </w:p>
    <w:p>
      <w:pPr>
        <w:spacing w:after="0" w:line="144" w:lineRule="exact"/>
        <w:rPr>
          <w:sz w:val="20"/>
          <w:szCs w:val="20"/>
          <w:color w:val="auto"/>
        </w:rPr>
      </w:pPr>
    </w:p>
    <w:p>
      <w:pPr>
        <w:ind w:right="400"/>
        <w:spacing w:after="0" w:line="231" w:lineRule="auto"/>
        <w:rPr>
          <w:sz w:val="20"/>
          <w:szCs w:val="20"/>
          <w:color w:val="auto"/>
        </w:rPr>
      </w:pPr>
      <w:r>
        <w:rPr>
          <w:rFonts w:ascii="Calibri" w:cs="Calibri" w:eastAsia="Calibri" w:hAnsi="Calibri"/>
          <w:sz w:val="20"/>
          <w:szCs w:val="20"/>
          <w:color w:val="auto"/>
        </w:rPr>
        <w:t>First-quarter 2024 net revenues increased 12.5% to $248 million, compared to $221 million in the frst-quarter 2023. Net revenues increased 11.8% on a constant currency basis. Net income was $6 million, or $0.02 per diluted share, compared to net income of $3 million, or $0.01 per diluted share for the frst-quarter 2023. Adjusted EBITDA for the frst-quarter 2024 increased by 13.7% to $112 million compared to the frst-quarter 2023. First-quarter 2024 Adjusted Earnings Per Diluted Share (“Adjusted EPS”) of $0.13 was fat compared to the frst-quarter 2023.</w:t>
      </w:r>
    </w:p>
    <w:p>
      <w:pPr>
        <w:spacing w:after="0" w:line="148"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“This morning we announced a solid start to the year delivering top- and botom-line growth for the quarter,” said Chairman and Chief Executve Ofcer, Michael B. Petras, Jr. “We are reafrming the Company’s 2024 outlook that we previously provided. The team remains focused on executng on our strategic priorites as we manage through contnued market headwinds.”</w:t>
      </w:r>
    </w:p>
    <w:p>
      <w:pPr>
        <w:spacing w:after="0" w:line="144" w:lineRule="exact"/>
        <w:rPr>
          <w:sz w:val="20"/>
          <w:szCs w:val="20"/>
          <w:color w:val="auto"/>
        </w:rPr>
      </w:pPr>
    </w:p>
    <w:p>
      <w:pPr>
        <w:ind w:right="100"/>
        <w:spacing w:after="0" w:line="233" w:lineRule="auto"/>
        <w:rPr>
          <w:sz w:val="20"/>
          <w:szCs w:val="20"/>
          <w:color w:val="auto"/>
        </w:rPr>
      </w:pPr>
      <w:r>
        <w:rPr>
          <w:rFonts w:ascii="Calibri" w:cs="Calibri" w:eastAsia="Calibri" w:hAnsi="Calibri"/>
          <w:sz w:val="20"/>
          <w:szCs w:val="20"/>
          <w:color w:val="auto"/>
        </w:rPr>
        <w:t>“We are also pleased that the Environmental Protecton Agency (EPA) fnalized its update of the Natonal Emission Standards for Hazardous Air Pollutants (NESHAP),” added Petras. “Although the updated requirements will be very challenging for the sterilizaton industry to meet, we believe that Sterigenics’ signifcant investments in state-of-the-art emission controls have positoned Sterigenics to be able to comply with the updated standards within the tmeframes specifed by the fnal rule.”</w:t>
      </w:r>
    </w:p>
    <w:p>
      <w:pPr>
        <w:spacing w:after="0" w:line="145" w:lineRule="exact"/>
        <w:rPr>
          <w:sz w:val="20"/>
          <w:szCs w:val="20"/>
          <w:color w:val="auto"/>
        </w:rPr>
      </w:pPr>
    </w:p>
    <w:p>
      <w:pPr>
        <w:ind w:right="220"/>
        <w:spacing w:after="0" w:line="228" w:lineRule="auto"/>
        <w:rPr>
          <w:sz w:val="20"/>
          <w:szCs w:val="20"/>
          <w:color w:val="auto"/>
        </w:rPr>
      </w:pPr>
      <w:r>
        <w:rPr>
          <w:rFonts w:ascii="Calibri" w:cs="Calibri" w:eastAsia="Calibri" w:hAnsi="Calibri"/>
          <w:sz w:val="20"/>
          <w:szCs w:val="20"/>
          <w:color w:val="auto"/>
        </w:rPr>
        <w:t>Petras concluded, “As always, our focus is to support our global team members while serving our customers with high quality, safe and reliable service.”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First-Quarter Review by Business Segment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0"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For frst-quarter 2024, net revenues were $166 million, an increase of 4.1% compared to the frst quarter a year ago. Segment income was $86 million, an increase of 3.6%.</w:t>
      </w:r>
    </w:p>
    <w:p>
      <w:pPr>
        <w:spacing w:after="0" w:line="145" w:lineRule="exact"/>
        <w:rPr>
          <w:sz w:val="20"/>
          <w:szCs w:val="20"/>
          <w:color w:val="auto"/>
        </w:rPr>
      </w:pPr>
    </w:p>
    <w:p>
      <w:pPr>
        <w:ind w:right="20"/>
        <w:spacing w:after="0" w:line="228" w:lineRule="auto"/>
        <w:rPr>
          <w:sz w:val="20"/>
          <w:szCs w:val="20"/>
          <w:color w:val="auto"/>
        </w:rPr>
      </w:pPr>
      <w:r>
        <w:rPr>
          <w:rFonts w:ascii="Calibri" w:cs="Calibri" w:eastAsia="Calibri" w:hAnsi="Calibri"/>
          <w:sz w:val="20"/>
          <w:szCs w:val="20"/>
          <w:color w:val="auto"/>
        </w:rPr>
        <w:t>Net revenue growth for frst-quarter 2024 was driven by favorable pricing and changes in foreign currency exchange rates, partally ofset by unfavorable volume and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5" w:lineRule="exact"/>
        <w:rPr>
          <w:sz w:val="20"/>
          <w:szCs w:val="20"/>
          <w:color w:val="auto"/>
        </w:rPr>
      </w:pPr>
    </w:p>
    <w:p>
      <w:pPr>
        <w:ind w:right="240"/>
        <w:spacing w:after="0" w:line="207" w:lineRule="auto"/>
        <w:rPr>
          <w:sz w:val="20"/>
          <w:szCs w:val="20"/>
          <w:color w:val="auto"/>
        </w:rPr>
      </w:pPr>
      <w:r>
        <w:rPr>
          <w:rFonts w:ascii="Arial" w:cs="Arial" w:eastAsia="Arial" w:hAnsi="Arial"/>
          <w:sz w:val="21"/>
          <w:szCs w:val="21"/>
          <w:color w:val="auto"/>
          <w:vertAlign w:val="superscript"/>
        </w:rPr>
        <w:t>(1)</w:t>
      </w:r>
      <w:r>
        <w:rPr>
          <w:rFonts w:ascii="Calibri" w:cs="Calibri" w:eastAsia="Calibri" w:hAnsi="Calibri"/>
          <w:sz w:val="14"/>
          <w:szCs w:val="14"/>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ectPr>
          <w:pgSz w:w="11900" w:h="16838" w:orient="portrait"/>
          <w:cols w:equalWidth="0" w:num="1">
            <w:col w:w="11240"/>
          </w:cols>
          <w:pgMar w:left="320" w:top="158" w:right="339" w:bottom="1440" w:gutter="0" w:footer="0" w:header="0"/>
        </w:sectPr>
      </w:pPr>
    </w:p>
    <w:bookmarkStart w:id="4" w:name="page5"/>
    <w:bookmarkEnd w:id="4"/>
    <w:p>
      <w:pPr>
        <w:ind w:right="600"/>
        <w:spacing w:after="0" w:line="234" w:lineRule="auto"/>
        <w:rPr>
          <w:sz w:val="20"/>
          <w:szCs w:val="20"/>
          <w:color w:val="auto"/>
        </w:rPr>
      </w:pPr>
      <w:r>
        <w:rPr>
          <w:rFonts w:ascii="Calibri" w:cs="Calibri" w:eastAsia="Calibri" w:hAnsi="Calibri"/>
          <w:sz w:val="20"/>
          <w:szCs w:val="20"/>
          <w:color w:val="auto"/>
        </w:rPr>
        <w:t>Segment income growth for the quarter was driven by favorable pricing, partally ofset by unfavorable volume and mix, as well as infaton.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For frst-quarter 2024, net revenues were $24 million, an increase of 180.8%, compared to an unusually light frst quarter a year ago.</w:t>
      </w:r>
    </w:p>
    <w:p>
      <w:pPr>
        <w:spacing w:after="0" w:line="225" w:lineRule="auto"/>
        <w:rPr>
          <w:sz w:val="20"/>
          <w:szCs w:val="20"/>
          <w:color w:val="auto"/>
        </w:rPr>
      </w:pPr>
      <w:r>
        <w:rPr>
          <w:rFonts w:ascii="Calibri" w:cs="Calibri" w:eastAsia="Calibri" w:hAnsi="Calibri"/>
          <w:sz w:val="20"/>
          <w:szCs w:val="20"/>
          <w:color w:val="auto"/>
        </w:rPr>
        <w:t>Segment income increased 606.7% to $11 million.</w:t>
      </w:r>
    </w:p>
    <w:p>
      <w:pPr>
        <w:spacing w:after="0" w:line="158" w:lineRule="exact"/>
        <w:rPr>
          <w:sz w:val="20"/>
          <w:szCs w:val="20"/>
          <w:color w:val="auto"/>
        </w:rPr>
      </w:pPr>
    </w:p>
    <w:p>
      <w:pPr>
        <w:ind w:right="360"/>
        <w:spacing w:after="0" w:line="228" w:lineRule="auto"/>
        <w:rPr>
          <w:sz w:val="20"/>
          <w:szCs w:val="20"/>
          <w:color w:val="auto"/>
        </w:rPr>
      </w:pPr>
      <w:r>
        <w:rPr>
          <w:rFonts w:ascii="Calibri" w:cs="Calibri" w:eastAsia="Calibri" w:hAnsi="Calibri"/>
          <w:sz w:val="20"/>
          <w:szCs w:val="20"/>
          <w:color w:val="auto"/>
        </w:rPr>
        <w:t>Increases in net revenues, segment income and segment income margin for the frst-quarter 2024 were primarily driven by favorable volume and mix related to the tming of reactor harvest schedules.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90"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For frst-quarter 2024, net revenues were $58 million, an increase of 10.8% compared to the frst quarter a year ago. Segment income increased 8.8% to $15 million.</w:t>
      </w:r>
    </w:p>
    <w:p>
      <w:pPr>
        <w:spacing w:after="0" w:line="145" w:lineRule="exact"/>
        <w:rPr>
          <w:sz w:val="20"/>
          <w:szCs w:val="20"/>
          <w:color w:val="auto"/>
        </w:rPr>
      </w:pPr>
    </w:p>
    <w:p>
      <w:pPr>
        <w:ind w:right="260"/>
        <w:spacing w:after="0" w:line="228" w:lineRule="auto"/>
        <w:rPr>
          <w:sz w:val="20"/>
          <w:szCs w:val="20"/>
          <w:color w:val="auto"/>
        </w:rPr>
      </w:pPr>
      <w:r>
        <w:rPr>
          <w:rFonts w:ascii="Calibri" w:cs="Calibri" w:eastAsia="Calibri" w:hAnsi="Calibri"/>
          <w:sz w:val="20"/>
          <w:szCs w:val="20"/>
          <w:color w:val="auto"/>
        </w:rPr>
        <w:t>Net revenue and segment income growth for the frst-quarter 2024 were primarily driven by volume and mix improvements as well as favorable pricing.</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Balance Sheet and Liquidity</w:t>
      </w:r>
    </w:p>
    <w:p>
      <w:pPr>
        <w:spacing w:after="0" w:line="90" w:lineRule="exact"/>
        <w:rPr>
          <w:sz w:val="20"/>
          <w:szCs w:val="20"/>
          <w:color w:val="auto"/>
        </w:rPr>
      </w:pPr>
    </w:p>
    <w:p>
      <w:pPr>
        <w:ind w:right="160"/>
        <w:spacing w:after="0" w:line="235" w:lineRule="auto"/>
        <w:rPr>
          <w:sz w:val="20"/>
          <w:szCs w:val="20"/>
          <w:color w:val="auto"/>
        </w:rPr>
      </w:pPr>
      <w:r>
        <w:rPr>
          <w:rFonts w:ascii="Calibri" w:cs="Calibri" w:eastAsia="Calibri" w:hAnsi="Calibri"/>
          <w:sz w:val="20"/>
          <w:szCs w:val="20"/>
          <w:color w:val="auto"/>
        </w:rPr>
        <w:t>As of March 31, 2024, Sotera Health had $2.3 billion in total debt, and $261 million in cash and cash equivalents, compared to $2.3 billion in total debt and $296 million in cash and cash equivalents as of December 31, 2023. As of March 31, 2024, the Company had no balance outstanding on its revolving credit facility. Material debt balances currently outstanding do not mature untl 2026. Sotera Health’s Net Leverage Rato</w:t>
      </w:r>
      <w:r>
        <w:rPr>
          <w:rFonts w:ascii="Calibri" w:cs="Calibri" w:eastAsia="Calibri" w:hAnsi="Calibri"/>
          <w:sz w:val="23"/>
          <w:szCs w:val="23"/>
          <w:color w:val="auto"/>
          <w:vertAlign w:val="superscript"/>
        </w:rPr>
        <w:t>(2)</w:t>
      </w:r>
      <w:r>
        <w:rPr>
          <w:rFonts w:ascii="Calibri" w:cs="Calibri" w:eastAsia="Calibri" w:hAnsi="Calibri"/>
          <w:sz w:val="20"/>
          <w:szCs w:val="20"/>
          <w:color w:val="auto"/>
        </w:rPr>
        <w:t xml:space="preserve"> as of March 31, 2024 was 3.8x, consistent with December 31, 2023.</w:t>
      </w:r>
    </w:p>
    <w:p>
      <w:pPr>
        <w:spacing w:after="0" w:line="101"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On March 1, 2024 the Company extended the maturity of its revolving credit facility to the earlier of March 1, 2029 and the date that is 91 days prior to the maturity date of its existng term loans.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Reafrming 2024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reafrming the 2024 outlook frst provided on February 27, 2024. As a reminder, the outlook is:</w:t>
      </w:r>
    </w:p>
    <w:p>
      <w:pPr>
        <w:spacing w:after="0" w:line="10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Net revenues and Adjusted EBITDA growth in the range of 4.0% to 6.0%,</w:t>
      </w:r>
    </w:p>
    <w:p>
      <w:pPr>
        <w:spacing w:after="0" w:line="1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Interest Expense in the range of $170 million to $180 million,</w:t>
      </w:r>
    </w:p>
    <w:p>
      <w:pPr>
        <w:spacing w:after="0" w:line="14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Tax rate applicable to Adjusted Net Income</w:t>
      </w:r>
      <w:r>
        <w:rPr>
          <w:rFonts w:ascii="Calibri" w:cs="Calibri" w:eastAsia="Calibri" w:hAnsi="Calibri"/>
          <w:sz w:val="23"/>
          <w:szCs w:val="23"/>
          <w:color w:val="auto"/>
          <w:vertAlign w:val="superscript"/>
        </w:rPr>
        <w:t>(2)</w:t>
      </w:r>
      <w:r>
        <w:rPr>
          <w:rFonts w:ascii="Calibri" w:cs="Calibri" w:eastAsia="Calibri" w:hAnsi="Calibri"/>
          <w:sz w:val="20"/>
          <w:szCs w:val="20"/>
          <w:color w:val="auto"/>
        </w:rPr>
        <w:t xml:space="preserve"> in the range of 31.5% to 34.5%,</w:t>
      </w:r>
    </w:p>
    <w:p>
      <w:pPr>
        <w:spacing w:after="0" w:line="6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Adjusted EPS in the range of $0.67 to $0.75,</w:t>
      </w:r>
    </w:p>
    <w:p>
      <w:pPr>
        <w:spacing w:after="0" w:line="1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A weighted-average fully diluted share count in the range of 283 million to 285 million shares,</w:t>
      </w:r>
    </w:p>
    <w:p>
      <w:pPr>
        <w:spacing w:after="0" w:line="1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Calibri" w:cs="Calibri" w:eastAsia="Calibri" w:hAnsi="Calibri"/>
          <w:sz w:val="20"/>
          <w:szCs w:val="20"/>
          <w:color w:val="auto"/>
        </w:rPr>
        <w:t>Capital expenditures in the range of $205 million to $225 million.</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Adjusted EPS and Net Leverage Rato without unreasonable efort because certain items that impact net income, earnings per share and other reconciling metrics are out of the Company’s control and/or cannot be reasonably predicted at this tme, including uncertaintes caused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3" w:lineRule="exact"/>
        <w:rPr>
          <w:sz w:val="20"/>
          <w:szCs w:val="20"/>
          <w:color w:val="auto"/>
        </w:rPr>
      </w:pPr>
    </w:p>
    <w:p>
      <w:pPr>
        <w:ind w:right="220" w:firstLine="8"/>
        <w:spacing w:after="0" w:line="245" w:lineRule="auto"/>
        <w:tabs>
          <w:tab w:leader="none" w:pos="150" w:val="left"/>
        </w:tabs>
        <w:numPr>
          <w:ilvl w:val="0"/>
          <w:numId w:val="4"/>
        </w:numPr>
        <w:rPr>
          <w:rFonts w:ascii="Arial" w:cs="Arial" w:eastAsia="Arial" w:hAnsi="Arial"/>
          <w:sz w:val="17"/>
          <w:szCs w:val="17"/>
          <w:color w:val="auto"/>
          <w:vertAlign w:val="superscript"/>
        </w:rPr>
      </w:pPr>
      <w:r>
        <w:rPr>
          <w:rFonts w:ascii="Calibri" w:cs="Calibri" w:eastAsia="Calibri" w:hAnsi="Calibri"/>
          <w:sz w:val="12"/>
          <w:szCs w:val="12"/>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993" w:right="339" w:bottom="1440" w:gutter="0" w:footer="0" w:header="0"/>
        </w:sectPr>
      </w:pPr>
    </w:p>
    <w:bookmarkStart w:id="5" w:name="page6"/>
    <w:bookmarkEnd w:id="5"/>
    <w:p>
      <w:pPr>
        <w:ind w:right="40"/>
        <w:spacing w:after="0" w:line="228" w:lineRule="auto"/>
        <w:rPr>
          <w:sz w:val="20"/>
          <w:szCs w:val="20"/>
          <w:color w:val="auto"/>
        </w:rPr>
      </w:pPr>
      <w:r>
        <w:rPr>
          <w:rFonts w:ascii="Calibri" w:cs="Calibri" w:eastAsia="Calibri" w:hAnsi="Calibri"/>
          <w:sz w:val="20"/>
          <w:szCs w:val="20"/>
          <w:color w:val="auto"/>
        </w:rPr>
        <w:t>changes to the regulatory landscape, restructuring items and certain fair value measurements, all of which are potental adjustments for future earnings.</w:t>
      </w:r>
    </w:p>
    <w:p>
      <w:pPr>
        <w:spacing w:after="0" w:line="157"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EO and Cobalt-60, the impact of infatonary trends including their impact on energy prices and the supply of labor, and the expectaton that exchange rates as of March 31, 2024 remain constant for the remainder of 2024. Our outlook is based on current plans and expectatons and is subject to a several known and unknown risks and uncertaintes, including those set forth below under “Cautonary Note Regarding Forward-Looking Statements.”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103"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 xml:space="preserve">Sotera Health management will host a conference call and webcast to discuss the Company’s operatng highlights and fnancial results at 9:00 a.m. Eastern Time today. To partcipate in the live call, please dial 1-844-481-2916 if dialing in from the United States, or 1-412-317-0709 if dialing in from other locatons. A live webcast of the conference call and accompanying materials may also be accessed via the Investor Relatons secton of the Company’s website at </w:t>
      </w:r>
      <w:r>
        <w:rPr>
          <w:rFonts w:ascii="Calibri" w:cs="Calibri" w:eastAsia="Calibri" w:hAnsi="Calibri"/>
          <w:sz w:val="20"/>
          <w:szCs w:val="20"/>
          <w:u w:val="single" w:color="auto"/>
          <w:color w:val="3051F2"/>
        </w:rPr>
        <w:t>Presentaton &amp; Events | Sotera Health</w:t>
      </w:r>
      <w:r>
        <w:rPr>
          <w:rFonts w:ascii="Calibri" w:cs="Calibri" w:eastAsia="Calibri" w:hAnsi="Calibri"/>
          <w:sz w:val="20"/>
          <w:szCs w:val="20"/>
          <w:color w:val="auto"/>
        </w:rPr>
        <w:t>. A replay of the webcast will be archived on the Company’s website.</w:t>
      </w:r>
    </w:p>
    <w:p>
      <w:pPr>
        <w:spacing w:after="0" w:line="148"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 xml:space="preserve">Updates on recent developments in maters relevant to investors can be found on the Investor Relatons secton of the Sotera Health website at </w:t>
      </w:r>
      <w:r>
        <w:rPr>
          <w:rFonts w:ascii="Calibri" w:cs="Calibri" w:eastAsia="Calibri" w:hAnsi="Calibri"/>
          <w:sz w:val="20"/>
          <w:szCs w:val="20"/>
          <w:u w:val="single" w:color="auto"/>
          <w:color w:val="3051F2"/>
        </w:rPr>
        <w:t>Investor Relatons | Sotera Health</w:t>
      </w:r>
      <w:r>
        <w:rPr>
          <w:rFonts w:ascii="Calibri" w:cs="Calibri" w:eastAsia="Calibri" w:hAnsi="Calibri"/>
          <w:sz w:val="20"/>
          <w:szCs w:val="20"/>
          <w:color w:val="auto"/>
        </w:rPr>
        <w:t xml:space="preserve">. For developments related to EO, updates can be found at </w:t>
      </w:r>
      <w:r>
        <w:rPr>
          <w:rFonts w:ascii="Calibri" w:cs="Calibri" w:eastAsia="Calibri" w:hAnsi="Calibri"/>
          <w:sz w:val="20"/>
          <w:szCs w:val="20"/>
          <w:u w:val="single" w:color="auto"/>
          <w:color w:val="3051F2"/>
        </w:rPr>
        <w:t>Ethylene Oxide | Sotera Health</w:t>
      </w:r>
      <w:r>
        <w:rPr>
          <w:rFonts w:ascii="Calibri" w:cs="Calibri" w:eastAsia="Calibri" w:hAnsi="Calibri"/>
          <w:sz w:val="20"/>
          <w:szCs w:val="20"/>
          <w:color w:val="auto"/>
        </w:rPr>
        <w: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Upcoming Investor Events</w:t>
      </w:r>
    </w:p>
    <w:p>
      <w:pPr>
        <w:spacing w:after="0" w:line="80" w:lineRule="exact"/>
        <w:rPr>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RBC 2024 Global Healthcare Conference at 9:30 a.m. Eastern Time, May 15, 2024</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Sotera Health 2024 Annual Meetng of Shareholders at 9:00 a.m. Eastern Time, May 23, 2024</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Jeferies Global Healthcare Conference, June 5, 2024</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Goldman Sachs 45th annual Global Healthcare Conference, June 12, 2024</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spacing w:after="0" w:line="144"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versions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ethylene oxide (“EO”) or Cobalt-60, or our other direct materials, services and supplies, including as a result of geopolitcal instability and/or sanctons against Russia; fuctuatons in foreign currency exchange rates; changes in industry trends, environmental, health and safety regulatons or preferences, and general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20"/>
          </w:cols>
          <w:pgMar w:left="320" w:top="1074" w:right="359" w:bottom="1440" w:gutter="0" w:footer="0" w:header="0"/>
        </w:sectPr>
      </w:pPr>
    </w:p>
    <w:bookmarkStart w:id="6" w:name="page7"/>
    <w:bookmarkEnd w:id="6"/>
    <w:p>
      <w:pPr>
        <w:spacing w:after="0" w:line="233" w:lineRule="auto"/>
        <w:rPr>
          <w:sz w:val="20"/>
          <w:szCs w:val="20"/>
          <w:color w:val="auto"/>
        </w:rPr>
      </w:pPr>
      <w:r>
        <w:rPr>
          <w:rFonts w:ascii="Calibri" w:cs="Calibri" w:eastAsia="Calibri" w:hAnsi="Calibri"/>
          <w:sz w:val="20"/>
          <w:szCs w:val="20"/>
          <w:color w:val="auto"/>
        </w:rPr>
        <w:t>economic, social and business conditons; the impact and outcome of current and future legal proceedings and liability claims, including litgaton related to use of EO and/or emission and releases of EO from our facilites in California, Georgia, Illinois and New Mexico and the possibility that other claims will be made in the future relatng to these or other facilites; our ability to increase capacity at existng facilites, build new facilites in a tmely and cost-efectve manner and renew leases for our leased facilites; our ability to atract and retain qualifed employees; the risks of doing business internatonally, including global and regional economic and politcal instability and compliance with numerous and sometmes inconsistent laws and regulatons in multple jurisdictons; and an inability to pursue strategic transactons, fnd suitable acquisiton targets, or integrate strategic acquisitons into our business successfully.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90" w:lineRule="exact"/>
        <w:rPr>
          <w:sz w:val="20"/>
          <w:szCs w:val="20"/>
          <w:color w:val="auto"/>
        </w:rPr>
      </w:pPr>
    </w:p>
    <w:p>
      <w:pPr>
        <w:ind w:right="22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EBITDA margin, Adjusted Net Income, Adjusted EPS, Segment income margin, Net Debt and Net Leverage Rato and constant currency, fnancial measures that are not based on any standardized methodology prescribed by GAAP.</w:t>
      </w:r>
    </w:p>
    <w:p>
      <w:pPr>
        <w:spacing w:after="0" w:line="146"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145"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135"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margin is equal to Adjusted EBITDA divided by net revenues.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Segment income margin is equal to segment income divided by net segment revenues.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net of unamortzed debt issuance costs and debt discounts, less cash and cash equivalents.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130"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993" w:right="359" w:bottom="1440" w:gutter="0" w:footer="0" w:header="0"/>
        </w:sectPr>
      </w:pPr>
    </w:p>
    <w:bookmarkStart w:id="7" w:name="page8"/>
    <w:bookmarkEnd w:id="7"/>
    <w:p>
      <w:pPr>
        <w:ind w:right="120"/>
        <w:spacing w:after="0" w:line="234"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measures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without these measures and their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RELATIONS CONTACT</w:t>
      </w:r>
    </w:p>
    <w:p>
      <w:pPr>
        <w:spacing w:after="0" w:line="238" w:lineRule="auto"/>
        <w:rPr>
          <w:sz w:val="20"/>
          <w:szCs w:val="20"/>
          <w:color w:val="auto"/>
        </w:rPr>
      </w:pPr>
      <w:r>
        <w:rPr>
          <w:rFonts w:ascii="Calibri" w:cs="Calibri" w:eastAsia="Calibri" w:hAnsi="Calibri"/>
          <w:sz w:val="20"/>
          <w:szCs w:val="20"/>
          <w:color w:val="auto"/>
        </w:rPr>
        <w:t>Jason Peterson</w:t>
      </w:r>
    </w:p>
    <w:p>
      <w:pPr>
        <w:spacing w:after="0" w:line="226" w:lineRule="auto"/>
        <w:rPr>
          <w:sz w:val="20"/>
          <w:szCs w:val="20"/>
          <w:color w:val="auto"/>
        </w:rPr>
      </w:pPr>
      <w:r>
        <w:rPr>
          <w:rFonts w:ascii="Calibri" w:cs="Calibri" w:eastAsia="Calibri" w:hAnsi="Calibri"/>
          <w:sz w:val="20"/>
          <w:szCs w:val="20"/>
          <w:color w:val="auto"/>
        </w:rPr>
        <w:t>Vice President &amp; Treasurer, Sotera Health</w:t>
      </w:r>
    </w:p>
    <w:p>
      <w:pPr>
        <w:spacing w:after="0"/>
        <w:rPr>
          <w:sz w:val="20"/>
          <w:szCs w:val="20"/>
          <w:color w:val="auto"/>
        </w:rPr>
      </w:pPr>
      <w:r>
        <w:rPr>
          <w:rFonts w:ascii="Calibri" w:cs="Calibri" w:eastAsia="Calibri" w:hAnsi="Calibri"/>
          <w:sz w:val="20"/>
          <w:szCs w:val="20"/>
          <w:u w:val="single" w:color="auto"/>
          <w:color w:val="0E32E1"/>
        </w:rPr>
        <w:t>IR@soterahealth.com</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225" w:lineRule="auto"/>
        <w:rPr>
          <w:sz w:val="20"/>
          <w:szCs w:val="20"/>
          <w:color w:val="auto"/>
        </w:rPr>
      </w:pPr>
      <w:r>
        <w:rPr>
          <w:rFonts w:ascii="Calibri" w:cs="Calibri" w:eastAsia="Calibri" w:hAnsi="Calibri"/>
          <w:sz w:val="20"/>
          <w:szCs w:val="20"/>
          <w:color w:val="auto"/>
        </w:rPr>
        <w:t>Kristn Gibbs</w:t>
      </w:r>
    </w:p>
    <w:p>
      <w:pPr>
        <w:spacing w:after="0"/>
        <w:rPr>
          <w:sz w:val="20"/>
          <w:szCs w:val="20"/>
          <w:color w:val="auto"/>
        </w:rPr>
      </w:pPr>
      <w:r>
        <w:rPr>
          <w:rFonts w:ascii="Calibri" w:cs="Calibri" w:eastAsia="Calibri" w:hAnsi="Calibri"/>
          <w:sz w:val="20"/>
          <w:szCs w:val="20"/>
          <w:color w:val="auto"/>
        </w:rPr>
        <w:t>Chief Marketng Ofcer, Sotera Health</w:t>
      </w:r>
    </w:p>
    <w:p>
      <w:pPr>
        <w:spacing w:after="0" w:line="225" w:lineRule="auto"/>
        <w:rPr>
          <w:sz w:val="20"/>
          <w:szCs w:val="20"/>
          <w:color w:val="auto"/>
        </w:rPr>
      </w:pPr>
      <w:r>
        <w:rPr>
          <w:rFonts w:ascii="Calibri" w:cs="Calibri" w:eastAsia="Calibri" w:hAnsi="Calibri"/>
          <w:sz w:val="20"/>
          <w:szCs w:val="20"/>
          <w:u w:val="single" w:color="auto"/>
          <w:color w:val="0E32E1"/>
        </w:rPr>
        <w:t>kgibbs@soterahealth.com</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242"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100"/>
          </w:cols>
          <w:pgMar w:left="320" w:top="993"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46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226,481</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214,510</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248,176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220,590</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104,210</w:t>
            </w: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121,061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109,087</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111,503</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58,209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w:t>
            </w:r>
          </w:p>
        </w:tc>
      </w:tr>
      <w:tr>
        <w:trPr>
          <w:trHeight w:val="229"/>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78,137</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73,941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78,137</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6,323</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2,842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280,691</w:t>
            </w:r>
          </w:p>
        </w:tc>
      </w:tr>
      <w:tr>
        <w:trPr>
          <w:trHeight w:val="238"/>
        </w:trPr>
        <w:tc>
          <w:tcPr>
            <w:tcW w:w="4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284,062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282,977</w:t>
            </w:r>
          </w:p>
        </w:tc>
      </w:tr>
      <w:tr>
        <w:trPr>
          <w:trHeight w:val="697"/>
        </w:trPr>
        <w:tc>
          <w:tcPr>
            <w:tcW w:w="4680" w:type="dxa"/>
            <w:vAlign w:val="bottom"/>
          </w:tcPr>
          <w:p>
            <w:pPr>
              <w:spacing w:after="0"/>
              <w:rPr>
                <w:sz w:val="24"/>
                <w:szCs w:val="24"/>
                <w:color w:val="auto"/>
              </w:rPr>
            </w:pPr>
          </w:p>
        </w:tc>
        <w:tc>
          <w:tcPr>
            <w:tcW w:w="3800" w:type="dxa"/>
            <w:vAlign w:val="bottom"/>
          </w:tcPr>
          <w:p>
            <w:pPr>
              <w:jc w:val="right"/>
              <w:ind w:right="2730"/>
              <w:spacing w:after="0"/>
              <w:rPr>
                <w:sz w:val="20"/>
                <w:szCs w:val="20"/>
                <w:color w:val="auto"/>
              </w:rPr>
            </w:pPr>
            <w:r>
              <w:rPr>
                <w:rFonts w:ascii="Calibri" w:cs="Calibri" w:eastAsia="Calibri" w:hAnsi="Calibri"/>
                <w:sz w:val="18"/>
                <w:szCs w:val="18"/>
                <w:color w:val="auto"/>
              </w:rPr>
              <w:t>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00"/>
          </w:cols>
          <w:pgMar w:left="340" w:top="122"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166,497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82,840</w:t>
            </w:r>
          </w:p>
        </w:tc>
        <w:tc>
          <w:tcPr>
            <w:tcW w:w="0" w:type="dxa"/>
            <w:vAlign w:val="bottom"/>
          </w:tcPr>
          <w:p>
            <w:pPr>
              <w:spacing w:after="0"/>
              <w:rPr>
                <w:sz w:val="1"/>
                <w:szCs w:val="1"/>
                <w:color w:val="auto"/>
              </w:rPr>
            </w:pPr>
          </w:p>
        </w:tc>
      </w:tr>
      <w:tr>
        <w:trPr>
          <w:trHeight w:val="229"/>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98,468</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39,538</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foreign currency and derivatives not designated as hedging instruments, net</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Refinancing and secondary offering costs</w:t>
            </w:r>
            <w:r>
              <w:rPr>
                <w:rFonts w:ascii="Times New Roman" w:cs="Times New Roman" w:eastAsia="Times New Roman" w:hAnsi="Times New Roman"/>
                <w:sz w:val="23"/>
                <w:szCs w:val="23"/>
                <w:color w:val="auto"/>
                <w:vertAlign w:val="superscript"/>
              </w:rPr>
              <w:t>(f)</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(g)</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Accretion of asset retirement obligations</w:t>
            </w:r>
            <w:r>
              <w:rPr>
                <w:rFonts w:ascii="Times New Roman" w:cs="Times New Roman" w:eastAsia="Times New Roman" w:hAnsi="Times New Roman"/>
                <w:sz w:val="23"/>
                <w:szCs w:val="23"/>
                <w:color w:val="auto"/>
                <w:vertAlign w:val="superscript"/>
              </w:rPr>
              <w:t>(h)</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right="380" w:hanging="492"/>
        <w:spacing w:after="0" w:line="272" w:lineRule="auto"/>
        <w:tabs>
          <w:tab w:leader="none" w:pos="49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net presented in this reconciliation for the three months ended March 31, 2023 has been adjusted to conform to the current year presentation to include interest expense, net on Term Loan B attributable to the loan proceeds that were used to fund the $408.0 million Illinois EO litigation settlement.</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45"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auto"/>
        </w:rPr>
      </w:pPr>
    </w:p>
    <w:p>
      <w:pPr>
        <w:ind w:left="500" w:right="60" w:hanging="492"/>
        <w:spacing w:after="0" w:line="281"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auto"/>
        </w:rPr>
      </w:pPr>
    </w:p>
    <w:p>
      <w:pPr>
        <w:ind w:left="500" w:right="60" w:hanging="492"/>
        <w:spacing w:after="0" w:line="260" w:lineRule="auto"/>
        <w:tabs>
          <w:tab w:leader="none" w:pos="49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6"/>
          <w:szCs w:val="16"/>
          <w:color w:val="auto"/>
        </w:rPr>
      </w:pPr>
    </w:p>
    <w:p>
      <w:pPr>
        <w:ind w:left="500" w:right="220" w:hanging="492"/>
        <w:spacing w:after="0" w:line="272"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spacing w:after="0" w:line="1" w:lineRule="exact"/>
        <w:rPr>
          <w:rFonts w:ascii="Times New Roman" w:cs="Times New Roman" w:eastAsia="Times New Roman" w:hAnsi="Times New Roman"/>
          <w:sz w:val="16"/>
          <w:szCs w:val="16"/>
          <w:color w:val="auto"/>
        </w:rPr>
      </w:pPr>
    </w:p>
    <w:p>
      <w:pPr>
        <w:ind w:left="500" w:right="140" w:hanging="492"/>
        <w:spacing w:after="0" w:line="270" w:lineRule="auto"/>
        <w:tabs>
          <w:tab w:leader="none" w:pos="50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litigation and other professional fees associated with our EO sterilization facilities. Amounts presented for the three months ended March 31, 2023 have been adjusted to exclude interest expense, net associated with Term Loan B attributable to the loan proceeds that were used to fund the $408.0 million Illinois EO litigation settlement.</w:t>
      </w:r>
    </w:p>
    <w:p>
      <w:pPr>
        <w:ind w:left="500" w:right="120" w:hanging="492"/>
        <w:spacing w:after="0" w:line="280" w:lineRule="auto"/>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3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33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301,654</w:t>
            </w:r>
          </w:p>
        </w:tc>
        <w:tc>
          <w:tcPr>
            <w:tcW w:w="0" w:type="dxa"/>
            <w:vAlign w:val="bottom"/>
          </w:tcPr>
          <w:p>
            <w:pPr>
              <w:spacing w:after="0"/>
              <w:rPr>
                <w:sz w:val="1"/>
                <w:szCs w:val="1"/>
                <w:color w:val="auto"/>
              </w:rPr>
            </w:pPr>
          </w:p>
        </w:tc>
      </w:tr>
      <w:tr>
        <w:trPr>
          <w:trHeight w:val="229"/>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557,244</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946,914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390,457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1,102,851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2,224,611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9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2,630,300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429,392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3,059,692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0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338"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4"/>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9"/>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6,323</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44,603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47,239</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(41,227)</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(16,210)</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9,699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33,871</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(34,890)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(34,853)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(44,968)</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long-term borrowings</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on long-term borrowings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on revolving credit facility</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(24,457)</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Buyout of leased facilities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(2,664)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(11,941)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273,916</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(1,739)</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 including 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(38,834)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263,886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301,654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396,294</w:t>
            </w:r>
          </w:p>
        </w:tc>
      </w:tr>
      <w:tr>
        <w:trPr>
          <w:trHeight w:val="252"/>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262,820</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660,180</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69,735</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35,456</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14,014</w:t>
            </w:r>
          </w:p>
        </w:tc>
      </w:tr>
      <w:tr>
        <w:trPr>
          <w:trHeight w:val="231"/>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included in accounts payable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15,454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13,061</w:t>
            </w:r>
          </w:p>
        </w:tc>
      </w:tr>
    </w:tbl>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22" w:right="339" w:bottom="1440" w:gutter="0" w:footer="0" w:header="0"/>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32"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6,323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2,842</w:t>
            </w: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20,124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20,607</w:t>
            </w:r>
          </w:p>
        </w:tc>
      </w:tr>
      <w:tr>
        <w:trPr>
          <w:trHeight w:val="218"/>
        </w:trPr>
        <w:tc>
          <w:tcPr>
            <w:tcW w:w="806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8,657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7,348</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Loss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1,230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535</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2,231</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Refinancing and secondary offering costs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1,807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6,339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13,972</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642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572</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(g)</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(9,546)</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(12,250)</w:t>
            </w:r>
          </w:p>
        </w:tc>
      </w:tr>
      <w:tr>
        <w:trPr>
          <w:trHeight w:val="208"/>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35,630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35,857</w:t>
            </w:r>
          </w:p>
        </w:tc>
      </w:tr>
      <w:tr>
        <w:trPr>
          <w:trHeight w:val="211"/>
        </w:trPr>
        <w:tc>
          <w:tcPr>
            <w:tcW w:w="806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(h)</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41,771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28,870</w:t>
            </w:r>
          </w:p>
        </w:tc>
      </w:tr>
      <w:tr>
        <w:trPr>
          <w:trHeight w:val="216"/>
        </w:trPr>
        <w:tc>
          <w:tcPr>
            <w:tcW w:w="8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20,306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18,931</w:t>
            </w:r>
          </w:p>
        </w:tc>
      </w:tr>
      <w:tr>
        <w:trPr>
          <w:trHeight w:val="216"/>
        </w:trPr>
        <w:tc>
          <w:tcPr>
            <w:tcW w:w="8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14,237</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14,810</w:t>
            </w:r>
          </w:p>
        </w:tc>
      </w:tr>
      <w:tr>
        <w:trPr>
          <w:trHeight w:val="210"/>
        </w:trPr>
        <w:tc>
          <w:tcPr>
            <w:tcW w:w="8060" w:type="dxa"/>
            <w:vAlign w:val="bottom"/>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111,944</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98,468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248,176</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220,590</w:t>
            </w:r>
          </w:p>
        </w:tc>
      </w:tr>
      <w:tr>
        <w:trPr>
          <w:trHeight w:val="21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44.6 %</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281,913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280,691</w:t>
            </w: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284,062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282,977</w:t>
            </w:r>
          </w:p>
        </w:tc>
      </w:tr>
      <w:tr>
        <w:trPr>
          <w:trHeight w:val="218"/>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0.02</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0.02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r>
      <w:tr>
        <w:trPr>
          <w:trHeight w:val="212"/>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r>
    </w:tbl>
    <w:p>
      <w:pPr>
        <w:spacing w:after="0" w:line="179" w:lineRule="exact"/>
        <w:rPr>
          <w:sz w:val="20"/>
          <w:szCs w:val="20"/>
          <w:color w:val="auto"/>
        </w:rPr>
      </w:pPr>
    </w:p>
    <w:p>
      <w:pPr>
        <w:ind w:left="472" w:hanging="472"/>
        <w:spacing w:after="0"/>
        <w:tabs>
          <w:tab w:leader="none" w:pos="47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40" w:hanging="492"/>
        <w:spacing w:after="0" w:line="267" w:lineRule="auto"/>
        <w:tabs>
          <w:tab w:leader="none" w:pos="49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ind w:left="492" w:right="40" w:hanging="492"/>
        <w:spacing w:after="0" w:line="252" w:lineRule="auto"/>
        <w:tabs>
          <w:tab w:leader="none" w:pos="4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w:t>
      </w:r>
    </w:p>
    <w:p>
      <w:pPr>
        <w:spacing w:after="0" w:line="1" w:lineRule="exact"/>
        <w:rPr>
          <w:rFonts w:ascii="Times New Roman" w:cs="Times New Roman" w:eastAsia="Times New Roman" w:hAnsi="Times New Roman"/>
          <w:sz w:val="16"/>
          <w:szCs w:val="16"/>
          <w:color w:val="auto"/>
        </w:rPr>
      </w:pPr>
    </w:p>
    <w:p>
      <w:pPr>
        <w:ind w:left="492" w:right="200" w:hanging="492"/>
        <w:spacing w:after="0" w:line="255" w:lineRule="auto"/>
        <w:tabs>
          <w:tab w:leader="none" w:pos="4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ind w:left="492" w:right="140" w:hanging="492"/>
        <w:spacing w:after="0" w:line="260" w:lineRule="auto"/>
        <w:tabs>
          <w:tab w:leader="none" w:pos="4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 Amounts presented for the three months ended March 31, 2023 have been adjusted to exclude interest expense, net associated with Term Loan B attributable to the loan proceeds that were used to fund the $408.0 million Illinois EO litigation settlement.</w:t>
      </w:r>
    </w:p>
    <w:p>
      <w:pPr>
        <w:spacing w:after="0" w:line="5" w:lineRule="exact"/>
        <w:rPr>
          <w:rFonts w:ascii="Times New Roman" w:cs="Times New Roman" w:eastAsia="Times New Roman" w:hAnsi="Times New Roman"/>
          <w:sz w:val="16"/>
          <w:szCs w:val="16"/>
          <w:color w:val="auto"/>
        </w:rPr>
      </w:pPr>
    </w:p>
    <w:p>
      <w:pPr>
        <w:ind w:left="492" w:right="100" w:hanging="492"/>
        <w:spacing w:after="0" w:line="260" w:lineRule="auto"/>
        <w:tabs>
          <w:tab w:leader="none" w:pos="4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ind w:left="492" w:hanging="492"/>
        <w:spacing w:after="0" w:line="255" w:lineRule="auto"/>
        <w:tabs>
          <w:tab w:leader="none" w:pos="49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492" w:right="360" w:hanging="492"/>
        <w:spacing w:after="0" w:line="253" w:lineRule="auto"/>
        <w:tabs>
          <w:tab w:leader="none" w:pos="492"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Interest expense, net presented in this reconciliation for the three months ended March 31, 2023 has been adjusted to conform to the current year presentation to include interest expense, net on Term Loan B attributable to the loan proceeds that were used to fund the $408.0 million Illinois EO litigation settlement.</w:t>
      </w:r>
    </w:p>
    <w:p>
      <w:pPr>
        <w:ind w:left="472" w:hanging="472"/>
        <w:spacing w:after="0"/>
        <w:tabs>
          <w:tab w:leader="none" w:pos="47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8" w:lineRule="exact"/>
        <w:rPr>
          <w:rFonts w:ascii="Times New Roman" w:cs="Times New Roman" w:eastAsia="Times New Roman" w:hAnsi="Times New Roman"/>
          <w:sz w:val="16"/>
          <w:szCs w:val="16"/>
          <w:color w:val="auto"/>
        </w:rPr>
      </w:pPr>
    </w:p>
    <w:p>
      <w:pPr>
        <w:ind w:left="492" w:right="160" w:hanging="492"/>
        <w:spacing w:after="0" w:line="255" w:lineRule="auto"/>
        <w:tabs>
          <w:tab w:leader="none" w:pos="483"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income tax provision or benefit as determined under U.S. GAAP and the income tax provision or benefit associated with pre-tax adjustments described in footnote (g).</w:t>
      </w:r>
    </w:p>
    <w:p>
      <w:pPr>
        <w:ind w:left="492" w:right="280" w:hanging="492"/>
        <w:spacing w:after="0" w:line="270" w:lineRule="auto"/>
        <w:tabs>
          <w:tab w:leader="none" w:pos="4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$23.8 million and $22.9 million of the adjustments for the three months ended March 31, 2024 and 2023, respectively, are included in cost of revenues, primarily consisting of amortization of intangible assets, depreciation, and accretion of asset retirement obligations.</w:t>
      </w:r>
    </w:p>
    <w:p>
      <w:pPr>
        <w:spacing w:after="0" w:line="375"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12"/>
          </w:cols>
          <w:pgMar w:left="328" w:top="122"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2,224,611</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90,858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2,321,767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2,301,035</w:t>
            </w:r>
          </w:p>
        </w:tc>
      </w:tr>
      <w:tr>
        <w:trPr>
          <w:trHeight w:val="196"/>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(296,407)</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2,060,634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2,004,628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541,505</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528,029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3.8x</w:t>
            </w:r>
          </w:p>
        </w:tc>
      </w:tr>
    </w:tbl>
    <w:p>
      <w:pPr>
        <w:spacing w:after="0" w:line="175" w:lineRule="exact"/>
        <w:rPr>
          <w:sz w:val="20"/>
          <w:szCs w:val="20"/>
          <w:color w:val="auto"/>
        </w:rPr>
      </w:pPr>
    </w:p>
    <w:p>
      <w:pPr>
        <w:ind w:left="500" w:right="80" w:hanging="492"/>
        <w:spacing w:after="0" w:line="298" w:lineRule="auto"/>
        <w:tabs>
          <w:tab w:leader="none" w:pos="4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adjusted EBITDA for the twelve months ended March 31, 2024 and December 31, 2023, respectively. Refer to the reconciliation of net income (the most comparable GAAP measure) to Adjusted EBITDA on the following page.</w:t>
      </w: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22" w:right="339" w:bottom="1440" w:gutter="0" w:footer="0" w:header="0"/>
        </w:sectPr>
      </w:pPr>
    </w:p>
    <w:bookmarkStart w:id="14" w:name="page15"/>
    <w:bookmarkEnd w:id="14"/>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152"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54,857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51,376</w:t>
            </w:r>
          </w:p>
        </w:tc>
      </w:tr>
      <w:tr>
        <w:trPr>
          <w:trHeight w:val="214"/>
        </w:trPr>
        <w:tc>
          <w:tcPr>
            <w:tcW w:w="7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80,865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81,348</w:t>
            </w:r>
          </w:p>
        </w:tc>
      </w:tr>
      <w:tr>
        <w:trPr>
          <w:trHeight w:val="218"/>
        </w:trPr>
        <w:tc>
          <w:tcPr>
            <w:tcW w:w="71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33,673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32,364</w:t>
            </w:r>
          </w:p>
        </w:tc>
      </w:tr>
      <w:tr>
        <w:trPr>
          <w:trHeight w:val="216"/>
        </w:trPr>
        <w:tc>
          <w:tcPr>
            <w:tcW w:w="71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(1,552)</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7,662</w:t>
            </w:r>
          </w:p>
        </w:tc>
      </w:tr>
      <w:tr>
        <w:trPr>
          <w:trHeight w:val="216"/>
        </w:trPr>
        <w:tc>
          <w:tcPr>
            <w:tcW w:w="71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Refinancing and secondary offering costs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37,679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45,312</w:t>
            </w:r>
          </w:p>
        </w:tc>
      </w:tr>
      <w:tr>
        <w:trPr>
          <w:trHeight w:val="216"/>
        </w:trPr>
        <w:tc>
          <w:tcPr>
            <w:tcW w:w="71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35,000</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(g)</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2,483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2,413</w:t>
            </w:r>
          </w:p>
        </w:tc>
      </w:tr>
      <w:tr>
        <w:trPr>
          <w:trHeight w:val="216"/>
        </w:trPr>
        <w:tc>
          <w:tcPr>
            <w:tcW w:w="71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(46,893)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(49,597)</w:t>
            </w:r>
          </w:p>
        </w:tc>
      </w:tr>
      <w:tr>
        <w:trPr>
          <w:trHeight w:val="20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204,099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204,326</w:t>
            </w:r>
          </w:p>
        </w:tc>
      </w:tr>
      <w:tr>
        <w:trPr>
          <w:trHeight w:val="210"/>
        </w:trPr>
        <w:tc>
          <w:tcPr>
            <w:tcW w:w="716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(i)</w:t>
            </w:r>
          </w:p>
        </w:tc>
        <w:tc>
          <w:tcPr>
            <w:tcW w:w="2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155,779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142,878</w:t>
            </w:r>
          </w:p>
        </w:tc>
      </w:tr>
      <w:tr>
        <w:trPr>
          <w:trHeight w:val="216"/>
        </w:trPr>
        <w:tc>
          <w:tcPr>
            <w:tcW w:w="7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(j)</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77,952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76,577</w:t>
            </w:r>
          </w:p>
        </w:tc>
      </w:tr>
      <w:tr>
        <w:trPr>
          <w:trHeight w:val="216"/>
        </w:trPr>
        <w:tc>
          <w:tcPr>
            <w:tcW w:w="71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(k)</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103,675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104,248</w:t>
            </w:r>
          </w:p>
        </w:tc>
      </w:tr>
      <w:tr>
        <w:trPr>
          <w:trHeight w:val="235"/>
        </w:trPr>
        <w:tc>
          <w:tcPr>
            <w:tcW w:w="71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541,505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528,029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1,076,874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1,049,288</w:t>
            </w:r>
          </w:p>
        </w:tc>
      </w:tr>
      <w:tr>
        <w:trPr>
          <w:trHeight w:val="21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50.3 %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r>
    </w:tbl>
    <w:p>
      <w:pPr>
        <w:spacing w:after="0" w:line="179" w:lineRule="exact"/>
        <w:rPr>
          <w:sz w:val="20"/>
          <w:szCs w:val="20"/>
          <w:color w:val="auto"/>
        </w:rPr>
      </w:pPr>
    </w:p>
    <w:p>
      <w:pPr>
        <w:ind w:left="472" w:hanging="472"/>
        <w:spacing w:after="0"/>
        <w:tabs>
          <w:tab w:leader="none" w:pos="47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45" w:lineRule="exact"/>
        <w:rPr>
          <w:rFonts w:ascii="Times New Roman" w:cs="Times New Roman" w:eastAsia="Times New Roman" w:hAnsi="Times New Roman"/>
          <w:sz w:val="16"/>
          <w:szCs w:val="16"/>
          <w:color w:val="231F20"/>
        </w:rPr>
      </w:pPr>
    </w:p>
    <w:p>
      <w:pPr>
        <w:ind w:left="492" w:right="40" w:hanging="492"/>
        <w:spacing w:after="0" w:line="281" w:lineRule="auto"/>
        <w:tabs>
          <w:tab w:leader="none" w:pos="49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ind w:left="492" w:right="40" w:hanging="492"/>
        <w:spacing w:after="0" w:line="260" w:lineRule="auto"/>
        <w:tabs>
          <w:tab w:leader="none" w:pos="4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twelve months ended December 31, 2023 includes a $1.0 million cancellation fee received from a tenant in connection with the termination of an office space lease at the Nordion facility.</w:t>
      </w:r>
    </w:p>
    <w:p>
      <w:pPr>
        <w:spacing w:after="0" w:line="5" w:lineRule="exact"/>
        <w:rPr>
          <w:rFonts w:ascii="Times New Roman" w:cs="Times New Roman" w:eastAsia="Times New Roman" w:hAnsi="Times New Roman"/>
          <w:sz w:val="16"/>
          <w:szCs w:val="16"/>
          <w:color w:val="auto"/>
        </w:rPr>
      </w:pPr>
    </w:p>
    <w:p>
      <w:pPr>
        <w:ind w:left="492" w:right="80" w:hanging="492"/>
        <w:spacing w:after="0" w:line="272" w:lineRule="auto"/>
        <w:tabs>
          <w:tab w:leader="none" w:pos="49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twelve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spacing w:after="0" w:line="1" w:lineRule="exact"/>
        <w:rPr>
          <w:rFonts w:ascii="Times New Roman" w:cs="Times New Roman" w:eastAsia="Times New Roman" w:hAnsi="Times New Roman"/>
          <w:sz w:val="16"/>
          <w:szCs w:val="16"/>
          <w:color w:val="auto"/>
        </w:rPr>
      </w:pPr>
    </w:p>
    <w:p>
      <w:pPr>
        <w:ind w:left="492" w:right="100" w:hanging="492"/>
        <w:spacing w:after="0" w:line="270" w:lineRule="auto"/>
        <w:tabs>
          <w:tab w:leader="none" w:pos="483"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 xml:space="preserve">Represents litigation and other professional fees associated with our EO sterilization facilities. Amounts presented for the twelve months ended March 31, 2024 and December 31, 2023 have been adjusted to exclude interest expense, net associated with Term Loan B attributable to the loan proceeds that were used to fund the </w:t>
      </w:r>
      <w:r>
        <w:rPr>
          <w:rFonts w:ascii="Times New Roman" w:cs="Times New Roman" w:eastAsia="Times New Roman" w:hAnsi="Times New Roman"/>
          <w:sz w:val="16"/>
          <w:szCs w:val="16"/>
          <w:color w:val="231F20"/>
        </w:rPr>
        <w:t xml:space="preserve">$408.0 million </w:t>
      </w:r>
      <w:r>
        <w:rPr>
          <w:rFonts w:ascii="Times New Roman" w:cs="Times New Roman" w:eastAsia="Times New Roman" w:hAnsi="Times New Roman"/>
          <w:sz w:val="16"/>
          <w:szCs w:val="16"/>
          <w:color w:val="000000"/>
        </w:rPr>
        <w:t>Illinois EO litigation settlement.</w:t>
      </w:r>
    </w:p>
    <w:p>
      <w:pPr>
        <w:ind w:left="492" w:right="140" w:hanging="492"/>
        <w:spacing w:after="0" w:line="272" w:lineRule="auto"/>
        <w:tabs>
          <w:tab w:leader="none" w:pos="49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79 pending EO claims against Sterigenics U.S., LLC and Sotera Health LLC in Georgia under a Settlement Term Sheet entered into on December 21, 2023.</w:t>
      </w:r>
    </w:p>
    <w:p>
      <w:pPr>
        <w:spacing w:after="0" w:line="1" w:lineRule="exact"/>
        <w:rPr>
          <w:rFonts w:ascii="Times New Roman" w:cs="Times New Roman" w:eastAsia="Times New Roman" w:hAnsi="Times New Roman"/>
          <w:sz w:val="16"/>
          <w:szCs w:val="16"/>
          <w:color w:val="auto"/>
        </w:rPr>
      </w:pPr>
    </w:p>
    <w:p>
      <w:pPr>
        <w:ind w:left="492" w:right="100" w:hanging="492"/>
        <w:spacing w:after="0" w:line="281" w:lineRule="auto"/>
        <w:tabs>
          <w:tab w:leader="none" w:pos="49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auto"/>
        </w:rPr>
      </w:pPr>
    </w:p>
    <w:p>
      <w:pPr>
        <w:ind w:left="492" w:hanging="492"/>
        <w:spacing w:after="0" w:line="272" w:lineRule="auto"/>
        <w:tabs>
          <w:tab w:leader="none" w:pos="49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92" w:right="380" w:hanging="492"/>
        <w:spacing w:after="0" w:line="270" w:lineRule="auto"/>
        <w:tabs>
          <w:tab w:leader="none" w:pos="483"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Interest expense, net presented in this reconciliation for the twelve months ended March 31, 2024 and December 31, 2023 has been adjusted to conform to the current year presentation to include interest expense, net on Term Loan B attributable to the loan proceeds that were used to fund the $408.0 million Illinois EO litigation settlement.</w:t>
      </w:r>
    </w:p>
    <w:p>
      <w:pPr>
        <w:ind w:left="472" w:hanging="472"/>
        <w:spacing w:after="0"/>
        <w:tabs>
          <w:tab w:leader="none" w:pos="47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45" w:lineRule="exact"/>
        <w:rPr>
          <w:rFonts w:ascii="Times New Roman" w:cs="Times New Roman" w:eastAsia="Times New Roman" w:hAnsi="Times New Roman"/>
          <w:sz w:val="16"/>
          <w:szCs w:val="16"/>
          <w:color w:val="auto"/>
        </w:rPr>
      </w:pPr>
    </w:p>
    <w:p>
      <w:pPr>
        <w:ind w:left="492" w:right="140" w:hanging="492"/>
        <w:spacing w:after="0" w:line="281" w:lineRule="auto"/>
        <w:tabs>
          <w:tab w:leader="none" w:pos="492"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income tax provision or benefit as determined under U.S. GAAP and the income tax provision or benefit associated with pre-tax adjustments described in footnote (h).</w:t>
      </w:r>
    </w:p>
    <w:p>
      <w:pPr>
        <w:spacing w:after="0" w:line="1" w:lineRule="exact"/>
        <w:rPr>
          <w:rFonts w:ascii="Times New Roman" w:cs="Times New Roman" w:eastAsia="Times New Roman" w:hAnsi="Times New Roman"/>
          <w:sz w:val="16"/>
          <w:szCs w:val="16"/>
          <w:color w:val="231F20"/>
        </w:rPr>
      </w:pPr>
    </w:p>
    <w:p>
      <w:pPr>
        <w:ind w:left="492" w:right="520" w:hanging="492"/>
        <w:spacing w:after="0" w:line="280" w:lineRule="auto"/>
        <w:tabs>
          <w:tab w:leader="none" w:pos="4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$95.0 million and $94.1 million of the adjustments for the twelve months ended March 31, 2024 and December 31, 2023, respectively, are included in cost of revenues, primarily consisting of amortization of intangible assets, depreciation, and accretion of asset retirement obligations.</w:t>
      </w:r>
    </w:p>
    <w:p>
      <w:pPr>
        <w:spacing w:after="0" w:line="367"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12</w:t>
      </w:r>
    </w:p>
    <w:sectPr>
      <w:pgSz w:w="11900" w:h="16838" w:orient="portrait"/>
      <w:cols w:equalWidth="0" w:num="1">
        <w:col w:w="11212"/>
      </w:cols>
      <w:pgMar w:left="328"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2024-05-02T06:27:47Z</dcterms:created>
  <dcterms:modified xsi:type="dcterms:W3CDTF">2024-05-02T06:27:47Z</dcterms:modified>
</cp:coreProperties>
</file>