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1300" w:type="dxa"/>
            <w:vAlign w:val="bottom"/>
          </w:tcPr>
          <w:p>
            <w:pPr>
              <w:spacing w:after="0"/>
              <w:rPr>
                <w:sz w:val="18"/>
                <w:szCs w:val="18"/>
                <w:color w:val="auto"/>
              </w:rPr>
            </w:pPr>
          </w:p>
        </w:tc>
        <w:tc>
          <w:tcPr>
            <w:tcW w:w="3660" w:type="dxa"/>
            <w:vAlign w:val="bottom"/>
            <w:gridSpan w:val="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47-3531161</w:t>
            </w:r>
          </w:p>
        </w:tc>
        <w:tc>
          <w:tcPr>
            <w:tcW w:w="200" w:type="dxa"/>
            <w:vAlign w:val="bottom"/>
          </w:tcPr>
          <w:p>
            <w:pPr>
              <w:spacing w:after="0"/>
              <w:rPr>
                <w:sz w:val="18"/>
                <w:szCs w:val="18"/>
                <w:color w:val="auto"/>
              </w:rPr>
            </w:pPr>
          </w:p>
        </w:tc>
      </w:tr>
      <w:tr>
        <w:trPr>
          <w:trHeight w:val="190"/>
        </w:trPr>
        <w:tc>
          <w:tcPr>
            <w:tcW w:w="49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80" w:type="dxa"/>
            <w:vAlign w:val="bottom"/>
            <w:gridSpan w:val="3"/>
          </w:tcPr>
          <w:p>
            <w:pPr>
              <w:jc w:val="center"/>
              <w:ind w:left="115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496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9100 South Hills Blvd, Suite 300</w:t>
            </w:r>
          </w:p>
        </w:tc>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4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Broadview Heights, Ohio</w:t>
            </w:r>
          </w:p>
        </w:tc>
        <w:tc>
          <w:tcPr>
            <w:tcW w:w="34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44147</w:t>
            </w:r>
          </w:p>
        </w:tc>
        <w:tc>
          <w:tcPr>
            <w:tcW w:w="200" w:type="dxa"/>
            <w:vAlign w:val="bottom"/>
          </w:tcPr>
          <w:p>
            <w:pPr>
              <w:spacing w:after="0"/>
              <w:rPr>
                <w:sz w:val="18"/>
                <w:szCs w:val="18"/>
                <w:color w:val="auto"/>
              </w:rPr>
            </w:pPr>
          </w:p>
        </w:tc>
      </w:tr>
      <w:tr>
        <w:trPr>
          <w:trHeight w:val="190"/>
        </w:trPr>
        <w:tc>
          <w:tcPr>
            <w:tcW w:w="49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30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300" w:type="dxa"/>
            <w:vAlign w:val="bottom"/>
          </w:tcPr>
          <w:p>
            <w:pPr>
              <w:spacing w:after="0"/>
              <w:rPr>
                <w:sz w:val="24"/>
                <w:szCs w:val="24"/>
                <w:color w:val="auto"/>
              </w:rPr>
            </w:pPr>
          </w:p>
        </w:tc>
        <w:tc>
          <w:tcPr>
            <w:tcW w:w="3660" w:type="dxa"/>
            <w:vAlign w:val="bottom"/>
            <w:gridSpan w:val="2"/>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3"/>
          </w:tcPr>
          <w:p>
            <w:pPr>
              <w:jc w:val="center"/>
              <w:ind w:left="115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3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200" w:type="dxa"/>
            <w:vAlign w:val="bottom"/>
          </w:tcPr>
          <w:p>
            <w:pPr>
              <w:spacing w:after="0"/>
              <w:rPr>
                <w:sz w:val="15"/>
                <w:szCs w:val="15"/>
                <w:color w:val="auto"/>
              </w:rPr>
            </w:pPr>
          </w:p>
        </w:tc>
      </w:tr>
      <w:tr>
        <w:trPr>
          <w:trHeight w:val="232"/>
        </w:trPr>
        <w:tc>
          <w:tcPr>
            <w:tcW w:w="496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680" w:type="dxa"/>
            <w:vAlign w:val="bottom"/>
            <w:gridSpan w:val="3"/>
          </w:tcPr>
          <w:p>
            <w:pPr>
              <w:jc w:val="center"/>
              <w:ind w:left="1157"/>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333-249648</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2"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REQUIRED IN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description of the common stock to be registered hereunder, par value $0.01 per share (the “Common Stock”), of Sotera Health Company, a Delaware corporation (the “Registrant”), as included under the caption “Description of Capital Stock” in the prospectus forming a part of the Registration Statement on Form S-1, as amended, originally filed with the Securities and Exchange Commission (the “Commission”) on October 23, 2020 (Registration No. 333-249648), including exhibits, and as may be subsequently amended from time to time (the “Registration Statement”), is hereby incorporated by reference.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780"/>
          </w:cols>
          <w:pgMar w:left="440" w:top="266" w:right="67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B. Petras, Jr.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2020-11-20T05:14:03Z</dcterms:created>
  <dcterms:modified xsi:type="dcterms:W3CDTF">2020-11-20T05:14:03Z</dcterms:modified>
</cp:coreProperties>
</file>