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27, 2021</w:t>
      </w:r>
    </w:p>
    <w:p>
      <w:pPr>
        <w:spacing w:after="0" w:line="2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SOTERA HEALTH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1240"/>
          </w:cols>
          <w:pgMar w:left="320" w:top="1165" w:right="339" w:bottom="1440" w:gutter="0" w:footer="0" w:header="0"/>
        </w:sectPr>
      </w:pPr>
    </w:p>
    <w:p>
      <w:pPr>
        <w:spacing w:after="0" w:line="39"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001-39729</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47-3531161</w:t>
      </w:r>
    </w:p>
    <w:p>
      <w:pPr>
        <w:spacing w:after="0" w:line="86" w:lineRule="exact"/>
        <w:rPr>
          <w:sz w:val="24"/>
          <w:szCs w:val="24"/>
          <w:color w:val="auto"/>
        </w:rPr>
      </w:pPr>
    </w:p>
    <w:p>
      <w:pPr>
        <w:sectPr>
          <w:pgSz w:w="11900" w:h="16838" w:orient="portrait"/>
          <w:cols w:equalWidth="0" w:num="3">
            <w:col w:w="4500" w:space="720"/>
            <w:col w:w="3040" w:space="720"/>
            <w:col w:w="2260"/>
          </w:cols>
          <w:pgMar w:left="320" w:top="1165" w:right="339" w:bottom="1440" w:gutter="0" w:footer="0" w:header="0"/>
          <w:type w:val="continuous"/>
        </w:sectPr>
      </w:pPr>
    </w:p>
    <w:p>
      <w:pPr>
        <w:ind w:left="54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65" w:right="339" w:bottom="1440" w:gutter="0" w:footer="0" w:header="0"/>
          <w:type w:val="continuous"/>
        </w:sectPr>
      </w:pPr>
    </w:p>
    <w:p>
      <w:pPr>
        <w:spacing w:after="0" w:line="1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9100 South Hills Blvd, Suite 300</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(440) 262-1410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20" w:top="1165" w:right="339" w:bottom="1440" w:gutter="0" w:footer="0" w:header="0"/>
          <w:type w:val="continuous"/>
        </w:sectPr>
      </w:pPr>
    </w:p>
    <w:p>
      <w:pPr>
        <w:spacing w:after="0" w:line="32"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63"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800" w:firstLine="26"/>
        <w:spacing w:after="0" w:line="512" w:lineRule="auto"/>
        <w:tabs>
          <w:tab w:leader="none" w:pos="39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Exchange</w:t>
            </w:r>
          </w:p>
        </w:tc>
      </w:tr>
      <w:tr>
        <w:trPr>
          <w:trHeight w:val="200"/>
        </w:trPr>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Title of Each Class</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6"/>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SHC</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On May 27, 2021 Sotera Health Company (the “Company”) held its 2021 Annual Meeting of Stockholders (the “Annual Meeting”). The Company’s stockholders voted on two proposals at the Annual Meeting, each of which is described in more detail in the Company’s definitive proxy statement filed with the Securities and Exchange Commission on April 15, 2021. Present at the Annual Meeting in person or by proxy were holders of 274,971,050 shares of common stock of the Company, representing 97.2% of the voting power of the shares of common stock of the Company as of the close of business on April 1, 2021, the record date for the Annual Meeting, and constituting a quorum for the transaction of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of the Company voted on the following items at the Annual Meeting:</w:t>
      </w:r>
    </w:p>
    <w:p>
      <w:pPr>
        <w:spacing w:after="0" w:line="225" w:lineRule="exact"/>
        <w:rPr>
          <w:sz w:val="20"/>
          <w:szCs w:val="20"/>
          <w:color w:val="auto"/>
        </w:rPr>
      </w:pPr>
    </w:p>
    <w:p>
      <w:pPr>
        <w:ind w:left="660" w:right="240" w:hanging="328"/>
        <w:spacing w:after="0" w:line="22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four directors as Class I directors to serve a three-year term until the 2024 annual meeting of stockholders and until their successors are duly elected and qualified.</w:t>
      </w:r>
    </w:p>
    <w:p>
      <w:pPr>
        <w:ind w:left="660" w:right="540" w:hanging="328"/>
        <w:spacing w:after="0" w:line="23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 the fiscal year ending December 31,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final results for each of these proposals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gridSpan w:val="4"/>
          </w:tcPr>
          <w:p>
            <w:pPr>
              <w:ind w:left="340"/>
              <w:spacing w:after="0"/>
              <w:rPr>
                <w:sz w:val="20"/>
                <w:szCs w:val="20"/>
                <w:color w:val="auto"/>
              </w:rPr>
            </w:pPr>
            <w:r>
              <w:rPr>
                <w:rFonts w:ascii="Arial" w:cs="Arial" w:eastAsia="Arial" w:hAnsi="Arial"/>
                <w:sz w:val="18"/>
                <w:szCs w:val="18"/>
                <w:color w:val="auto"/>
              </w:rPr>
              <w:t>1.  Election of Directors</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520"/>
        </w:trPr>
        <w:tc>
          <w:tcPr>
            <w:tcW w:w="660" w:type="dxa"/>
            <w:vAlign w:val="bottom"/>
          </w:tcPr>
          <w:p>
            <w:pPr>
              <w:spacing w:after="0"/>
              <w:rPr>
                <w:sz w:val="24"/>
                <w:szCs w:val="24"/>
                <w:color w:val="auto"/>
              </w:rPr>
            </w:pPr>
          </w:p>
        </w:tc>
        <w:tc>
          <w:tcPr>
            <w:tcW w:w="15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Nominee</w:t>
            </w:r>
          </w:p>
        </w:tc>
        <w:tc>
          <w:tcPr>
            <w:tcW w:w="1200" w:type="dxa"/>
            <w:vAlign w:val="bottom"/>
            <w:gridSpan w:val="2"/>
          </w:tcPr>
          <w:p>
            <w:pPr>
              <w:spacing w:after="0"/>
              <w:rPr>
                <w:sz w:val="24"/>
                <w:szCs w:val="24"/>
                <w:color w:val="auto"/>
              </w:rPr>
            </w:pPr>
          </w:p>
        </w:tc>
        <w:tc>
          <w:tcPr>
            <w:tcW w:w="2020" w:type="dxa"/>
            <w:vAlign w:val="bottom"/>
            <w:gridSpan w:val="2"/>
          </w:tcPr>
          <w:p>
            <w:pPr>
              <w:ind w:left="840"/>
              <w:spacing w:after="0"/>
              <w:rPr>
                <w:sz w:val="20"/>
                <w:szCs w:val="20"/>
                <w:color w:val="auto"/>
              </w:rPr>
            </w:pPr>
            <w:r>
              <w:rPr>
                <w:rFonts w:ascii="Arial" w:cs="Arial" w:eastAsia="Arial" w:hAnsi="Arial"/>
                <w:sz w:val="18"/>
                <w:szCs w:val="18"/>
                <w:color w:val="auto"/>
              </w:rPr>
              <w:t>For</w:t>
            </w: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Against</w:t>
            </w:r>
          </w:p>
        </w:tc>
        <w:tc>
          <w:tcPr>
            <w:tcW w:w="2160" w:type="dxa"/>
            <w:vAlign w:val="bottom"/>
            <w:gridSpan w:val="2"/>
          </w:tcPr>
          <w:p>
            <w:pPr>
              <w:ind w:left="740"/>
              <w:spacing w:after="0"/>
              <w:rPr>
                <w:sz w:val="20"/>
                <w:szCs w:val="20"/>
                <w:color w:val="auto"/>
              </w:rPr>
            </w:pPr>
            <w:r>
              <w:rPr>
                <w:rFonts w:ascii="Arial" w:cs="Arial" w:eastAsia="Arial" w:hAnsi="Arial"/>
                <w:sz w:val="18"/>
                <w:szCs w:val="18"/>
                <w:color w:val="auto"/>
              </w:rPr>
              <w:t>Abstain</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Broker Non-Vote</w:t>
            </w:r>
          </w:p>
        </w:tc>
      </w:tr>
      <w:tr>
        <w:trPr>
          <w:trHeight w:val="27"/>
        </w:trPr>
        <w:tc>
          <w:tcPr>
            <w:tcW w:w="6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6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Constantine S. Mihas</w:t>
            </w:r>
          </w:p>
        </w:tc>
        <w:tc>
          <w:tcPr>
            <w:tcW w:w="19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247,631,027</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24,611,957</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66,453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2,661,613</w:t>
            </w:r>
          </w:p>
        </w:tc>
      </w:tr>
      <w:tr>
        <w:trPr>
          <w:trHeight w:val="243"/>
        </w:trPr>
        <w:tc>
          <w:tcPr>
            <w:tcW w:w="660" w:type="dxa"/>
            <w:vAlign w:val="bottom"/>
          </w:tcPr>
          <w:p>
            <w:pPr>
              <w:spacing w:after="0"/>
              <w:rPr>
                <w:sz w:val="21"/>
                <w:szCs w:val="21"/>
                <w:color w:val="auto"/>
              </w:rPr>
            </w:pPr>
          </w:p>
        </w:tc>
        <w:tc>
          <w:tcPr>
            <w:tcW w:w="2700" w:type="dxa"/>
            <w:vAlign w:val="bottom"/>
            <w:gridSpan w:val="3"/>
          </w:tcPr>
          <w:p>
            <w:pPr>
              <w:ind w:left="120"/>
              <w:spacing w:after="0"/>
              <w:rPr>
                <w:sz w:val="20"/>
                <w:szCs w:val="20"/>
                <w:color w:val="auto"/>
              </w:rPr>
            </w:pPr>
            <w:r>
              <w:rPr>
                <w:rFonts w:ascii="Arial" w:cs="Arial" w:eastAsia="Arial" w:hAnsi="Arial"/>
                <w:sz w:val="18"/>
                <w:szCs w:val="18"/>
                <w:color w:val="auto"/>
              </w:rPr>
              <w:t>James C. Neary</w:t>
            </w:r>
          </w:p>
        </w:tc>
        <w:tc>
          <w:tcPr>
            <w:tcW w:w="1920" w:type="dxa"/>
            <w:vAlign w:val="bottom"/>
          </w:tcPr>
          <w:p>
            <w:pPr>
              <w:jc w:val="right"/>
              <w:ind w:right="250"/>
              <w:spacing w:after="0"/>
              <w:rPr>
                <w:sz w:val="20"/>
                <w:szCs w:val="20"/>
                <w:color w:val="auto"/>
              </w:rPr>
            </w:pPr>
            <w:r>
              <w:rPr>
                <w:rFonts w:ascii="Arial" w:cs="Arial" w:eastAsia="Arial" w:hAnsi="Arial"/>
                <w:sz w:val="18"/>
                <w:szCs w:val="18"/>
                <w:color w:val="auto"/>
              </w:rPr>
              <w:t>247,630,726</w:t>
            </w:r>
          </w:p>
        </w:tc>
        <w:tc>
          <w:tcPr>
            <w:tcW w:w="100" w:type="dxa"/>
            <w:vAlign w:val="bottom"/>
          </w:tcPr>
          <w:p>
            <w:pPr>
              <w:spacing w:after="0"/>
              <w:rPr>
                <w:sz w:val="21"/>
                <w:szCs w:val="21"/>
                <w:color w:val="auto"/>
              </w:rPr>
            </w:pPr>
          </w:p>
        </w:tc>
        <w:tc>
          <w:tcPr>
            <w:tcW w:w="1920" w:type="dxa"/>
            <w:vAlign w:val="bottom"/>
          </w:tcPr>
          <w:p>
            <w:pPr>
              <w:jc w:val="right"/>
              <w:ind w:right="250"/>
              <w:spacing w:after="0"/>
              <w:rPr>
                <w:sz w:val="20"/>
                <w:szCs w:val="20"/>
                <w:color w:val="auto"/>
              </w:rPr>
            </w:pPr>
            <w:r>
              <w:rPr>
                <w:rFonts w:ascii="Arial" w:cs="Arial" w:eastAsia="Arial" w:hAnsi="Arial"/>
                <w:sz w:val="18"/>
                <w:szCs w:val="18"/>
                <w:color w:val="auto"/>
              </w:rPr>
              <w:t>24,612,258</w:t>
            </w:r>
          </w:p>
        </w:tc>
        <w:tc>
          <w:tcPr>
            <w:tcW w:w="100" w:type="dxa"/>
            <w:vAlign w:val="bottom"/>
          </w:tcPr>
          <w:p>
            <w:pPr>
              <w:spacing w:after="0"/>
              <w:rPr>
                <w:sz w:val="21"/>
                <w:szCs w:val="21"/>
                <w:color w:val="auto"/>
              </w:rPr>
            </w:pPr>
          </w:p>
        </w:tc>
        <w:tc>
          <w:tcPr>
            <w:tcW w:w="2060" w:type="dxa"/>
            <w:vAlign w:val="bottom"/>
          </w:tcPr>
          <w:p>
            <w:pPr>
              <w:jc w:val="right"/>
              <w:ind w:right="250"/>
              <w:spacing w:after="0"/>
              <w:rPr>
                <w:sz w:val="20"/>
                <w:szCs w:val="20"/>
                <w:color w:val="auto"/>
              </w:rPr>
            </w:pPr>
            <w:r>
              <w:rPr>
                <w:rFonts w:ascii="Arial" w:cs="Arial" w:eastAsia="Arial" w:hAnsi="Arial"/>
                <w:sz w:val="18"/>
                <w:szCs w:val="18"/>
                <w:color w:val="auto"/>
              </w:rPr>
              <w:t>66,453</w:t>
            </w:r>
          </w:p>
        </w:tc>
        <w:tc>
          <w:tcPr>
            <w:tcW w:w="100" w:type="dxa"/>
            <w:vAlign w:val="bottom"/>
          </w:tcPr>
          <w:p>
            <w:pPr>
              <w:spacing w:after="0"/>
              <w:rPr>
                <w:sz w:val="21"/>
                <w:szCs w:val="21"/>
                <w:color w:val="auto"/>
              </w:rPr>
            </w:pP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2,661,613</w:t>
            </w:r>
          </w:p>
        </w:tc>
      </w:tr>
      <w:tr>
        <w:trPr>
          <w:trHeight w:val="27"/>
        </w:trPr>
        <w:tc>
          <w:tcPr>
            <w:tcW w:w="66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Michael B. Petras, Jr.</w:t>
            </w:r>
          </w:p>
        </w:tc>
        <w:tc>
          <w:tcPr>
            <w:tcW w:w="19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253,350,287</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18,950,434</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8,716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2,661,613</w:t>
            </w:r>
          </w:p>
        </w:tc>
      </w:tr>
      <w:tr>
        <w:trPr>
          <w:trHeight w:val="243"/>
        </w:trPr>
        <w:tc>
          <w:tcPr>
            <w:tcW w:w="660" w:type="dxa"/>
            <w:vAlign w:val="bottom"/>
          </w:tcPr>
          <w:p>
            <w:pPr>
              <w:spacing w:after="0"/>
              <w:rPr>
                <w:sz w:val="21"/>
                <w:szCs w:val="21"/>
                <w:color w:val="auto"/>
              </w:rPr>
            </w:pPr>
          </w:p>
        </w:tc>
        <w:tc>
          <w:tcPr>
            <w:tcW w:w="2700" w:type="dxa"/>
            <w:vAlign w:val="bottom"/>
            <w:gridSpan w:val="3"/>
          </w:tcPr>
          <w:p>
            <w:pPr>
              <w:ind w:left="120"/>
              <w:spacing w:after="0"/>
              <w:rPr>
                <w:sz w:val="20"/>
                <w:szCs w:val="20"/>
                <w:color w:val="auto"/>
              </w:rPr>
            </w:pPr>
            <w:r>
              <w:rPr>
                <w:rFonts w:ascii="Arial" w:cs="Arial" w:eastAsia="Arial" w:hAnsi="Arial"/>
                <w:sz w:val="18"/>
                <w:szCs w:val="18"/>
                <w:color w:val="auto"/>
              </w:rPr>
              <w:t>David E. Wheadon</w:t>
            </w:r>
          </w:p>
        </w:tc>
        <w:tc>
          <w:tcPr>
            <w:tcW w:w="1920" w:type="dxa"/>
            <w:vAlign w:val="bottom"/>
          </w:tcPr>
          <w:p>
            <w:pPr>
              <w:jc w:val="right"/>
              <w:ind w:right="250"/>
              <w:spacing w:after="0"/>
              <w:rPr>
                <w:sz w:val="20"/>
                <w:szCs w:val="20"/>
                <w:color w:val="auto"/>
              </w:rPr>
            </w:pPr>
            <w:r>
              <w:rPr>
                <w:rFonts w:ascii="Arial" w:cs="Arial" w:eastAsia="Arial" w:hAnsi="Arial"/>
                <w:sz w:val="18"/>
                <w:szCs w:val="18"/>
                <w:color w:val="auto"/>
              </w:rPr>
              <w:t>266,303,968</w:t>
            </w:r>
          </w:p>
        </w:tc>
        <w:tc>
          <w:tcPr>
            <w:tcW w:w="100" w:type="dxa"/>
            <w:vAlign w:val="bottom"/>
          </w:tcPr>
          <w:p>
            <w:pPr>
              <w:spacing w:after="0"/>
              <w:rPr>
                <w:sz w:val="21"/>
                <w:szCs w:val="21"/>
                <w:color w:val="auto"/>
              </w:rPr>
            </w:pPr>
          </w:p>
        </w:tc>
        <w:tc>
          <w:tcPr>
            <w:tcW w:w="1920" w:type="dxa"/>
            <w:vAlign w:val="bottom"/>
          </w:tcPr>
          <w:p>
            <w:pPr>
              <w:jc w:val="right"/>
              <w:ind w:right="250"/>
              <w:spacing w:after="0"/>
              <w:rPr>
                <w:sz w:val="20"/>
                <w:szCs w:val="20"/>
                <w:color w:val="auto"/>
              </w:rPr>
            </w:pPr>
            <w:r>
              <w:rPr>
                <w:rFonts w:ascii="Arial" w:cs="Arial" w:eastAsia="Arial" w:hAnsi="Arial"/>
                <w:sz w:val="18"/>
                <w:szCs w:val="18"/>
                <w:color w:val="auto"/>
              </w:rPr>
              <w:t>5,939,017</w:t>
            </w:r>
          </w:p>
        </w:tc>
        <w:tc>
          <w:tcPr>
            <w:tcW w:w="100" w:type="dxa"/>
            <w:vAlign w:val="bottom"/>
          </w:tcPr>
          <w:p>
            <w:pPr>
              <w:spacing w:after="0"/>
              <w:rPr>
                <w:sz w:val="21"/>
                <w:szCs w:val="21"/>
                <w:color w:val="auto"/>
              </w:rPr>
            </w:pPr>
          </w:p>
        </w:tc>
        <w:tc>
          <w:tcPr>
            <w:tcW w:w="2060" w:type="dxa"/>
            <w:vAlign w:val="bottom"/>
          </w:tcPr>
          <w:p>
            <w:pPr>
              <w:jc w:val="right"/>
              <w:ind w:right="250"/>
              <w:spacing w:after="0"/>
              <w:rPr>
                <w:sz w:val="20"/>
                <w:szCs w:val="20"/>
                <w:color w:val="auto"/>
              </w:rPr>
            </w:pPr>
            <w:r>
              <w:rPr>
                <w:rFonts w:ascii="Arial" w:cs="Arial" w:eastAsia="Arial" w:hAnsi="Arial"/>
                <w:sz w:val="18"/>
                <w:szCs w:val="18"/>
                <w:color w:val="auto"/>
              </w:rPr>
              <w:t>66,452</w:t>
            </w:r>
          </w:p>
        </w:tc>
        <w:tc>
          <w:tcPr>
            <w:tcW w:w="100" w:type="dxa"/>
            <w:vAlign w:val="bottom"/>
          </w:tcPr>
          <w:p>
            <w:pPr>
              <w:spacing w:after="0"/>
              <w:rPr>
                <w:sz w:val="21"/>
                <w:szCs w:val="21"/>
                <w:color w:val="auto"/>
              </w:rPr>
            </w:pP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2,661,613</w:t>
            </w:r>
          </w:p>
        </w:tc>
      </w:tr>
      <w:tr>
        <w:trPr>
          <w:trHeight w:val="27"/>
        </w:trPr>
        <w:tc>
          <w:tcPr>
            <w:tcW w:w="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Based on the votes set forth above, each director nominee was duly elected to serve until the 2024 annual meeting of stockholders and until his successor is duly elected and qualified.</w:t>
      </w:r>
    </w:p>
    <w:p>
      <w:pPr>
        <w:spacing w:after="0" w:line="19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Ratification of Appointment of Independent Registered Public Accounting Firm</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For</w:t>
            </w:r>
          </w:p>
        </w:tc>
        <w:tc>
          <w:tcPr>
            <w:tcW w:w="3760" w:type="dxa"/>
            <w:vAlign w:val="bottom"/>
            <w:gridSpan w:val="2"/>
          </w:tcPr>
          <w:p>
            <w:pPr>
              <w:ind w:left="1560"/>
              <w:spacing w:after="0"/>
              <w:rPr>
                <w:sz w:val="20"/>
                <w:szCs w:val="20"/>
                <w:color w:val="auto"/>
              </w:rPr>
            </w:pPr>
            <w:r>
              <w:rPr>
                <w:rFonts w:ascii="Arial" w:cs="Arial" w:eastAsia="Arial" w:hAnsi="Arial"/>
                <w:sz w:val="18"/>
                <w:szCs w:val="18"/>
                <w:color w:val="auto"/>
              </w:rPr>
              <w:t>Against</w:t>
            </w:r>
          </w:p>
        </w:tc>
        <w:tc>
          <w:tcPr>
            <w:tcW w:w="3700" w:type="dxa"/>
            <w:vAlign w:val="bottom"/>
          </w:tcPr>
          <w:p>
            <w:pPr>
              <w:jc w:val="center"/>
              <w:spacing w:after="0"/>
              <w:rPr>
                <w:sz w:val="20"/>
                <w:szCs w:val="20"/>
                <w:color w:val="auto"/>
              </w:rPr>
            </w:pPr>
            <w:r>
              <w:rPr>
                <w:rFonts w:ascii="Arial" w:cs="Arial" w:eastAsia="Arial" w:hAnsi="Arial"/>
                <w:sz w:val="18"/>
                <w:szCs w:val="18"/>
                <w:color w:val="auto"/>
                <w:w w:val="93"/>
              </w:rPr>
              <w:t>Abstain</w:t>
            </w:r>
          </w:p>
        </w:tc>
      </w:tr>
      <w:tr>
        <w:trPr>
          <w:trHeight w:val="27"/>
        </w:trPr>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0"/>
        </w:trPr>
        <w:tc>
          <w:tcPr>
            <w:tcW w:w="368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rPr>
              <w:t>274,841,142</w:t>
            </w:r>
          </w:p>
        </w:tc>
        <w:tc>
          <w:tcPr>
            <w:tcW w:w="100" w:type="dxa"/>
            <w:vAlign w:val="bottom"/>
            <w:tcBorders>
              <w:bottom w:val="single" w:sz="8" w:color="auto"/>
            </w:tcBorders>
            <w:shd w:val="clear" w:color="auto" w:fill="CCEEFF"/>
          </w:tcPr>
          <w:p>
            <w:pPr>
              <w:spacing w:after="0"/>
              <w:rPr>
                <w:sz w:val="20"/>
                <w:szCs w:val="20"/>
                <w:color w:val="auto"/>
              </w:rPr>
            </w:pPr>
          </w:p>
        </w:tc>
        <w:tc>
          <w:tcPr>
            <w:tcW w:w="366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122,505</w:t>
            </w:r>
          </w:p>
        </w:tc>
        <w:tc>
          <w:tcPr>
            <w:tcW w:w="100" w:type="dxa"/>
            <w:vAlign w:val="bottom"/>
            <w:tcBorders>
              <w:bottom w:val="single" w:sz="8" w:color="auto"/>
            </w:tcBorders>
            <w:shd w:val="clear" w:color="auto" w:fill="CCEEFF"/>
          </w:tcPr>
          <w:p>
            <w:pPr>
              <w:spacing w:after="0"/>
              <w:rPr>
                <w:sz w:val="20"/>
                <w:szCs w:val="20"/>
                <w:color w:val="auto"/>
              </w:rPr>
            </w:pPr>
          </w:p>
        </w:tc>
        <w:tc>
          <w:tcPr>
            <w:tcW w:w="3700" w:type="dxa"/>
            <w:vAlign w:val="bottom"/>
            <w:tcBorders>
              <w:bottom w:val="single" w:sz="8" w:color="auto"/>
            </w:tcBorders>
            <w:shd w:val="clear" w:color="auto" w:fill="CCEEFF"/>
          </w:tcPr>
          <w:p>
            <w:pPr>
              <w:jc w:val="right"/>
              <w:ind w:right="1550"/>
              <w:spacing w:after="0"/>
              <w:rPr>
                <w:sz w:val="20"/>
                <w:szCs w:val="20"/>
                <w:color w:val="auto"/>
              </w:rPr>
            </w:pPr>
            <w:r>
              <w:rPr>
                <w:rFonts w:ascii="Arial" w:cs="Arial" w:eastAsia="Arial" w:hAnsi="Arial"/>
                <w:sz w:val="18"/>
                <w:szCs w:val="18"/>
                <w:color w:val="auto"/>
              </w:rPr>
              <w:t>7,403</w:t>
            </w:r>
          </w:p>
        </w:tc>
      </w:tr>
    </w:tbl>
    <w:p>
      <w:pPr>
        <w:spacing w:after="0" w:line="200" w:lineRule="exact"/>
        <w:rPr>
          <w:sz w:val="20"/>
          <w:szCs w:val="20"/>
          <w:color w:val="auto"/>
        </w:rPr>
      </w:pPr>
    </w:p>
    <w:p>
      <w:pPr>
        <w:spacing w:after="0" w:line="339"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Based on the votes set forth above, the stockholders ratified the appointment of Ernst &amp; Young LLP as the Company’s independent registered public accounting firm for the fiscal year ending December 31, 2021. There were no broker non-votes on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(Registrant)</w:t>
      </w:r>
    </w:p>
    <w:p>
      <w:pPr>
        <w:spacing w:after="0" w:line="332" w:lineRule="exact"/>
        <w:rPr>
          <w:sz w:val="20"/>
          <w:szCs w:val="20"/>
          <w:color w:val="auto"/>
        </w:rPr>
      </w:pPr>
    </w:p>
    <w:p>
      <w:pPr>
        <w:ind w:left="20"/>
        <w:spacing w:after="0"/>
        <w:tabs>
          <w:tab w:leader="none" w:pos="5160" w:val="left"/>
          <w:tab w:leader="none" w:pos="5980" w:val="left"/>
        </w:tabs>
        <w:rPr>
          <w:sz w:val="20"/>
          <w:szCs w:val="20"/>
          <w:color w:val="auto"/>
        </w:rPr>
      </w:pPr>
      <w:r>
        <w:rPr>
          <w:rFonts w:ascii="Arial" w:cs="Arial" w:eastAsia="Arial" w:hAnsi="Arial"/>
          <w:sz w:val="18"/>
          <w:szCs w:val="18"/>
          <w:color w:val="auto"/>
        </w:rPr>
        <w:t>Date: May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3334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Matthew J. Klaben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Senior Vice President, General Counsel and Secretary</w:t>
      </w:r>
    </w:p>
    <w:sectPr>
      <w:pgSz w:w="11900" w:h="16838" w:orient="portrait"/>
      <w:cols w:equalWidth="0" w:num="1">
        <w:col w:w="10720"/>
      </w:cols>
      <w:pgMar w:left="320" w:top="10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2021-05-28T22:35:36Z</dcterms:created>
  <dcterms:modified xsi:type="dcterms:W3CDTF">2021-05-28T22:35:36Z</dcterms:modified>
</cp:coreProperties>
</file>