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SOTERA HEALTH COMPANY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9100 South Hills Blvd,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Broadview Heights, Ohio 44147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(440) 262-1410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pPr>
      <w:r>
        <w:rPr>
          <w:rFonts w:ascii="Times New Roman;serif" w:hAnsi="Times New Roman;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Sotera Health Company (the “Company”) issued a press release (the “Press Release”) announcing its financial results for the quarter ended June 30, 2026. The Company will hold its previously announced conference call on August 6, 2026, at 9:00 a.m. Eastern Time to discuss its financial results for the quarter. A copy of the Press Release is attached to this Current Report on Form 8-K as Exhibit 99.1 and is incorporated herein by reference.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p>
    <w:tbl>
      <w:tblPr>
        <w:tblW w:w="8172"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932"/>
        <w:gridCol w:w="1932"/>
        <w:gridCol w:w="2735"/>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august62026-ex991.htm">
              <w:r>
                <w:rPr>
                  <w:rStyle w:val="InternetLink"/>
                  <w:rFonts w:ascii="Times New Roman;serif" w:hAnsi="Times New Roman;serif"/>
                  <w:b w:val="false"/>
                  <w:color w:val="0000FF"/>
                  <w:sz w:val="20"/>
                  <w:u w:val="single"/>
                </w:rPr>
                <w:t>Press Release, dated August 6, 2026</w:t>
              </w:r>
            </w:hyperlink>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304" w:type="dxa"/>
        <w:jc w:val="left"/>
        <w:tblInd w:w="0" w:type="dxa"/>
        <w:tblLayout w:type="fixed"/>
        <w:tblCellMar>
          <w:top w:w="28" w:type="dxa"/>
          <w:left w:w="28" w:type="dxa"/>
          <w:bottom w:w="28" w:type="dxa"/>
          <w:right w:w="28" w:type="dxa"/>
        </w:tblCellMar>
      </w:tblPr>
      <w:tblGrid>
        <w:gridCol w:w="667"/>
        <w:gridCol w:w="587"/>
        <w:gridCol w:w="590"/>
        <w:gridCol w:w="220"/>
        <w:gridCol w:w="220"/>
        <w:gridCol w:w="220"/>
        <w:gridCol w:w="220"/>
        <w:gridCol w:w="220"/>
        <w:gridCol w:w="220"/>
        <w:gridCol w:w="1198"/>
        <w:gridCol w:w="1198"/>
        <w:gridCol w:w="17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p>
            <w:pPr>
              <w:pStyle w:val="TableContents"/>
              <w:bidi w:val="0"/>
              <w:spacing w:lineRule="auto" w:line="288" w:before="0" w:after="2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283"/>
        <w:jc w:val="right"/>
        <w:rPr/>
      </w:pPr>
      <w:r>
        <w:rPr>
          <w:rFonts w:ascii="Times New Roman;serif" w:hAnsi="Times New Roman;serif"/>
          <w:b/>
          <w:color w:val="000000"/>
          <w:sz w:val="20"/>
        </w:rPr>
        <w:t>Exhibit 99.1    </w:t>
      </w: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4.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drawing>
          <wp:inline distT="0" distB="0" distL="0" distR="0">
            <wp:extent cx="166687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66875"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Sotera Health Delivers Strong Second-Quarter and</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First-Half 2026 Results and Raises FY 2026 Outlook</w:t>
      </w:r>
    </w:p>
    <w:p>
      <w:pPr>
        <w:pStyle w:val="TextBody"/>
        <w:bidi w:val="0"/>
        <w:spacing w:lineRule="auto" w:line="288" w:before="160" w:after="283"/>
        <w:ind w:left="0" w:right="0" w:hanging="360"/>
        <w:jc w:val="left"/>
        <w:rPr/>
      </w:pPr>
      <w:r>
        <w:rPr>
          <w:color w:val="000000"/>
        </w:rPr>
        <w:t>•</w:t>
      </w:r>
      <w:r>
        <w:rPr>
          <w:rFonts w:ascii="sans-serif" w:hAnsi="sans-serif"/>
          <w:b/>
          <w:i/>
          <w:color w:val="000000"/>
          <w:sz w:val="24"/>
        </w:rPr>
        <w:t>Q2 2026 net revenues increased 9.2% or 8.0% on a constant currency basis</w:t>
      </w:r>
      <w:r>
        <w:rPr>
          <w:rFonts w:ascii="sans-serif" w:hAnsi="sans-serif"/>
          <w:b w:val="false"/>
          <w:i/>
          <w:color w:val="000000"/>
          <w:sz w:val="16"/>
        </w:rPr>
        <w:t>(1)</w:t>
      </w:r>
      <w:r>
        <w:rPr>
          <w:color w:val="000000"/>
        </w:rPr>
        <w:t xml:space="preserve"> </w:t>
      </w:r>
      <w:r>
        <w:rPr>
          <w:rFonts w:ascii="sans-serif" w:hAnsi="sans-serif"/>
          <w:b/>
          <w:i/>
          <w:color w:val="000000"/>
          <w:sz w:val="24"/>
        </w:rPr>
        <w:t>compared to Q2 2025</w:t>
      </w:r>
    </w:p>
    <w:p>
      <w:pPr>
        <w:pStyle w:val="TextBody"/>
        <w:bidi w:val="0"/>
        <w:spacing w:lineRule="auto" w:line="288" w:before="80" w:after="283"/>
        <w:ind w:left="0" w:right="0" w:hanging="360"/>
        <w:jc w:val="left"/>
        <w:rPr/>
      </w:pPr>
      <w:r>
        <w:rPr>
          <w:color w:val="000000"/>
        </w:rPr>
        <w:t>•</w:t>
      </w:r>
      <w:r>
        <w:rPr>
          <w:rFonts w:ascii="sans-serif" w:hAnsi="sans-serif"/>
          <w:b/>
          <w:i/>
          <w:color w:val="000000"/>
          <w:sz w:val="24"/>
        </w:rPr>
        <w:t>Q2 2026 net income of $54 million or $0.19 per diluted share, compared to net income of $8 million or $0.03 per diluted share in Q2 2025</w:t>
      </w:r>
    </w:p>
    <w:p>
      <w:pPr>
        <w:pStyle w:val="TextBody"/>
        <w:bidi w:val="0"/>
        <w:spacing w:lineRule="auto" w:line="288" w:before="80" w:after="283"/>
        <w:ind w:left="0" w:right="0" w:hanging="360"/>
        <w:jc w:val="left"/>
        <w:rPr/>
      </w:pPr>
      <w:r>
        <w:rPr>
          <w:color w:val="000000"/>
        </w:rPr>
        <w:t>•</w:t>
      </w:r>
      <w:r>
        <w:rPr>
          <w:rFonts w:ascii="sans-serif" w:hAnsi="sans-serif"/>
          <w:b/>
          <w:i/>
          <w:color w:val="000000"/>
          <w:sz w:val="24"/>
        </w:rPr>
        <w:t>Q2 2026 Adjusted EBITDA</w:t>
      </w:r>
      <w:r>
        <w:rPr>
          <w:rFonts w:ascii="sans-serif" w:hAnsi="sans-serif"/>
          <w:b/>
          <w:i/>
          <w:color w:val="000000"/>
          <w:sz w:val="16"/>
        </w:rPr>
        <w:t>(1)</w:t>
      </w:r>
      <w:r>
        <w:rPr>
          <w:color w:val="000000"/>
        </w:rPr>
        <w:t xml:space="preserve"> </w:t>
      </w:r>
      <w:r>
        <w:rPr>
          <w:rFonts w:ascii="sans-serif" w:hAnsi="sans-serif"/>
          <w:b/>
          <w:i/>
          <w:color w:val="000000"/>
          <w:sz w:val="24"/>
        </w:rPr>
        <w:t>increased 10.0%, or 8.7% on a constant currency basis</w:t>
      </w:r>
    </w:p>
    <w:p>
      <w:pPr>
        <w:pStyle w:val="TextBody"/>
        <w:bidi w:val="0"/>
        <w:spacing w:lineRule="auto" w:line="288" w:before="80" w:after="283"/>
        <w:ind w:left="0" w:right="0" w:hanging="360"/>
        <w:jc w:val="left"/>
        <w:rPr/>
      </w:pPr>
      <w:r>
        <w:rPr>
          <w:color w:val="000000"/>
        </w:rPr>
        <w:t>•</w:t>
      </w:r>
      <w:r>
        <w:rPr>
          <w:rFonts w:ascii="sans-serif" w:hAnsi="sans-serif"/>
          <w:b/>
          <w:i/>
          <w:color w:val="000000"/>
          <w:sz w:val="24"/>
        </w:rPr>
        <w:t>Q2 2026 Adjusted EPS</w:t>
      </w:r>
      <w:r>
        <w:rPr>
          <w:rFonts w:ascii="sans-serif" w:hAnsi="sans-serif"/>
          <w:b/>
          <w:i/>
          <w:color w:val="000000"/>
          <w:sz w:val="16"/>
        </w:rPr>
        <w:t>(1)</w:t>
      </w:r>
      <w:r>
        <w:rPr>
          <w:color w:val="000000"/>
        </w:rPr>
        <w:t xml:space="preserve"> </w:t>
      </w:r>
      <w:r>
        <w:rPr>
          <w:rFonts w:ascii="sans-serif" w:hAnsi="sans-serif"/>
          <w:b/>
          <w:i/>
          <w:color w:val="000000"/>
          <w:sz w:val="24"/>
        </w:rPr>
        <w:t>of $0.26, an increase of 30% per diluted share</w:t>
      </w:r>
    </w:p>
    <w:p>
      <w:pPr>
        <w:pStyle w:val="TextBody"/>
        <w:bidi w:val="0"/>
        <w:spacing w:lineRule="auto" w:line="288" w:before="0" w:after="0"/>
        <w:ind w:left="0" w:right="0" w:hanging="360"/>
        <w:jc w:val="left"/>
        <w:rPr/>
      </w:pPr>
      <w:r>
        <w:rPr>
          <w:color w:val="000000"/>
        </w:rPr>
        <w:t>•</w:t>
      </w:r>
      <w:r>
        <w:rPr>
          <w:rFonts w:ascii="sans-serif" w:hAnsi="sans-serif"/>
          <w:b/>
          <w:i/>
          <w:color w:val="000000"/>
          <w:sz w:val="24"/>
        </w:rPr>
        <w:t>Company raises both full-year 2026 net revenues growth outlook to 5.25% - 6.75% and Adjusted EBITDA growth outlook to 5.75% - 7.25%, on a constant currency basis</w:t>
      </w:r>
    </w:p>
    <w:p>
      <w:pPr>
        <w:pStyle w:val="TextBody"/>
        <w:bidi w:val="0"/>
        <w:spacing w:lineRule="auto" w:line="288" w:before="200" w:after="283"/>
        <w:jc w:val="left"/>
        <w:rPr/>
      </w:pPr>
      <w:r>
        <w:rPr>
          <w:rFonts w:ascii="sans-serif" w:hAnsi="sans-serif"/>
          <w:b/>
          <w:color w:val="000000"/>
          <w:sz w:val="22"/>
        </w:rPr>
        <w:t xml:space="preserve">CLEVELAND, OH, August 6, 2026 </w:t>
      </w:r>
      <w:r>
        <w:rPr>
          <w:color w:val="000000"/>
        </w:rPr>
        <w:t xml:space="preserve">– </w:t>
      </w:r>
      <w:r>
        <w:rPr>
          <w:rFonts w:ascii="sans-serif" w:hAnsi="sans-serif"/>
          <w:b w:val="false"/>
          <w:color w:val="000000"/>
          <w:sz w:val="22"/>
        </w:rPr>
        <w:t>Sotera Health Company (“Sotera Health” or the “Company”) (Nasdaq: SHC), a leading global provider of mission-critical end-to-end sterilization solutions, lab testing and advisory services for the healthcare industry, today announced financial results for the three- and six- months ended June 30, 2026.</w:t>
      </w:r>
    </w:p>
    <w:p>
      <w:pPr>
        <w:pStyle w:val="TextBody"/>
        <w:bidi w:val="0"/>
        <w:spacing w:lineRule="auto" w:line="268" w:before="200" w:after="283"/>
        <w:jc w:val="left"/>
        <w:rPr>
          <w:color w:val="000000"/>
        </w:rPr>
      </w:pPr>
      <w:r>
        <w:rPr>
          <w:color w:val="000000"/>
        </w:rPr>
        <w:t>“</w:t>
      </w:r>
      <w:r>
        <w:rPr>
          <w:rFonts w:ascii="sans-serif" w:hAnsi="sans-serif"/>
          <w:b w:val="false"/>
          <w:color w:val="000000"/>
          <w:sz w:val="22"/>
        </w:rPr>
        <w:t>We delivered another strong quarter, with high-single-digit growth, reflecting focused execution across all three of our business units,” said Chief Executive Officer Alton Shader. “These results further underscore the essential nature of Sotera Health’s offerings to healthcare. Since joining the Company, I have been impressed by the dedication of our teams, the trust our customers place in us and the industry-leading expertise that differentiates our business in highly regulated healthcare markets. Together, these strengths position us well to deliver consistent and reliable growth.”</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Shader continued, “Based on our strong first-half performance and confidence in the remainder of the year, we are raising our full-year 2026 outlook. I am excited about the numerous opportunities we have for growth as we continue to deepen our customer relationships, invest in our people, facilities and capabilities, and execute on our long-term strategy.”</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Second-Quarter 2026 Highlights</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(All comparisons are against second quarter of 2025, unless otherwise noted)</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Delivered strong, high-single-digit top- and bottom-line constant currency growth</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Expanded Adjusted EBITDA margin</w:t>
      </w:r>
      <w:r>
        <w:rPr>
          <w:rFonts w:ascii="sans-serif" w:hAnsi="sans-serif"/>
          <w:b w:val="false"/>
          <w:color w:val="000000"/>
          <w:sz w:val="13"/>
        </w:rPr>
        <w:t>(1)</w:t>
      </w:r>
      <w:r>
        <w:rPr>
          <w:color w:val="000000"/>
        </w:rPr>
        <w:t xml:space="preserve"> </w:t>
      </w:r>
      <w:r>
        <w:rPr>
          <w:rFonts w:ascii="sans-serif" w:hAnsi="sans-serif"/>
          <w:b w:val="false"/>
          <w:color w:val="000000"/>
          <w:sz w:val="22"/>
        </w:rPr>
        <w:t>to 51.6%</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Sterigenics: 7.0% constant currency revenue growth; segment income margin improvement of 53 basis points</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Nordion: 16.7% constant currency revenue growth; segment income margin improvement of 160 basis points</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Nelson Labs: 5.4% constant currency revenue growth; sequential segment income margin improvement of 438 basis points</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Net cash provided by operating activities of $88 million</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June 30, 2026, Net Leverage Ratio</w:t>
      </w:r>
      <w:r>
        <w:rPr>
          <w:rFonts w:ascii="sans-serif" w:hAnsi="sans-serif"/>
          <w:b w:val="false"/>
          <w:color w:val="000000"/>
          <w:sz w:val="13"/>
          <w:shd w:fill="FFFFFF" w:val="clear"/>
        </w:rPr>
        <w:t>(1)</w:t>
      </w:r>
      <w:r>
        <w:rPr>
          <w:color w:val="000000"/>
        </w:rPr>
        <w:t xml:space="preserve"> </w:t>
      </w:r>
      <w:r>
        <w:rPr>
          <w:rFonts w:ascii="sans-serif" w:hAnsi="sans-serif"/>
          <w:b w:val="false"/>
          <w:color w:val="000000"/>
          <w:sz w:val="22"/>
        </w:rPr>
        <w:t>of 3.0x; achieved long-term target range of 2.0x to 3.0x; available liquidity of approximately $950 million</w:t>
      </w:r>
    </w:p>
    <w:p>
      <w:pPr>
        <w:pStyle w:val="TextBody"/>
        <w:bidi w:val="0"/>
        <w:spacing w:lineRule="auto" w:line="288"/>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pStyle w:val="TextBody"/>
        <w:bidi w:val="0"/>
        <w:spacing w:before="1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Repriced term loan, saving approximately $3.5 million of annual interest expense</w:t>
      </w:r>
    </w:p>
    <w:p>
      <w:pPr>
        <w:pStyle w:val="TextBody"/>
        <w:bidi w:val="0"/>
        <w:spacing w:lineRule="auto" w:line="288" w:before="80" w:after="283"/>
        <w:ind w:left="0" w:right="0" w:hanging="360"/>
        <w:jc w:val="left"/>
        <w:rPr/>
      </w:pPr>
      <w:r>
        <w:rPr>
          <w:color w:val="000000"/>
        </w:rPr>
        <w:t>•</w:t>
      </w:r>
      <w:r>
        <w:rPr>
          <w:rFonts w:ascii="sans-serif" w:hAnsi="sans-serif"/>
          <w:b w:val="false"/>
          <w:color w:val="000000"/>
          <w:sz w:val="22"/>
        </w:rPr>
        <w:t>Completed final private equity sponsor secondary offering, with no remaining sponsor ownership</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Second-Quarter and First-Half 2026 Review by Business Segment</w:t>
      </w:r>
    </w:p>
    <w:p>
      <w:pPr>
        <w:pStyle w:val="TextBody"/>
        <w:bidi w:val="0"/>
        <w:spacing w:lineRule="auto" w:line="288" w:before="0" w:after="0"/>
        <w:jc w:val="left"/>
        <w:rPr>
          <w:rFonts w:ascii="sans-serif" w:hAnsi="sans-serif"/>
          <w:b w:val="false"/>
          <w:i/>
          <w:color w:val="000000"/>
          <w:sz w:val="22"/>
        </w:rPr>
      </w:pPr>
      <w:r>
        <w:rPr>
          <w:rFonts w:ascii="sans-serif" w:hAnsi="sans-serif"/>
          <w:b w:val="false"/>
          <w:i/>
          <w:color w:val="000000"/>
          <w:sz w:val="22"/>
        </w:rPr>
        <w:t>(All comparisons are against second quarter of 2025, unless otherwise noted)</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Sterigenics</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Sterigenics delivered strong second-quarter 2026 results, with net revenues up 8.6% to $212 million, or 7.0% on a constant currency basis. Segment income improved to $118 million, an increase of 9.6%. For the first six months of 2026, Sterigenics net revenues increased 9.1% to $398 million, or 6.6% on a constant currency basis. Segment income increased 9.6% to $215 million.</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Second-quarter net revenues growth was driven by favorable pricing, improved volume/mix and a foreign currency benefit. Segment income and segment income margin also benefited from these factors, partially offset by inflation.</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Nordion</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Nordion net revenues were up 15.8% to $49 million, or 16.7% on a constant currency basis while segment income increased 19.2% to $28 million. For the first six months of 2026, Nordion net revenues increased 21.6% to $91 million, or 20.8% on a constant currency basis. Segment income increased 26.4% to $52 million.</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Second-quarter net revenues growth was driven by improved volume/mix, primarily due to the timing of Cobalt-60 harvests and favorable pricing, partially offset by foreign currency. Segment income and segment income margin also benefited from these factors, partially offset by inflation.</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Nelson Labs</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Nelson Labs delivered strong second-quarter net revenues growth of 6.3% to $61 million, or 5.4% on a constant currency basis. Segment income improved to $20 million, an increase of 0.6%. For the first six months of 2026, Nelson Labs net revenues improved 2.9% to $113 million, or 0.9% on a constant currency basis, while segment income decreased 4.9% to $34 million.</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Second-quarter net revenues and segment income growth were driven by favorable pricing, improved volume/mix and a foreign currency benefit. Segment income margin was impacted by higher costs.</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Balance Sheet and Liquidity</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As of June 30, 2026, Sotera Health had $2.2 billion of total debt, and $357 million in unrestricted cash and cash equivalents, compared to $2.2 billion in total debt and $345 million in unrestricted cash and cash equivalents as of December 31, 2025. Sotera Health’s Net Leverage Ratio as of June 30, 2026 improved to 3.0x, achieving the Company’s long-term net leverage ratio target range of 2.0x to 3.0x. As of June 30, 2026, available liquidity increased to approximately $950 million, and the Company had no outstanding borrowings under its $600 million revolving credit facility.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Full-Year 2026 Outlook</w:t>
      </w:r>
    </w:p>
    <w:p>
      <w:pPr>
        <w:pStyle w:val="TextBody"/>
        <w:bidi w:val="0"/>
        <w:spacing w:lineRule="auto" w:line="288" w:before="60" w:after="100"/>
        <w:jc w:val="left"/>
        <w:rPr>
          <w:rFonts w:ascii="sans-serif" w:hAnsi="sans-serif"/>
          <w:b w:val="false"/>
          <w:color w:val="000000"/>
          <w:sz w:val="22"/>
        </w:rPr>
      </w:pPr>
      <w:r>
        <w:rPr>
          <w:rFonts w:ascii="sans-serif" w:hAnsi="sans-serif"/>
          <w:b w:val="false"/>
          <w:color w:val="000000"/>
          <w:sz w:val="22"/>
        </w:rPr>
        <w:t>Today, Sotera Health is raising its 2026 outlook:</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Net revenues range raised to $1.236 billion to $1.254 billion, representing constant currency growth of 5.25% to 6.75% and an estimated 100 basis points of foreign currency benefit</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Adjusted EBITDA range raised to $634 million to $643 million, representing constant currency growth of 5.75% to 7.25% and an estimated 100 basis points of foreign currency benefit</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Interest expense improved to a range of $135 million to $142 million</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Tax rate applicable to Adjusted Net Income</w:t>
      </w:r>
      <w:r>
        <w:rPr>
          <w:rFonts w:ascii="sans-serif" w:hAnsi="sans-serif"/>
          <w:b w:val="false"/>
          <w:color w:val="000000"/>
          <w:sz w:val="14"/>
        </w:rPr>
        <w:t>(1)</w:t>
      </w:r>
      <w:r>
        <w:rPr>
          <w:color w:val="000000"/>
        </w:rPr>
        <w:t xml:space="preserve"> </w:t>
      </w:r>
      <w:r>
        <w:rPr>
          <w:rFonts w:ascii="sans-serif" w:hAnsi="sans-serif"/>
          <w:b w:val="false"/>
          <w:color w:val="000000"/>
          <w:sz w:val="22"/>
        </w:rPr>
        <w:t>improved to a range of 27.0% to 28.0%</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Adjusted EPS improved to a range of $0.95 to $1.01</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A weighted-average fully diluted share count in the range of 289 million to 291 million shares</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Capital expenditures in the range of $200 million to $225 million</w:t>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Tax Rate Applicable to Adjusted Net Income,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pStyle w:val="TextBody"/>
        <w:bidi w:val="0"/>
        <w:spacing w:lineRule="auto" w:line="288" w:before="160" w:after="283"/>
        <w:jc w:val="left"/>
        <w:rPr>
          <w:rFonts w:ascii="sans-serif" w:hAnsi="sans-serif"/>
          <w:b w:val="false"/>
          <w:color w:val="000000"/>
          <w:sz w:val="22"/>
        </w:rPr>
      </w:pPr>
      <w:r>
        <w:rPr>
          <w:rFonts w:ascii="sans-serif" w:hAnsi="sans-serif"/>
          <w:b w:val="false"/>
          <w:color w:val="000000"/>
          <w:sz w:val="22"/>
        </w:rPr>
        <w:t>The outlook provided above contains a number of assumptions, including, among others, the Company’s current expectations regarding supply chain continuity, particularly for the supply of ethylene oxide (“EO”) and Cobalt-60, and the impact of inflationary trends, including their impact on energy prices and the supply of labor. Our outlook is based on current plans and expectations and is subject to several known and unknown risks and uncertainties, including those set forth below under “Cautionary Note Regarding Forward-Looking Statements.”</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Earnings Webcast</w:t>
      </w:r>
    </w:p>
    <w:p>
      <w:pPr>
        <w:pStyle w:val="TextBody"/>
        <w:bidi w:val="0"/>
        <w:spacing w:lineRule="auto" w:line="288" w:before="100" w:after="283"/>
        <w:jc w:val="left"/>
        <w:rPr/>
      </w:pPr>
      <w:r>
        <w:rPr>
          <w:rFonts w:ascii="sans-serif" w:hAnsi="sans-serif"/>
          <w:b w:val="false"/>
          <w:color w:val="000000"/>
          <w:sz w:val="22"/>
        </w:rPr>
        <w:t xml:space="preserve">Sotera Health management will host a conference call and live webcast to discuss the Company’s operating highlights and financial results at 9:00 a.m. Eastern Daylight Time today. A live webcast of the conference call will be accessible at this </w:t>
      </w:r>
      <w:r>
        <w:rPr>
          <w:rFonts w:ascii="sans-serif" w:hAnsi="sans-serif"/>
          <w:b w:val="false"/>
          <w:color w:val="0E32E1"/>
          <w:sz w:val="22"/>
          <w:u w:val="single"/>
        </w:rPr>
        <w:t>link</w:t>
      </w:r>
      <w:r>
        <w:rPr>
          <w:color w:val="000000"/>
        </w:rPr>
        <w:t xml:space="preserve"> </w:t>
      </w:r>
      <w:r>
        <w:rPr>
          <w:rFonts w:ascii="sans-serif" w:hAnsi="sans-serif"/>
          <w:b w:val="false"/>
          <w:color w:val="000000"/>
          <w:sz w:val="22"/>
        </w:rPr>
        <w:t xml:space="preserve">or via the Investor Relations section of the Company’s website at </w:t>
      </w:r>
      <w:r>
        <w:rPr>
          <w:rFonts w:ascii="sans-serif" w:hAnsi="sans-serif"/>
          <w:b w:val="false"/>
          <w:color w:val="0E32E1"/>
          <w:sz w:val="22"/>
          <w:u w:val="single"/>
        </w:rPr>
        <w:t>Presentation &amp; Events | Sotera Health</w:t>
      </w:r>
      <w:r>
        <w:rPr>
          <w:rFonts w:ascii="sans-serif" w:hAnsi="sans-serif"/>
          <w:b w:val="false"/>
          <w:color w:val="000000"/>
          <w:sz w:val="22"/>
        </w:rPr>
        <w:t>, along with accompanying materials. A replay of the webcast will be archived on the Company’s website.</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Upcoming Investor Events</w:t>
      </w:r>
    </w:p>
    <w:p>
      <w:pPr>
        <w:pStyle w:val="TextBody"/>
        <w:bidi w:val="0"/>
        <w:spacing w:lineRule="auto" w:line="288" w:before="100" w:after="283"/>
        <w:ind w:left="0" w:right="0" w:hanging="270"/>
        <w:jc w:val="left"/>
        <w:rPr/>
      </w:pPr>
      <w:r>
        <w:rPr>
          <w:color w:val="000000"/>
        </w:rPr>
        <w:t>•</w:t>
      </w:r>
      <w:r>
        <w:rPr>
          <w:rFonts w:ascii="sans-serif" w:hAnsi="sans-serif"/>
          <w:b w:val="false"/>
          <w:color w:val="000000"/>
          <w:sz w:val="22"/>
        </w:rPr>
        <w:t>Wells Fargo 21st Annual Healthcare Conference at 1:30 p.m. Eastern Daylight Time, September 9, 2026</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Cautionary Note Regarding Forward-Looking Statements</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Unless expressly indicated or the context requires otherwise, the terms “Sotera Health,” “Company,” “we,” “us,” and “our” in this release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 be identified by words such as “anticipate,” “appear,” “assume,” “believe,” “estimate,” “expect,” </w:t>
      </w:r>
    </w:p>
    <w:p>
      <w:pPr>
        <w:pStyle w:val="TextBody"/>
        <w:bidi w:val="0"/>
        <w:spacing w:lineRule="auto" w:line="288"/>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This is a non-GAAP financial measure used throughout this press release; please refer to the section “Non-GAAP Financial Measures” for explanations of our non-GAAP financial measures.</w:t>
      </w:r>
    </w:p>
    <w:p>
      <w:pPr>
        <w:pStyle w:val="TextBody"/>
        <w:bidi w:val="0"/>
        <w:spacing w:before="1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68" w:before="0" w:after="0"/>
        <w:jc w:val="left"/>
        <w:rPr/>
      </w:pPr>
      <w:r>
        <w:rPr>
          <w:color w:val="000000"/>
        </w:rPr>
        <w:t>“</w:t>
      </w:r>
      <w:r>
        <w:rPr>
          <w:rFonts w:ascii="sans-serif" w:hAnsi="sans-serif"/>
          <w:b w:val="false"/>
          <w:color w:val="000000"/>
          <w:sz w:val="22"/>
        </w:rPr>
        <w:t xml:space="preserve">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or sanctions by Russia against those countries; fluctuations in foreign currency exchange rates; evolving changes in environmental, health and safety regulations;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current and former EO sterilization facilities, and the possibility that additional claims will be made in the future;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federal government shutdowns,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the risks associated with the introduction of artificial intelligence technology; an inability to pursue strategic transactions, find suitable acquisition targets, or integrate strategic acquisitions into our business successfully; our ability to maintain effective internal control over financial reporting; our reliance on intellectual property rights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and our significant degree of leverage and how this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w:t>
      </w:r>
      <w:r>
        <w:rPr>
          <w:rFonts w:ascii="sans-serif" w:hAnsi="sans-serif"/>
          <w:b w:val="false"/>
          <w:color w:val="000000"/>
          <w:sz w:val="24"/>
          <w:shd w:fill="FFFFFF" w:val="clear"/>
        </w:rPr>
        <w:t>required by law.</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Non-GAAP Financial Measures</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To supplement our consolidated financial statements presented in accordance with U.S. Generally Accepted Accounting Principles (“GAAP”), we consider Adjusted EBITDA, Adjusted EBITDA margin, Tax Rate Applicable to Adjusted Net Income, Adjusted Net Income, Adjusted EPS, Net Debt, Net Leverage Ratio and constant currency, each of which is a financial measure not based on any standardized methodology prescribed by GAAP.</w:t>
      </w:r>
    </w:p>
    <w:p>
      <w:pPr>
        <w:pStyle w:val="TextBody"/>
        <w:bidi w:val="0"/>
        <w:spacing w:before="1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160" w:after="283"/>
        <w:ind w:left="0" w:right="0" w:hanging="360"/>
        <w:jc w:val="left"/>
        <w:rPr/>
      </w:pPr>
      <w:r>
        <w:rPr>
          <w:color w:val="000000"/>
        </w:rPr>
        <w:t>•</w:t>
      </w:r>
      <w:r>
        <w:rPr>
          <w:rFonts w:ascii="sans-serif" w:hAnsi="sans-serif"/>
          <w:b w:val="false"/>
          <w:color w:val="000000"/>
          <w:sz w:val="22"/>
        </w:rPr>
        <w:t>We define Adjusted Net Income as net income (loss) before amortization and certain other adjustments that we do not consider in our evaluation of our ongoing operating performance from period to period.</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We define Adjusted EBITDA as Adjusted Net Income before interest expense, depreciation (including depreciation of Cobalt-60 used in our operations) and income tax provision applicable to Adjusted Net Income.</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Adjusted EBITDA margin is equal to Adjusted EBITDA divided by net revenues.</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We define Adjusted EPS as Adjusted Net Income divided by the weighted average number of diluted shares outstanding.</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Our Net Debt is equal to our total debt, net of unamortized debt issuance costs and debt discounts, less cash and cash equivalents.</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Our Net Leverage Ratio is equal to Net Debt divided by Adjusted EBITDA.</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Tax Rate Applicable to Adjusted Net Income represents the difference between the income tax provision as determined under U.S. GAAP and the income tax benefit/provision associated with pre-tax adjustments used to calculate Adjusted Net Income.</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About Sotera Health</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Sotera Health Company is a leading global provider of mission-critical end-to-end sterilization solutions, lab testing and advisory services for the healthcare industry. Sotera Health goes to market through three businesses – Sterigenics®, Nordion® and Nelson Labs®. Sotera Health is committed to its mission, Safeguarding Global Health®.</w:t>
      </w:r>
    </w:p>
    <w:p>
      <w:pPr>
        <w:pStyle w:val="TextBody"/>
        <w:bidi w:val="0"/>
        <w:spacing w:lineRule="auto" w:line="288" w:before="200" w:after="283"/>
        <w:jc w:val="left"/>
        <w:rPr/>
      </w:pPr>
      <w:r>
        <w:rPr>
          <w:rFonts w:ascii="sans-serif" w:hAnsi="sans-serif"/>
          <w:b w:val="false"/>
          <w:color w:val="000000"/>
          <w:sz w:val="22"/>
        </w:rPr>
        <w:t xml:space="preserve">Updates on recent developments in matters relevant to investors can be found on the Investor Relations section of the Sotera Health website at </w:t>
      </w:r>
      <w:r>
        <w:rPr>
          <w:rFonts w:ascii="sans-serif" w:hAnsi="sans-serif"/>
          <w:b w:val="false"/>
          <w:color w:val="0E32E1"/>
          <w:sz w:val="22"/>
          <w:u w:val="single"/>
        </w:rPr>
        <w:t>Investor Relations | Sotera Health</w:t>
      </w:r>
      <w:r>
        <w:rPr>
          <w:rFonts w:ascii="sans-serif" w:hAnsi="sans-serif"/>
          <w:b w:val="false"/>
          <w:color w:val="000000"/>
          <w:sz w:val="22"/>
        </w:rPr>
        <w:t xml:space="preserve">. For developments related to EO, updates can be found at </w:t>
      </w:r>
      <w:r>
        <w:rPr>
          <w:rFonts w:ascii="sans-serif" w:hAnsi="sans-serif"/>
          <w:b w:val="false"/>
          <w:color w:val="0E32E1"/>
          <w:sz w:val="22"/>
          <w:u w:val="single"/>
        </w:rPr>
        <w:t>Ethylene Oxide | Sotera Health</w:t>
      </w:r>
      <w:r>
        <w:rPr>
          <w:rFonts w:ascii="sans-serif" w:hAnsi="sans-serif"/>
          <w:b w:val="false"/>
          <w:color w:val="000000"/>
          <w:sz w:val="22"/>
        </w:rPr>
        <w:t>.</w:t>
      </w:r>
    </w:p>
    <w:p>
      <w:pPr>
        <w:pStyle w:val="TextBody"/>
        <w:bidi w:val="0"/>
        <w:spacing w:before="240" w:after="283"/>
        <w:jc w:val="left"/>
        <w:rPr/>
      </w:pPr>
      <w:r>
        <w:rPr/>
      </w:r>
    </w:p>
    <w:p>
      <w:pPr>
        <w:pStyle w:val="TextBody"/>
        <w:bidi w:val="0"/>
        <w:spacing w:before="1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left"/>
        <w:rPr>
          <w:rFonts w:ascii="sans-serif" w:hAnsi="sans-serif"/>
          <w:b/>
          <w:color w:val="000000"/>
          <w:sz w:val="22"/>
          <w:u w:val="single"/>
        </w:rPr>
      </w:pPr>
      <w:r>
        <w:rPr>
          <w:rFonts w:ascii="sans-serif" w:hAnsi="sans-serif"/>
          <w:b/>
          <w:color w:val="000000"/>
          <w:sz w:val="22"/>
          <w:u w:val="single"/>
        </w:rPr>
        <w:t xml:space="preserve">INVESTOR RELATIONS </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Jason Peterson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Vice President Investor Relations, Sotera Health                </w:t>
      </w:r>
    </w:p>
    <w:p>
      <w:pPr>
        <w:pStyle w:val="TextBody"/>
        <w:bidi w:val="0"/>
        <w:spacing w:lineRule="auto" w:line="288" w:before="0" w:after="0"/>
        <w:jc w:val="left"/>
        <w:rPr/>
      </w:pPr>
      <w:r>
        <w:rPr>
          <w:rFonts w:ascii="sans-serif" w:hAnsi="sans-serif"/>
          <w:b w:val="false"/>
          <w:color w:val="3051F2"/>
          <w:sz w:val="22"/>
          <w:u w:val="single"/>
        </w:rPr>
        <w:t>IR@soterahealth.com</w:t>
      </w:r>
      <w:r>
        <w:rPr>
          <w:color w:val="000000"/>
        </w:rPr>
        <w:t xml:space="preserve">                     </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u w:val="single"/>
        </w:rPr>
      </w:pPr>
      <w:r>
        <w:rPr>
          <w:rFonts w:ascii="sans-serif" w:hAnsi="sans-serif"/>
          <w:b/>
          <w:color w:val="000000"/>
          <w:sz w:val="22"/>
          <w:u w:val="single"/>
        </w:rPr>
        <w:t xml:space="preserve">MEDIA </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Kristin Gibbs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Marketing Officer, Sotera Health</w:t>
      </w:r>
    </w:p>
    <w:p>
      <w:pPr>
        <w:pStyle w:val="TextBody"/>
        <w:bidi w:val="0"/>
        <w:spacing w:lineRule="auto" w:line="288" w:before="0" w:after="0"/>
        <w:jc w:val="left"/>
        <w:rPr>
          <w:rFonts w:ascii="sans-serif" w:hAnsi="sans-serif"/>
          <w:b w:val="false"/>
          <w:color w:val="3051F2"/>
          <w:sz w:val="22"/>
          <w:u w:val="single"/>
        </w:rPr>
      </w:pPr>
      <w:r>
        <w:rPr>
          <w:rFonts w:ascii="sans-serif" w:hAnsi="sans-serif"/>
          <w:b w:val="false"/>
          <w:color w:val="3051F2"/>
          <w:sz w:val="22"/>
          <w:u w:val="single"/>
        </w:rPr>
        <w:t>kgibbs@soterahealth.com</w:t>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Source: Sotera Health Company</w:t>
      </w:r>
    </w:p>
    <w:p>
      <w:pPr>
        <w:pStyle w:val="TextBody"/>
        <w:bidi w:val="0"/>
        <w:spacing w:lineRule="auto" w:line="288" w:before="100" w:after="200"/>
        <w:jc w:val="center"/>
        <w:rPr>
          <w:rFonts w:ascii="sans-serif" w:hAnsi="sans-serif"/>
          <w:b w:val="false"/>
          <w:color w:val="000000"/>
          <w:sz w:val="22"/>
        </w:rPr>
      </w:pPr>
      <w:r>
        <w:rPr>
          <w:rFonts w:ascii="sans-serif" w:hAnsi="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Consolidated Statements of Operations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3"/>
        <w:gridCol w:w="1284"/>
        <w:gridCol w:w="129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156"/>
      </w:tblGrid>
      <w:tr>
        <w:trPr/>
        <w:tc>
          <w:tcPr>
            <w:tcW w:w="155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143,412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177,963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Sotera Health Company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3.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Segment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73"/>
        <w:gridCol w:w="1390"/>
        <w:gridCol w:w="1401"/>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195,749 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165,739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Less adjustments: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foreign currency and derivatives not designated as hedging instruments, net</w:t>
            </w:r>
            <w:r>
              <w:rPr>
                <w:rFonts w:ascii="Times New Roman;serif" w:hAnsi="Times New Roman;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 Includes depreciation of Co-60 held at gamma irradiation sites and excludes accelerated depreciation associated with business optimization activities.</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    Represents share-based compensation expense related to employees and Non-Employee Directors.</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(c)    Represents the write-off of unamortized debt issuance costs and discounts, as well as certain other costs incurred related to the Refinancing Term Loans and the Revolving Credit Facility.</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(d)    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(e)    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(f)    Represents litigation and other professional fees associated with our EO sterilization facilities. </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(g)    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pStyle w:val="TextBody"/>
        <w:bidi w:val="0"/>
        <w:spacing w:lineRule="auto" w:line="288" w:before="4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(h)    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Sotera Health Company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3.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436" w:type="dxa"/>
        <w:jc w:val="center"/>
        <w:tblInd w:w="0" w:type="dxa"/>
        <w:tblLayout w:type="fixed"/>
        <w:tblCellMar>
          <w:top w:w="28" w:type="dxa"/>
          <w:left w:w="28" w:type="dxa"/>
          <w:bottom w:w="28" w:type="dxa"/>
          <w:right w:w="28" w:type="dxa"/>
        </w:tblCellMar>
      </w:tblPr>
      <w:tblGrid>
        <w:gridCol w:w="1091"/>
        <w:gridCol w:w="963"/>
        <w:gridCol w:w="975"/>
        <w:gridCol w:w="211"/>
        <w:gridCol w:w="991"/>
        <w:gridCol w:w="109"/>
        <w:gridCol w:w="109"/>
        <w:gridCol w:w="109"/>
        <w:gridCol w:w="109"/>
        <w:gridCol w:w="278"/>
        <w:gridCol w:w="1288"/>
        <w:gridCol w:w="203"/>
      </w:tblGrid>
      <w:tr>
        <w:trPr/>
        <w:tc>
          <w:tcPr>
            <w:tcW w:w="109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646,458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1,130,564 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1,091,255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100,320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3,306,790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3,263,190 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2,125,534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2,641,142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2,657,155 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665,648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606,035 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3,306,790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3,263,190 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879" w:type="dxa"/>
        <w:jc w:val="center"/>
        <w:tblInd w:w="0" w:type="dxa"/>
        <w:tblLayout w:type="fixed"/>
        <w:tblCellMar>
          <w:top w:w="28" w:type="dxa"/>
          <w:left w:w="28" w:type="dxa"/>
          <w:bottom w:w="28" w:type="dxa"/>
          <w:right w:w="28" w:type="dxa"/>
        </w:tblCellMar>
      </w:tblPr>
      <w:tblGrid>
        <w:gridCol w:w="2609"/>
        <w:gridCol w:w="2288"/>
        <w:gridCol w:w="2303"/>
        <w:gridCol w:w="211"/>
        <w:gridCol w:w="841"/>
        <w:gridCol w:w="109"/>
        <w:gridCol w:w="109"/>
        <w:gridCol w:w="109"/>
        <w:gridCol w:w="109"/>
        <w:gridCol w:w="211"/>
        <w:gridCol w:w="826"/>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 on equity awards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including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85,088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 net of tax refunds received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included in 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7"/>
        <w:gridCol w:w="1585"/>
        <w:gridCol w:w="1573"/>
        <w:gridCol w:w="297"/>
        <w:gridCol w:w="192"/>
        <w:gridCol w:w="499"/>
        <w:gridCol w:w="153"/>
        <w:gridCol w:w="153"/>
        <w:gridCol w:w="153"/>
        <w:gridCol w:w="286"/>
        <w:gridCol w:w="225"/>
        <w:gridCol w:w="466"/>
        <w:gridCol w:w="109"/>
        <w:gridCol w:w="109"/>
        <w:gridCol w:w="109"/>
        <w:gridCol w:w="265"/>
        <w:gridCol w:w="237"/>
        <w:gridCol w:w="502"/>
        <w:gridCol w:w="141"/>
        <w:gridCol w:w="141"/>
        <w:gridCol w:w="141"/>
        <w:gridCol w:w="272"/>
        <w:gridCol w:w="194"/>
        <w:gridCol w:w="546"/>
      </w:tblGrid>
      <w:tr>
        <w:trPr/>
        <w:tc>
          <w:tcPr>
            <w:tcW w:w="1857"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53,643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80,232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5,563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11,165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30,598</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7,383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21,825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15,418</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on foreign currency and derivatives not designated as hedging instruments, net</w:t>
            </w:r>
            <w:r>
              <w:rPr>
                <w:rFonts w:ascii="Times New Roman;serif" w:hAnsi="Times New Roman;serif"/>
                <w:b w:val="false"/>
                <w:color w:val="000000"/>
                <w:sz w:val="12"/>
              </w:rPr>
              <w:t>(c)</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(4,270)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(3,646)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1,923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2,880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13,349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23,204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26,363</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Illinois EO litigation settlements</w:t>
            </w:r>
            <w:r>
              <w:rPr>
                <w:rFonts w:ascii="Times New Roman;serif" w:hAnsi="Times New Roman;serif"/>
                <w:b w:val="false"/>
                <w:color w:val="000000"/>
                <w:sz w:val="12"/>
              </w:rPr>
              <w:t>(f)</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64,943</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Accretion of asset retirement obligation</w:t>
            </w:r>
            <w:r>
              <w:rPr>
                <w:rFonts w:ascii="Times New Roman;serif" w:hAnsi="Times New Roman;serif"/>
                <w:b w:val="false"/>
                <w:color w:val="000000"/>
                <w:sz w:val="12"/>
              </w:rPr>
              <w:t>(g)</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benefit associated with pre-tax adjustments</w:t>
            </w:r>
            <w:r>
              <w:rPr>
                <w:rFonts w:ascii="Times New Roman;serif" w:hAnsi="Times New Roman;serif"/>
                <w:b w:val="false"/>
                <w:color w:val="000000"/>
                <w:sz w:val="12"/>
              </w:rPr>
              <w:t>(h)</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(5,200)</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(11,576)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(41,485)</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73,961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126,327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95,106</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34,405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69,150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81,527</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27,765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52,907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45,084</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29,608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52,008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50,857</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165,739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300,392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272,574</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321,375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601,420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548,864</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w:t>
            </w: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285,773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285,333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283,747</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rFonts w:ascii="Times New Roman;serif" w:hAnsi="Times New Roman;serif"/>
                <w:b w:val="false"/>
                <w:color w:val="000000"/>
                <w:sz w:val="12"/>
              </w:rPr>
              <w:t>(l)</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288,148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287,915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285,684</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0.28</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earnings per share</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r>
      <w:tr>
        <w:trPr/>
        <w:tc>
          <w:tcPr>
            <w:tcW w:w="5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r>
    </w:tbl>
    <w:p>
      <w:pPr>
        <w:pStyle w:val="TextBody"/>
        <w:bidi w:val="0"/>
        <w:spacing w:lineRule="auto" w:line="288" w:before="40" w:after="283"/>
        <w:jc w:val="left"/>
        <w:rPr>
          <w:rFonts w:ascii="Times New Roman;serif" w:hAnsi="Times New Roman;serif"/>
          <w:b w:val="false"/>
          <w:color w:val="000000"/>
          <w:sz w:val="17"/>
        </w:rPr>
      </w:pPr>
      <w:r>
        <w:rPr>
          <w:rFonts w:ascii="Times New Roman;serif" w:hAnsi="Times New Roman;serif"/>
          <w:b w:val="false"/>
          <w:color w:val="000000"/>
          <w:sz w:val="17"/>
        </w:rPr>
        <w:t>(a)    Represents share-based compensation expense related to employees and Non-Employee Directors.</w:t>
      </w:r>
    </w:p>
    <w:p>
      <w:pPr>
        <w:pStyle w:val="TextBody"/>
        <w:bidi w:val="0"/>
        <w:spacing w:lineRule="auto" w:line="288" w:before="40" w:after="283"/>
        <w:ind w:left="0" w:right="0" w:hanging="720"/>
        <w:jc w:val="left"/>
        <w:rPr/>
      </w:pPr>
      <w:r>
        <w:rPr>
          <w:rFonts w:ascii="Times New Roman;serif" w:hAnsi="Times New Roman;serif"/>
          <w:b w:val="false"/>
          <w:color w:val="000000"/>
          <w:sz w:val="17"/>
        </w:rPr>
        <w:t>(b)</w:t>
      </w:r>
      <w:r>
        <w:rPr>
          <w:color w:val="000000"/>
        </w:rPr>
        <w:t>    </w:t>
      </w:r>
      <w:r>
        <w:rPr>
          <w:rFonts w:ascii="Times New Roman;serif" w:hAnsi="Times New Roman;serif"/>
          <w:b w:val="false"/>
          <w:color w:val="000000"/>
          <w:sz w:val="17"/>
        </w:rPr>
        <w:t>Represents the write-off of unamortized debt issuance costs and discounts, as well as certain other costs incurred related to the Refinancing Term Loans and the Revolving Credit Facility.</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(c)    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(d)    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 xml:space="preserve">(e)    Represents litigation and other professional fees associated with our EO sterilization facilities. </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(f)    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(g)    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(h)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(i)    Includes depreciation of Co-60 held at gamma irradiation sites and excludes accelerated depreciation associated with business optimization activities.</w:t>
      </w:r>
    </w:p>
    <w:p>
      <w:pPr>
        <w:pStyle w:val="TextBody"/>
        <w:bidi w:val="0"/>
        <w:spacing w:lineRule="auto" w:line="288" w:before="40" w:after="283"/>
        <w:ind w:left="0" w:right="0" w:hanging="720"/>
        <w:jc w:val="left"/>
        <w:rPr/>
      </w:pPr>
      <w:r>
        <w:rPr>
          <w:rFonts w:ascii="Times New Roman;serif" w:hAnsi="Times New Roman;serif"/>
          <w:b w:val="false"/>
          <w:color w:val="231F20"/>
          <w:sz w:val="17"/>
        </w:rPr>
        <w:t>(j)    </w:t>
      </w:r>
      <w:r>
        <w:rPr>
          <w:rFonts w:ascii="Times New Roman;serif" w:hAnsi="Times New Roman;serif"/>
          <w:b w:val="false"/>
          <w:color w:val="000000"/>
          <w:sz w:val="17"/>
        </w:rPr>
        <w:t>Represents the difference between the income tax provision as determined under GAAP and the income tax benefit associated with pre-tax adjustments described in footnote (h).</w:t>
      </w:r>
    </w:p>
    <w:p>
      <w:pPr>
        <w:pStyle w:val="TextBody"/>
        <w:bidi w:val="0"/>
        <w:spacing w:lineRule="auto" w:line="288" w:before="40" w:after="283"/>
        <w:ind w:left="0" w:right="0" w:hanging="720"/>
        <w:jc w:val="left"/>
        <w:rPr/>
      </w:pPr>
      <w:r>
        <w:rPr>
          <w:rFonts w:ascii="Times New Roman;serif" w:hAnsi="Times New Roman;serif"/>
          <w:b w:val="false"/>
          <w:color w:val="231F20"/>
          <w:sz w:val="17"/>
        </w:rPr>
        <w:t>(k)    </w:t>
      </w:r>
      <w:r>
        <w:rPr>
          <w:rFonts w:ascii="Times New Roman;serif" w:hAnsi="Times New Roman;serif"/>
          <w:b w:val="false"/>
          <w:color w:val="000000"/>
          <w:sz w:val="17"/>
        </w:rPr>
        <w:t>$28.9 million and $24.4 million of the adjustments for the three months ended June 30, 2026 and 2025, respectively, and $55.2 million and $48.6 million of the adjustments for the six months ended June 30, 2026 and 2025, respectively, are included in cost of revenues, primarily consisting of amortization of intangible assets, depreciation, and accretion of asset retirement obligations.</w:t>
      </w:r>
    </w:p>
    <w:p>
      <w:pPr>
        <w:pStyle w:val="TextBody"/>
        <w:bidi w:val="0"/>
        <w:spacing w:lineRule="auto" w:line="288" w:before="40" w:after="283"/>
        <w:ind w:left="0" w:right="0" w:hanging="720"/>
        <w:jc w:val="left"/>
        <w:rPr/>
      </w:pPr>
      <w:r>
        <w:rPr>
          <w:rFonts w:ascii="Times New Roman;serif" w:hAnsi="Times New Roman;serif"/>
          <w:b w:val="false"/>
          <w:color w:val="000000"/>
          <w:sz w:val="17"/>
        </w:rPr>
        <w:t>(l)    </w:t>
      </w:r>
      <w:r>
        <w:rPr>
          <w:rFonts w:ascii="Times New Roman;serif" w:hAnsi="Times New Roman;serif"/>
          <w:b w:val="false"/>
          <w:color w:val="231F20"/>
          <w:sz w:val="17"/>
        </w:rPr>
        <w:t>For the six months ended June 30, 2025, the diluted weighted average shares outstanding presented in this table reflects the amount that would be reported under U.S. GAAP if the Company were to have net income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in thousands except Net Leverage)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301" w:type="dxa"/>
        <w:jc w:val="center"/>
        <w:tblInd w:w="0" w:type="dxa"/>
        <w:tblLayout w:type="fixed"/>
        <w:tblCellMar>
          <w:top w:w="28" w:type="dxa"/>
          <w:left w:w="28" w:type="dxa"/>
          <w:bottom w:w="28" w:type="dxa"/>
          <w:right w:w="28" w:type="dxa"/>
        </w:tblCellMar>
      </w:tblPr>
      <w:tblGrid>
        <w:gridCol w:w="1049"/>
        <w:gridCol w:w="919"/>
        <w:gridCol w:w="926"/>
        <w:gridCol w:w="211"/>
        <w:gridCol w:w="991"/>
        <w:gridCol w:w="109"/>
        <w:gridCol w:w="109"/>
        <w:gridCol w:w="109"/>
        <w:gridCol w:w="109"/>
        <w:gridCol w:w="278"/>
        <w:gridCol w:w="1288"/>
        <w:gridCol w:w="203"/>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2,125,534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2,234,764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2,237,997 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(344,621)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1,893,376 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3.2x</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(a)Represents Adjusted EBITDA for the twelve months ended June 30, 2026 and December 31, 2025, respectively. Refer to the reconciliation of net income (the most comparable GAAP measure) to Adjusted EBITDA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65"/>
        <w:gridCol w:w="1701"/>
        <w:gridCol w:w="1727"/>
        <w:gridCol w:w="341"/>
        <w:gridCol w:w="1546"/>
        <w:gridCol w:w="189"/>
        <w:gridCol w:w="109"/>
        <w:gridCol w:w="109"/>
        <w:gridCol w:w="109"/>
        <w:gridCol w:w="385"/>
        <w:gridCol w:w="1716"/>
        <w:gridCol w:w="308"/>
      </w:tblGrid>
      <w:tr>
        <w:trPr/>
        <w:tc>
          <w:tcPr>
            <w:tcW w:w="1965"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Twelve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Twelve Months Ended December 31,</w:t>
            </w:r>
          </w:p>
        </w:tc>
      </w:tr>
      <w:tr>
        <w:trPr/>
        <w:tc>
          <w:tcPr>
            <w:tcW w:w="5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163,479</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22,365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37,475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Loss on foreign currency and derivatives not designated as hedging instruments, net</w:t>
            </w:r>
            <w:r>
              <w:rPr>
                <w:rFonts w:ascii="Times New Roman;serif" w:hAnsi="Times New Roman;serif"/>
                <w:b w:val="false"/>
                <w:color w:val="000000"/>
                <w:sz w:val="12"/>
              </w:rPr>
              <w:t>(c)</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6,471</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43,066</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Illinois EO litigation settlement</w:t>
            </w:r>
            <w:r>
              <w:rPr>
                <w:rFonts w:ascii="Times New Roman;serif" w:hAnsi="Times New Roman;serif"/>
                <w:b w:val="false"/>
                <w:color w:val="000000"/>
                <w:sz w:val="12"/>
              </w:rPr>
              <w:t>(f)</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Accretion of asset retirement obligation</w:t>
            </w:r>
            <w:r>
              <w:rPr>
                <w:rFonts w:ascii="Times New Roman;serif" w:hAnsi="Times New Roman;serif"/>
                <w:b w:val="false"/>
                <w:color w:val="000000"/>
                <w:sz w:val="12"/>
              </w:rPr>
              <w:t>(g)</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2,491</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(benefit) associated with pre-tax adjustments</w:t>
            </w:r>
            <w:r>
              <w:rPr>
                <w:rFonts w:ascii="Times New Roman;serif" w:hAnsi="Times New Roman;serif"/>
                <w:b w:val="false"/>
                <w:color w:val="000000"/>
                <w:sz w:val="12"/>
              </w:rPr>
              <w:t>(h)</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1,431</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(28,478)</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276,635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245,414 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143,345</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155,722 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102,453</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99,186</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621,619</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593,801 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1,216,173</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r>
    </w:tbl>
    <w:p>
      <w:pPr>
        <w:pStyle w:val="TextBody"/>
        <w:bidi w:val="0"/>
        <w:spacing w:lineRule="auto" w:line="288" w:before="120" w:after="283"/>
        <w:ind w:left="0" w:right="0" w:hanging="360"/>
        <w:jc w:val="left"/>
        <w:rPr/>
      </w:pPr>
      <w:r>
        <w:rPr>
          <w:rFonts w:ascii="Times New Roman;serif" w:hAnsi="Times New Roman;serif"/>
          <w:b w:val="false"/>
          <w:color w:val="231F20"/>
          <w:sz w:val="17"/>
        </w:rPr>
        <w:t>(a)</w:t>
      </w:r>
      <w:r>
        <w:rPr>
          <w:rFonts w:ascii="Times New Roman;serif" w:hAnsi="Times New Roman;serif"/>
          <w:b w:val="false"/>
          <w:color w:val="000000"/>
          <w:sz w:val="17"/>
        </w:rPr>
        <w:t>Represents share-based compensation expense related to employees and Non-Employee Directors.</w:t>
      </w:r>
    </w:p>
    <w:p>
      <w:pPr>
        <w:pStyle w:val="TextBody"/>
        <w:bidi w:val="0"/>
        <w:spacing w:lineRule="auto" w:line="288" w:before="4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(b)Represents the write-off of unamortized debt issuance costs and discounts, as well as certain other costs incurred related to the Refinancing Term Loans and the Revolving Credit Facility.</w:t>
      </w:r>
    </w:p>
    <w:p>
      <w:pPr>
        <w:pStyle w:val="TextBody"/>
        <w:bidi w:val="0"/>
        <w:spacing w:lineRule="auto" w:line="288" w:before="40" w:after="283"/>
        <w:ind w:left="0" w:right="0" w:hanging="360"/>
        <w:jc w:val="left"/>
        <w:rPr/>
      </w:pPr>
      <w:r>
        <w:rPr>
          <w:rFonts w:ascii="Times New Roman;serif" w:hAnsi="Times New Roman;serif"/>
          <w:b w:val="false"/>
          <w:color w:val="231F20"/>
          <w:sz w:val="17"/>
        </w:rPr>
        <w:t>(c)</w:t>
      </w:r>
      <w:r>
        <w:rPr>
          <w:rFonts w:ascii="Times New Roman;serif" w:hAnsi="Times New Roman;serif"/>
          <w:b w:val="false"/>
          <w:color w:val="000000"/>
          <w:sz w:val="17"/>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(d)Represents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 </w:t>
      </w:r>
    </w:p>
    <w:p>
      <w:pPr>
        <w:pStyle w:val="TextBody"/>
        <w:bidi w:val="0"/>
        <w:spacing w:lineRule="auto" w:line="288" w:before="40" w:after="283"/>
        <w:ind w:left="0" w:right="0" w:hanging="360"/>
        <w:jc w:val="left"/>
        <w:rPr/>
      </w:pPr>
      <w:r>
        <w:rPr>
          <w:rFonts w:ascii="Times New Roman;serif" w:hAnsi="Times New Roman;serif"/>
          <w:b w:val="false"/>
          <w:color w:val="231F20"/>
          <w:sz w:val="17"/>
          <w:shd w:fill="FFFFFF" w:val="clear"/>
        </w:rPr>
        <w:t>(e)</w:t>
      </w:r>
      <w:r>
        <w:rPr>
          <w:rFonts w:ascii="Times New Roman;serif" w:hAnsi="Times New Roman;serif"/>
          <w:b w:val="false"/>
          <w:color w:val="000000"/>
          <w:sz w:val="17"/>
        </w:rPr>
        <w:t xml:space="preserve">Represents litigation and other professional fees associated with our EO sterilization facilities. </w:t>
      </w:r>
    </w:p>
    <w:p>
      <w:pPr>
        <w:pStyle w:val="TextBody"/>
        <w:bidi w:val="0"/>
        <w:spacing w:lineRule="auto" w:line="288" w:before="4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(f)Represents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pStyle w:val="TextBody"/>
        <w:bidi w:val="0"/>
        <w:spacing w:lineRule="auto" w:line="288" w:before="4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(g)Represents non-cash accretion of ARO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360"/>
        <w:jc w:val="left"/>
        <w:rPr/>
      </w:pPr>
      <w:r>
        <w:rPr>
          <w:rFonts w:ascii="Times New Roman;serif" w:hAnsi="Times New Roman;serif"/>
          <w:b w:val="false"/>
          <w:color w:val="231F20"/>
          <w:sz w:val="17"/>
          <w:shd w:fill="FFFFFF" w:val="clear"/>
        </w:rPr>
        <w:t>(h)</w:t>
      </w:r>
      <w:r>
        <w:rPr>
          <w:rFonts w:ascii="Times New Roman;serif" w:hAnsi="Times New Roman;serif"/>
          <w:b w:val="false"/>
          <w:color w:val="000000"/>
          <w:sz w:val="17"/>
        </w:rPr>
        <w:t>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360"/>
        <w:jc w:val="left"/>
        <w:rPr/>
      </w:pPr>
      <w:r>
        <w:rPr>
          <w:rFonts w:ascii="Times New Roman;serif" w:hAnsi="Times New Roman;serif"/>
          <w:b w:val="false"/>
          <w:color w:val="000000"/>
          <w:sz w:val="17"/>
          <w:shd w:fill="FFFFFF" w:val="clear"/>
        </w:rPr>
        <w:t>(i)</w:t>
      </w:r>
      <w:r>
        <w:rPr>
          <w:rFonts w:ascii="Times New Roman;serif" w:hAnsi="Times New Roman;serif"/>
          <w:b w:val="false"/>
          <w:color w:val="000000"/>
          <w:sz w:val="17"/>
        </w:rPr>
        <w:t>Includes depreciation of Co-60 held at gamma irradiation sites and excludes accelerated depreciation associated with business optimization activities.</w:t>
      </w:r>
    </w:p>
    <w:p>
      <w:pPr>
        <w:pStyle w:val="TextBody"/>
        <w:bidi w:val="0"/>
        <w:spacing w:lineRule="auto" w:line="288" w:before="40" w:after="283"/>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(j)Represents the difference between the income tax provision as determined under GAAP and the income tax benefit associated with pre-tax adjustments described in footnote (h).</w:t>
      </w:r>
    </w:p>
    <w:p>
      <w:pPr>
        <w:pStyle w:val="TextBody"/>
        <w:bidi w:val="0"/>
        <w:spacing w:lineRule="auto" w:line="288" w:before="40" w:after="283"/>
        <w:ind w:left="0" w:right="0" w:hanging="360"/>
        <w:jc w:val="left"/>
        <w:rPr/>
      </w:pPr>
      <w:r>
        <w:rPr>
          <w:rFonts w:ascii="Times New Roman;serif" w:hAnsi="Times New Roman;serif"/>
          <w:b w:val="false"/>
          <w:color w:val="231F20"/>
          <w:sz w:val="17"/>
        </w:rPr>
        <w:t>(k)</w:t>
      </w:r>
      <w:r>
        <w:rPr>
          <w:rFonts w:ascii="Times New Roman;serif" w:hAnsi="Times New Roman;serif"/>
          <w:b w:val="false"/>
          <w:color w:val="000000"/>
          <w:sz w:val="17"/>
        </w:rPr>
        <w:t>$106.5 million and $99.9 million of the adjustments for the twelve months ended June 30, 2026 and December 31, 2025, respectively, are included in cost of revenues, primarily consisting of amortization of intangible assets, depreciation, and accretion of asset retirement obligations.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5547</Words>
  <Characters>32158</Characters>
  <CharactersWithSpaces>37292</CharactersWithSpaces>
  <Paragraphs>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