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Rutz Michael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SOTERA HEALTH COMPANY</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9100 SOUTH HILLS BLVD,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31"/>
        </w:trPr>
        <w:tc>
          <w:tcPr>
            <w:tcW w:w="1260" w:type="dxa"/>
            <w:vAlign w:val="bottom"/>
          </w:tcPr>
          <w:p>
            <w:pPr>
              <w:ind w:left="40"/>
              <w:spacing w:after="0"/>
              <w:rPr>
                <w:sz w:val="20"/>
                <w:szCs w:val="20"/>
                <w:color w:val="auto"/>
              </w:rPr>
            </w:pPr>
            <w:r>
              <w:rPr>
                <w:rFonts w:ascii="Arial" w:cs="Arial" w:eastAsia="Arial" w:hAnsi="Arial"/>
                <w:sz w:val="20"/>
                <w:szCs w:val="20"/>
                <w:color w:val="0000FF"/>
                <w:w w:val="98"/>
              </w:rPr>
              <w:t>BROADVIEW</w:t>
            </w:r>
          </w:p>
        </w:tc>
        <w:tc>
          <w:tcPr>
            <w:tcW w:w="620" w:type="dxa"/>
            <w:vAlign w:val="bottom"/>
          </w:tcPr>
          <w:p>
            <w:pPr>
              <w:ind w:left="40"/>
              <w:spacing w:after="0"/>
              <w:rPr>
                <w:sz w:val="20"/>
                <w:szCs w:val="20"/>
                <w:color w:val="auto"/>
              </w:rPr>
            </w:pPr>
            <w:r>
              <w:rPr>
                <w:rFonts w:ascii="Arial" w:cs="Arial" w:eastAsia="Arial" w:hAnsi="Arial"/>
                <w:sz w:val="20"/>
                <w:szCs w:val="20"/>
                <w:color w:val="0000FF"/>
              </w:rPr>
              <w:t>OH</w:t>
            </w:r>
          </w:p>
        </w:tc>
        <w:tc>
          <w:tcPr>
            <w:tcW w:w="780" w:type="dxa"/>
            <w:vAlign w:val="bottom"/>
          </w:tcPr>
          <w:p>
            <w:pPr>
              <w:jc w:val="right"/>
              <w:spacing w:after="0"/>
              <w:rPr>
                <w:sz w:val="20"/>
                <w:szCs w:val="20"/>
                <w:color w:val="auto"/>
              </w:rPr>
            </w:pPr>
            <w:r>
              <w:rPr>
                <w:rFonts w:ascii="Arial" w:cs="Arial" w:eastAsia="Arial" w:hAnsi="Arial"/>
                <w:sz w:val="20"/>
                <w:szCs w:val="20"/>
                <w:color w:val="0000FF"/>
              </w:rPr>
              <w:t>44147</w:t>
            </w:r>
          </w:p>
        </w:tc>
      </w:tr>
      <w:tr>
        <w:trPr>
          <w:trHeight w:val="248"/>
        </w:trPr>
        <w:tc>
          <w:tcPr>
            <w:tcW w:w="1260" w:type="dxa"/>
            <w:vAlign w:val="bottom"/>
          </w:tcPr>
          <w:p>
            <w:pPr>
              <w:ind w:left="40"/>
              <w:spacing w:after="0"/>
              <w:rPr>
                <w:sz w:val="20"/>
                <w:szCs w:val="20"/>
                <w:color w:val="auto"/>
              </w:rPr>
            </w:pPr>
            <w:r>
              <w:rPr>
                <w:rFonts w:ascii="Arial" w:cs="Arial" w:eastAsia="Arial" w:hAnsi="Arial"/>
                <w:sz w:val="20"/>
                <w:szCs w:val="20"/>
                <w:color w:val="0000FF"/>
              </w:rPr>
              <w:t>HEIGHTS</w:t>
            </w: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President of Sterigenics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5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9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000" w:type="dxa"/>
            <w:vAlign w:val="bottom"/>
            <w:gridSpan w:val="4"/>
          </w:tcPr>
          <w:p>
            <w:pPr>
              <w:ind w:left="80"/>
              <w:spacing w:after="0"/>
              <w:rPr>
                <w:sz w:val="20"/>
                <w:szCs w:val="20"/>
                <w:color w:val="auto"/>
              </w:rPr>
            </w:pPr>
            <w:r>
              <w:rPr>
                <w:rFonts w:ascii="Arial" w:cs="Arial" w:eastAsia="Arial" w:hAnsi="Arial"/>
                <w:sz w:val="20"/>
                <w:szCs w:val="20"/>
                <w:color w:val="0000FF"/>
              </w:rPr>
              <w:t>Common Stock, $0.01 par value per share ("Common</w:t>
            </w:r>
          </w:p>
        </w:tc>
        <w:tc>
          <w:tcPr>
            <w:tcW w:w="1540" w:type="dxa"/>
            <w:vAlign w:val="bottom"/>
            <w:vMerge w:val="restart"/>
          </w:tcPr>
          <w:p>
            <w:pPr>
              <w:ind w:left="460"/>
              <w:spacing w:after="0"/>
              <w:rPr>
                <w:sz w:val="20"/>
                <w:szCs w:val="20"/>
                <w:color w:val="auto"/>
              </w:rPr>
            </w:pPr>
            <w:r>
              <w:rPr>
                <w:rFonts w:ascii="Arial" w:cs="Arial" w:eastAsia="Arial" w:hAnsi="Arial"/>
                <w:sz w:val="20"/>
                <w:szCs w:val="20"/>
                <w:color w:val="0000FF"/>
              </w:rPr>
              <w:t>594,957</w:t>
            </w:r>
            <w:r>
              <w:rPr>
                <w:rFonts w:ascii="Arial" w:cs="Arial" w:eastAsia="Arial" w:hAnsi="Arial"/>
                <w:sz w:val="25"/>
                <w:szCs w:val="25"/>
                <w:color w:val="008000"/>
                <w:vertAlign w:val="superscript"/>
              </w:rPr>
              <w:t>(1)</w:t>
            </w:r>
          </w:p>
        </w:tc>
        <w:tc>
          <w:tcPr>
            <w:tcW w:w="1020" w:type="dxa"/>
            <w:vAlign w:val="bottom"/>
            <w:gridSpan w:val="2"/>
            <w:vMerge w:val="restart"/>
          </w:tcPr>
          <w:p>
            <w:pPr>
              <w:ind w:left="86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shares of Common Stock received as a liquidating distribution from Sotera Health Topco Parent, L.P. ("Topco Parent") on November 19, 2020. 16,199 of the shares of Common Stock are vested, and 578,758 of the shares of Common Stock remain subject to vesting conditions. 20% of the unvested shares of Common Stock will vest on May 13, 2021 (the one year anniversary of the date of grant), and the remaining unvested shares will vest on a daily basis, pro rata thereafter, through May 13, 2025.</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Jessica L. M. H. Epp,</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KNOW ALL BY THESE PRESENTS, that the undersigned hereby makes, constitutes and appoints Matthew J. Klaben, Jessica L. M. H. Epp and David Lopez, acting singly and with full power of substitution or revocation, the undersigned’s true and lawful attorneys-in-fact, with full power and authority as hereinafter described on behalf of and in the name, place and stead of the undersigned to:</w:t>
      </w:r>
    </w:p>
    <w:p>
      <w:pPr>
        <w:spacing w:after="0" w:line="163" w:lineRule="exact"/>
        <w:rPr>
          <w:sz w:val="20"/>
          <w:szCs w:val="20"/>
          <w:color w:val="auto"/>
        </w:rPr>
      </w:pPr>
    </w:p>
    <w:p>
      <w:pPr>
        <w:ind w:right="20" w:firstLine="360"/>
        <w:spacing w:after="0" w:line="256" w:lineRule="auto"/>
        <w:tabs>
          <w:tab w:leader="none" w:pos="599"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Arial" w:cs="Arial" w:eastAsia="Arial" w:hAnsi="Arial"/>
          <w:sz w:val="20"/>
          <w:szCs w:val="20"/>
          <w:color w:val="auto"/>
        </w:rPr>
      </w:pPr>
    </w:p>
    <w:p>
      <w:pPr>
        <w:ind w:right="280" w:firstLine="360"/>
        <w:spacing w:after="0" w:line="264" w:lineRule="auto"/>
        <w:tabs>
          <w:tab w:leader="none" w:pos="655"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6" w:lineRule="exact"/>
        <w:rPr>
          <w:rFonts w:ascii="Arial" w:cs="Arial" w:eastAsia="Arial" w:hAnsi="Arial"/>
          <w:sz w:val="20"/>
          <w:szCs w:val="20"/>
          <w:color w:val="auto"/>
        </w:rPr>
      </w:pPr>
    </w:p>
    <w:p>
      <w:pPr>
        <w:jc w:val="both"/>
        <w:ind w:right="140" w:firstLine="360"/>
        <w:spacing w:after="0" w:line="277" w:lineRule="auto"/>
        <w:tabs>
          <w:tab w:leader="none" w:pos="710"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7" w:lineRule="exact"/>
        <w:rPr>
          <w:sz w:val="20"/>
          <w:szCs w:val="20"/>
          <w:color w:val="auto"/>
        </w:rPr>
      </w:pPr>
    </w:p>
    <w:p>
      <w:pPr>
        <w:ind w:right="20" w:firstLine="36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5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bookmarkStart w:id="2" w:name="page3"/>
    <w:bookmarkEnd w:id="2"/>
    <w:p>
      <w:pPr>
        <w:ind w:firstLine="360"/>
        <w:spacing w:after="0" w:line="211" w:lineRule="auto"/>
        <w:rPr>
          <w:sz w:val="20"/>
          <w:szCs w:val="20"/>
          <w:color w:val="auto"/>
        </w:rPr>
      </w:pPr>
      <w:r>
        <w:rPr>
          <w:rFonts w:ascii="Arial" w:cs="Arial" w:eastAsia="Arial" w:hAnsi="Arial"/>
          <w:sz w:val="20"/>
          <w:szCs w:val="20"/>
          <w:color w:val="auto"/>
        </w:rPr>
        <w:t>IN WITNESS WHEREOF, the undersigned has caused this Power of Attorney to be executed as of this 18</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November, 2020.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P. Rutz</w:t>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Michael P. Rutz</w:t>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President,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588010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00"/>
      </w:cols>
      <w:pgMar w:left="480" w:top="95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599220"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2020-11-20T20:30:06Z</dcterms:created>
  <dcterms:modified xsi:type="dcterms:W3CDTF">2020-11-20T20:30:06Z</dcterms:modified>
</cp:coreProperties>
</file>