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94"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CONFIDENTIAL TREATMENT REQUESTED</w:t>
      </w:r>
    </w:p>
    <w:p>
      <w:pPr>
        <w:jc w:val="center"/>
        <w:ind w:right="-1120"/>
        <w:spacing w:after="0" w:line="236" w:lineRule="auto"/>
        <w:rPr>
          <w:sz w:val="20"/>
          <w:szCs w:val="20"/>
          <w:color w:val="auto"/>
        </w:rPr>
      </w:pPr>
      <w:r>
        <w:rPr>
          <w:rFonts w:ascii="Arial" w:cs="Arial" w:eastAsia="Arial" w:hAnsi="Arial"/>
          <w:sz w:val="10"/>
          <w:szCs w:val="10"/>
          <w:b w:val="1"/>
          <w:bCs w:val="1"/>
          <w:color w:val="auto"/>
        </w:rPr>
        <w:t>PURSUANT TO 17 C.F.R. SECTION 200.83</w:t>
      </w:r>
    </w:p>
    <w:p>
      <w:pPr>
        <w:ind w:left="3800"/>
        <w:spacing w:after="0" w:line="233" w:lineRule="auto"/>
        <w:rPr>
          <w:sz w:val="20"/>
          <w:szCs w:val="20"/>
          <w:color w:val="auto"/>
        </w:rPr>
      </w:pPr>
      <w:r>
        <w:rPr>
          <w:rFonts w:ascii="Arial" w:cs="Arial" w:eastAsia="Arial" w:hAnsi="Arial"/>
          <w:sz w:val="10"/>
          <w:szCs w:val="10"/>
          <w:b w:val="1"/>
          <w:bCs w:val="1"/>
          <w:color w:val="auto"/>
        </w:rPr>
        <w:t>As confidentially submitted to the Securities and Exchange Commission on March 1, 2021</w:t>
      </w:r>
    </w:p>
    <w:p>
      <w:pPr>
        <w:ind w:left="2500"/>
        <w:spacing w:after="0"/>
        <w:rPr>
          <w:sz w:val="20"/>
          <w:szCs w:val="20"/>
          <w:color w:val="auto"/>
        </w:rPr>
      </w:pPr>
      <w:r>
        <w:rPr>
          <w:rFonts w:ascii="Arial" w:cs="Arial" w:eastAsia="Arial" w:hAnsi="Arial"/>
          <w:sz w:val="8"/>
          <w:szCs w:val="8"/>
          <w:b w:val="1"/>
          <w:bCs w:val="1"/>
          <w:color w:val="auto"/>
        </w:rPr>
        <w:t>This draft registration statement has not been filed with the Securities and Exchange Commission and all information herein remains strictly confidential.</w:t>
      </w:r>
    </w:p>
    <w:p>
      <w:pPr>
        <w:spacing w:after="0" w:line="5" w:lineRule="exact"/>
        <w:rPr>
          <w:sz w:val="24"/>
          <w:szCs w:val="24"/>
          <w:color w:val="auto"/>
        </w:rPr>
      </w:pPr>
    </w:p>
    <w:p>
      <w:pPr>
        <w:ind w:left="8160"/>
        <w:spacing w:after="0"/>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33655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62230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7"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SECURITIES AND EXCHANGE COMMISSION</w:t>
      </w:r>
    </w:p>
    <w:p>
      <w:pPr>
        <w:spacing w:after="0" w:line="6" w:lineRule="exact"/>
        <w:rPr>
          <w:sz w:val="24"/>
          <w:szCs w:val="24"/>
          <w:color w:val="auto"/>
        </w:rPr>
      </w:pPr>
    </w:p>
    <w:p>
      <w:pPr>
        <w:ind w:left="5080"/>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78740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34"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Form S-1</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REGISTRATION STATEMENT</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11"/>
          <w:szCs w:val="11"/>
          <w:b w:val="1"/>
          <w:bCs w:val="1"/>
          <w:i w:val="1"/>
          <w:iCs w:val="1"/>
          <w:color w:val="auto"/>
        </w:rPr>
        <w:t>UNDER</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1"/>
          <w:szCs w:val="1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88265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Sotera Health Company</w:t>
      </w:r>
    </w:p>
    <w:p>
      <w:pPr>
        <w:spacing w:after="0" w:line="28" w:lineRule="exact"/>
        <w:rPr>
          <w:sz w:val="24"/>
          <w:szCs w:val="24"/>
          <w:color w:val="auto"/>
        </w:rPr>
      </w:pPr>
    </w:p>
    <w:p>
      <w:pPr>
        <w:ind w:left="450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70485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50" w:lineRule="exact"/>
        <w:rPr>
          <w:sz w:val="24"/>
          <w:szCs w:val="24"/>
          <w:color w:val="auto"/>
        </w:rPr>
      </w:pPr>
    </w:p>
    <w:tbl>
      <w:tblPr>
        <w:tblLayout w:type="fixed"/>
        <w:tblInd w:w="2600" w:type="dxa"/>
        <w:tblCellMar>
          <w:top w:w="0" w:type="dxa"/>
          <w:left w:w="0" w:type="dxa"/>
          <w:bottom w:w="0" w:type="dxa"/>
          <w:right w:w="0" w:type="dxa"/>
        </w:tblCellMar>
      </w:tblPr>
      <w:tr>
        <w:trPr>
          <w:trHeight w:val="115"/>
        </w:trPr>
        <w:tc>
          <w:tcPr>
            <w:tcW w:w="1880" w:type="dxa"/>
            <w:vAlign w:val="bottom"/>
          </w:tcPr>
          <w:p>
            <w:pPr>
              <w:jc w:val="center"/>
              <w:ind w:right="591"/>
              <w:spacing w:after="0"/>
              <w:rPr>
                <w:sz w:val="20"/>
                <w:szCs w:val="20"/>
                <w:color w:val="auto"/>
              </w:rPr>
            </w:pPr>
            <w:r>
              <w:rPr>
                <w:rFonts w:ascii="Arial" w:cs="Arial" w:eastAsia="Arial" w:hAnsi="Arial"/>
                <w:sz w:val="10"/>
                <w:szCs w:val="10"/>
                <w:b w:val="1"/>
                <w:bCs w:val="1"/>
                <w:color w:val="auto"/>
                <w:w w:val="90"/>
              </w:rPr>
              <w:t>Delaware</w:t>
            </w:r>
          </w:p>
        </w:tc>
        <w:tc>
          <w:tcPr>
            <w:tcW w:w="2520" w:type="dxa"/>
            <w:vAlign w:val="bottom"/>
          </w:tcPr>
          <w:p>
            <w:pPr>
              <w:jc w:val="center"/>
              <w:spacing w:after="0"/>
              <w:rPr>
                <w:sz w:val="20"/>
                <w:szCs w:val="20"/>
                <w:color w:val="auto"/>
              </w:rPr>
            </w:pPr>
            <w:r>
              <w:rPr>
                <w:rFonts w:ascii="Arial" w:cs="Arial" w:eastAsia="Arial" w:hAnsi="Arial"/>
                <w:sz w:val="10"/>
                <w:szCs w:val="10"/>
                <w:b w:val="1"/>
                <w:bCs w:val="1"/>
                <w:color w:val="auto"/>
                <w:w w:val="89"/>
              </w:rPr>
              <w:t>7389</w:t>
            </w:r>
          </w:p>
        </w:tc>
        <w:tc>
          <w:tcPr>
            <w:tcW w:w="1620" w:type="dxa"/>
            <w:vAlign w:val="bottom"/>
          </w:tcPr>
          <w:p>
            <w:pPr>
              <w:jc w:val="center"/>
              <w:ind w:left="611"/>
              <w:spacing w:after="0"/>
              <w:rPr>
                <w:sz w:val="20"/>
                <w:szCs w:val="20"/>
                <w:color w:val="auto"/>
              </w:rPr>
            </w:pPr>
            <w:r>
              <w:rPr>
                <w:rFonts w:ascii="Arial" w:cs="Arial" w:eastAsia="Arial" w:hAnsi="Arial"/>
                <w:sz w:val="10"/>
                <w:szCs w:val="10"/>
                <w:b w:val="1"/>
                <w:bCs w:val="1"/>
                <w:color w:val="auto"/>
                <w:w w:val="89"/>
              </w:rPr>
              <w:t>47-3531161</w:t>
            </w:r>
          </w:p>
        </w:tc>
      </w:tr>
      <w:tr>
        <w:trPr>
          <w:trHeight w:val="99"/>
        </w:trPr>
        <w:tc>
          <w:tcPr>
            <w:tcW w:w="1880" w:type="dxa"/>
            <w:vAlign w:val="bottom"/>
          </w:tcPr>
          <w:p>
            <w:pPr>
              <w:jc w:val="center"/>
              <w:ind w:right="591"/>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25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0"/>
              </w:rPr>
              <w:t>(Primary Standard Industrial</w:t>
            </w:r>
          </w:p>
        </w:tc>
        <w:tc>
          <w:tcPr>
            <w:tcW w:w="1620" w:type="dxa"/>
            <w:vAlign w:val="bottom"/>
          </w:tcPr>
          <w:p>
            <w:pPr>
              <w:jc w:val="center"/>
              <w:ind w:left="611"/>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1880" w:type="dxa"/>
            <w:vAlign w:val="bottom"/>
          </w:tcPr>
          <w:p>
            <w:pPr>
              <w:jc w:val="center"/>
              <w:ind w:right="591"/>
              <w:spacing w:after="0"/>
              <w:rPr>
                <w:sz w:val="20"/>
                <w:szCs w:val="20"/>
                <w:color w:val="auto"/>
              </w:rPr>
            </w:pPr>
            <w:r>
              <w:rPr>
                <w:rFonts w:ascii="Arial" w:cs="Arial" w:eastAsia="Arial" w:hAnsi="Arial"/>
                <w:sz w:val="10"/>
                <w:szCs w:val="10"/>
                <w:b w:val="1"/>
                <w:bCs w:val="1"/>
                <w:color w:val="auto"/>
                <w:w w:val="86"/>
              </w:rPr>
              <w:t>incorporation or organization)</w:t>
            </w:r>
          </w:p>
        </w:tc>
        <w:tc>
          <w:tcPr>
            <w:tcW w:w="2520" w:type="dxa"/>
            <w:vAlign w:val="bottom"/>
          </w:tcPr>
          <w:p>
            <w:pPr>
              <w:jc w:val="center"/>
              <w:spacing w:after="0"/>
              <w:rPr>
                <w:sz w:val="20"/>
                <w:szCs w:val="20"/>
                <w:color w:val="auto"/>
              </w:rPr>
            </w:pPr>
            <w:r>
              <w:rPr>
                <w:rFonts w:ascii="Arial" w:cs="Arial" w:eastAsia="Arial" w:hAnsi="Arial"/>
                <w:sz w:val="10"/>
                <w:szCs w:val="10"/>
                <w:b w:val="1"/>
                <w:bCs w:val="1"/>
                <w:color w:val="auto"/>
                <w:w w:val="87"/>
              </w:rPr>
              <w:t>Classification Code Number)</w:t>
            </w:r>
          </w:p>
        </w:tc>
        <w:tc>
          <w:tcPr>
            <w:tcW w:w="1620" w:type="dxa"/>
            <w:vAlign w:val="bottom"/>
          </w:tcPr>
          <w:p>
            <w:pPr>
              <w:jc w:val="center"/>
              <w:ind w:left="611"/>
              <w:spacing w:after="0"/>
              <w:rPr>
                <w:sz w:val="20"/>
                <w:szCs w:val="20"/>
                <w:color w:val="auto"/>
              </w:rPr>
            </w:pPr>
            <w:r>
              <w:rPr>
                <w:rFonts w:ascii="Arial" w:cs="Arial" w:eastAsia="Arial" w:hAnsi="Arial"/>
                <w:sz w:val="10"/>
                <w:szCs w:val="10"/>
                <w:b w:val="1"/>
                <w:b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73660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30"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9100 South Hills Blvd, Suite 300</w:t>
      </w:r>
    </w:p>
    <w:p>
      <w:pPr>
        <w:jc w:val="center"/>
        <w:ind w:right="-1120"/>
        <w:spacing w:after="0" w:line="231" w:lineRule="auto"/>
        <w:rPr>
          <w:sz w:val="20"/>
          <w:szCs w:val="20"/>
          <w:color w:val="auto"/>
        </w:rPr>
      </w:pPr>
      <w:r>
        <w:rPr>
          <w:rFonts w:ascii="Arial" w:cs="Arial" w:eastAsia="Arial" w:hAnsi="Arial"/>
          <w:sz w:val="10"/>
          <w:szCs w:val="10"/>
          <w:b w:val="1"/>
          <w:bCs w:val="1"/>
          <w:color w:val="auto"/>
        </w:rPr>
        <w:t>Broadview Heights, Ohio 44147</w:t>
      </w:r>
    </w:p>
    <w:p>
      <w:pPr>
        <w:jc w:val="center"/>
        <w:ind w:right="-1120"/>
        <w:spacing w:after="0" w:line="218" w:lineRule="auto"/>
        <w:rPr>
          <w:sz w:val="20"/>
          <w:szCs w:val="20"/>
          <w:color w:val="auto"/>
        </w:rPr>
      </w:pPr>
      <w:r>
        <w:rPr>
          <w:rFonts w:ascii="Arial" w:cs="Arial" w:eastAsia="Arial" w:hAnsi="Arial"/>
          <w:sz w:val="10"/>
          <w:szCs w:val="10"/>
          <w:b w:val="1"/>
          <w:bCs w:val="1"/>
          <w:color w:val="auto"/>
        </w:rPr>
        <w:t>(440) 262-1410</w:t>
      </w:r>
    </w:p>
    <w:p>
      <w:pPr>
        <w:ind w:left="3360"/>
        <w:spacing w:after="0" w:line="237" w:lineRule="auto"/>
        <w:rPr>
          <w:sz w:val="20"/>
          <w:szCs w:val="20"/>
          <w:color w:val="auto"/>
        </w:rPr>
      </w:pPr>
      <w:r>
        <w:rPr>
          <w:rFonts w:ascii="Arial" w:cs="Arial" w:eastAsia="Arial" w:hAnsi="Arial"/>
          <w:sz w:val="10"/>
          <w:szCs w:val="10"/>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67945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1" w:lineRule="exact"/>
        <w:rPr>
          <w:sz w:val="24"/>
          <w:szCs w:val="24"/>
          <w:color w:val="auto"/>
        </w:rPr>
      </w:pPr>
    </w:p>
    <w:p>
      <w:pPr>
        <w:jc w:val="center"/>
        <w:ind w:right="-1120"/>
        <w:spacing w:after="0"/>
        <w:rPr>
          <w:sz w:val="20"/>
          <w:szCs w:val="20"/>
          <w:color w:val="auto"/>
        </w:rPr>
      </w:pPr>
      <w:r>
        <w:rPr>
          <w:rFonts w:ascii="Arial" w:cs="Arial" w:eastAsia="Arial" w:hAnsi="Arial"/>
          <w:sz w:val="10"/>
          <w:szCs w:val="10"/>
          <w:b w:val="1"/>
          <w:bCs w:val="1"/>
          <w:color w:val="auto"/>
        </w:rPr>
        <w:t>Matthew J. Klaben, Esq.</w:t>
      </w:r>
    </w:p>
    <w:p>
      <w:pPr>
        <w:jc w:val="center"/>
        <w:ind w:right="-1120"/>
        <w:spacing w:after="0" w:line="231" w:lineRule="auto"/>
        <w:rPr>
          <w:sz w:val="20"/>
          <w:szCs w:val="20"/>
          <w:color w:val="auto"/>
        </w:rPr>
      </w:pPr>
      <w:r>
        <w:rPr>
          <w:rFonts w:ascii="Arial" w:cs="Arial" w:eastAsia="Arial" w:hAnsi="Arial"/>
          <w:sz w:val="10"/>
          <w:szCs w:val="10"/>
          <w:b w:val="1"/>
          <w:bCs w:val="1"/>
          <w:color w:val="auto"/>
        </w:rPr>
        <w:t>Senior Vice President, General Counsel and Secretary</w:t>
      </w:r>
    </w:p>
    <w:p>
      <w:pPr>
        <w:jc w:val="center"/>
        <w:ind w:right="-1120"/>
        <w:spacing w:after="0" w:line="226" w:lineRule="auto"/>
        <w:rPr>
          <w:sz w:val="20"/>
          <w:szCs w:val="20"/>
          <w:color w:val="auto"/>
        </w:rPr>
      </w:pPr>
      <w:r>
        <w:rPr>
          <w:rFonts w:ascii="Arial" w:cs="Arial" w:eastAsia="Arial" w:hAnsi="Arial"/>
          <w:sz w:val="10"/>
          <w:szCs w:val="10"/>
          <w:b w:val="1"/>
          <w:bCs w:val="1"/>
          <w:color w:val="auto"/>
        </w:rPr>
        <w:t>Sotera Health Company</w:t>
      </w:r>
    </w:p>
    <w:p>
      <w:pPr>
        <w:jc w:val="center"/>
        <w:ind w:right="-1120"/>
        <w:spacing w:after="0" w:line="225" w:lineRule="auto"/>
        <w:rPr>
          <w:sz w:val="20"/>
          <w:szCs w:val="20"/>
          <w:color w:val="auto"/>
        </w:rPr>
      </w:pPr>
      <w:r>
        <w:rPr>
          <w:rFonts w:ascii="Arial" w:cs="Arial" w:eastAsia="Arial" w:hAnsi="Arial"/>
          <w:sz w:val="10"/>
          <w:szCs w:val="10"/>
          <w:b w:val="1"/>
          <w:bCs w:val="1"/>
          <w:color w:val="auto"/>
        </w:rPr>
        <w:t>9100 South Hills Blvd, Suite 300</w:t>
      </w:r>
    </w:p>
    <w:p>
      <w:pPr>
        <w:jc w:val="center"/>
        <w:ind w:right="-1120"/>
        <w:spacing w:after="0" w:line="225" w:lineRule="auto"/>
        <w:rPr>
          <w:sz w:val="20"/>
          <w:szCs w:val="20"/>
          <w:color w:val="auto"/>
        </w:rPr>
      </w:pPr>
      <w:r>
        <w:rPr>
          <w:rFonts w:ascii="Arial" w:cs="Arial" w:eastAsia="Arial" w:hAnsi="Arial"/>
          <w:sz w:val="10"/>
          <w:szCs w:val="10"/>
          <w:b w:val="1"/>
          <w:bCs w:val="1"/>
          <w:color w:val="auto"/>
        </w:rPr>
        <w:t>Broadview Heights, Ohio 44147</w:t>
      </w:r>
    </w:p>
    <w:p>
      <w:pPr>
        <w:jc w:val="center"/>
        <w:ind w:right="-1120"/>
        <w:spacing w:after="0" w:line="218" w:lineRule="auto"/>
        <w:rPr>
          <w:sz w:val="20"/>
          <w:szCs w:val="20"/>
          <w:color w:val="auto"/>
        </w:rPr>
      </w:pPr>
      <w:r>
        <w:rPr>
          <w:rFonts w:ascii="Arial" w:cs="Arial" w:eastAsia="Arial" w:hAnsi="Arial"/>
          <w:sz w:val="10"/>
          <w:szCs w:val="10"/>
          <w:b w:val="1"/>
          <w:bCs w:val="1"/>
          <w:color w:val="auto"/>
        </w:rPr>
        <w:t>(440) 262-1409</w:t>
      </w:r>
    </w:p>
    <w:p>
      <w:pPr>
        <w:ind w:left="3700"/>
        <w:spacing w:after="0" w:line="237" w:lineRule="auto"/>
        <w:rPr>
          <w:sz w:val="20"/>
          <w:szCs w:val="20"/>
          <w:color w:val="auto"/>
        </w:rPr>
      </w:pPr>
      <w:r>
        <w:rPr>
          <w:rFonts w:ascii="Arial" w:cs="Arial" w:eastAsia="Arial" w:hAnsi="Arial"/>
          <w:sz w:val="10"/>
          <w:szCs w:val="10"/>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73660</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32" w:lineRule="exact"/>
        <w:rPr>
          <w:sz w:val="24"/>
          <w:szCs w:val="24"/>
          <w:color w:val="auto"/>
        </w:rPr>
      </w:pPr>
    </w:p>
    <w:tbl>
      <w:tblPr>
        <w:tblLayout w:type="fixed"/>
        <w:tblInd w:w="2960" w:type="dxa"/>
        <w:tblCellMar>
          <w:top w:w="0" w:type="dxa"/>
          <w:left w:w="0" w:type="dxa"/>
          <w:bottom w:w="0" w:type="dxa"/>
          <w:right w:w="0" w:type="dxa"/>
        </w:tblCellMar>
      </w:tblPr>
      <w:tr>
        <w:trPr>
          <w:trHeight w:val="129"/>
        </w:trPr>
        <w:tc>
          <w:tcPr>
            <w:tcW w:w="2100" w:type="dxa"/>
            <w:vAlign w:val="bottom"/>
          </w:tcPr>
          <w:p>
            <w:pPr>
              <w:spacing w:after="0"/>
              <w:rPr>
                <w:sz w:val="11"/>
                <w:szCs w:val="11"/>
                <w:color w:val="auto"/>
              </w:rPr>
            </w:pPr>
          </w:p>
        </w:tc>
        <w:tc>
          <w:tcPr>
            <w:tcW w:w="3200" w:type="dxa"/>
            <w:vAlign w:val="bottom"/>
          </w:tcPr>
          <w:p>
            <w:pPr>
              <w:ind w:left="360"/>
              <w:spacing w:after="0"/>
              <w:rPr>
                <w:sz w:val="20"/>
                <w:szCs w:val="20"/>
                <w:color w:val="auto"/>
              </w:rPr>
            </w:pPr>
            <w:r>
              <w:rPr>
                <w:rFonts w:ascii="Arial" w:cs="Arial" w:eastAsia="Arial" w:hAnsi="Arial"/>
                <w:sz w:val="10"/>
                <w:szCs w:val="10"/>
                <w:b w:val="1"/>
                <w:bCs w:val="1"/>
                <w:i w:val="1"/>
                <w:iCs w:val="1"/>
                <w:color w:val="auto"/>
              </w:rPr>
              <w:t>Copies To:</w:t>
            </w:r>
          </w:p>
        </w:tc>
      </w:tr>
      <w:tr>
        <w:trPr>
          <w:trHeight w:val="130"/>
        </w:trPr>
        <w:tc>
          <w:tcPr>
            <w:tcW w:w="2100" w:type="dxa"/>
            <w:vAlign w:val="bottom"/>
          </w:tcPr>
          <w:p>
            <w:pPr>
              <w:jc w:val="center"/>
              <w:ind w:right="329"/>
              <w:spacing w:after="0"/>
              <w:rPr>
                <w:sz w:val="20"/>
                <w:szCs w:val="20"/>
                <w:color w:val="auto"/>
              </w:rPr>
            </w:pPr>
            <w:r>
              <w:rPr>
                <w:rFonts w:ascii="Arial" w:cs="Arial" w:eastAsia="Arial" w:hAnsi="Arial"/>
                <w:sz w:val="10"/>
                <w:szCs w:val="10"/>
                <w:b w:val="1"/>
                <w:bCs w:val="1"/>
                <w:color w:val="auto"/>
                <w:w w:val="93"/>
              </w:rPr>
              <w:t>David Lopez, Esq.</w:t>
            </w:r>
          </w:p>
        </w:tc>
        <w:tc>
          <w:tcPr>
            <w:tcW w:w="3200" w:type="dxa"/>
            <w:vAlign w:val="bottom"/>
          </w:tcPr>
          <w:p>
            <w:pPr>
              <w:jc w:val="center"/>
              <w:ind w:left="1709"/>
              <w:spacing w:after="0"/>
              <w:rPr>
                <w:sz w:val="20"/>
                <w:szCs w:val="20"/>
                <w:color w:val="auto"/>
              </w:rPr>
            </w:pPr>
            <w:r>
              <w:rPr>
                <w:rFonts w:ascii="Arial" w:cs="Arial" w:eastAsia="Arial" w:hAnsi="Arial"/>
                <w:sz w:val="10"/>
                <w:szCs w:val="10"/>
                <w:b w:val="1"/>
                <w:bCs w:val="1"/>
                <w:color w:val="auto"/>
                <w:w w:val="94"/>
              </w:rPr>
              <w:t>Arthur D. Robinson, Esq.</w:t>
            </w:r>
          </w:p>
        </w:tc>
      </w:tr>
      <w:tr>
        <w:trPr>
          <w:trHeight w:val="108"/>
        </w:trPr>
        <w:tc>
          <w:tcPr>
            <w:tcW w:w="2100" w:type="dxa"/>
            <w:vAlign w:val="bottom"/>
          </w:tcPr>
          <w:p>
            <w:pPr>
              <w:jc w:val="center"/>
              <w:ind w:right="329"/>
              <w:spacing w:after="0" w:line="108" w:lineRule="exact"/>
              <w:rPr>
                <w:sz w:val="20"/>
                <w:szCs w:val="20"/>
                <w:color w:val="auto"/>
              </w:rPr>
            </w:pPr>
            <w:r>
              <w:rPr>
                <w:rFonts w:ascii="Arial" w:cs="Arial" w:eastAsia="Arial" w:hAnsi="Arial"/>
                <w:sz w:val="10"/>
                <w:szCs w:val="10"/>
                <w:b w:val="1"/>
                <w:bCs w:val="1"/>
                <w:color w:val="auto"/>
                <w:w w:val="96"/>
              </w:rPr>
              <w:t>Cleary Gottlieb Steen &amp; Hamilton LLP</w:t>
            </w:r>
          </w:p>
        </w:tc>
        <w:tc>
          <w:tcPr>
            <w:tcW w:w="3200" w:type="dxa"/>
            <w:vAlign w:val="bottom"/>
          </w:tcPr>
          <w:p>
            <w:pPr>
              <w:jc w:val="center"/>
              <w:ind w:left="1709"/>
              <w:spacing w:after="0" w:line="108" w:lineRule="exact"/>
              <w:rPr>
                <w:sz w:val="20"/>
                <w:szCs w:val="20"/>
                <w:color w:val="auto"/>
              </w:rPr>
            </w:pPr>
            <w:r>
              <w:rPr>
                <w:rFonts w:ascii="Arial" w:cs="Arial" w:eastAsia="Arial" w:hAnsi="Arial"/>
                <w:sz w:val="10"/>
                <w:szCs w:val="10"/>
                <w:b w:val="1"/>
                <w:bCs w:val="1"/>
                <w:color w:val="auto"/>
                <w:w w:val="91"/>
              </w:rPr>
              <w:t>Jean Park, Esq.</w:t>
            </w:r>
          </w:p>
        </w:tc>
      </w:tr>
      <w:tr>
        <w:trPr>
          <w:trHeight w:val="108"/>
        </w:trPr>
        <w:tc>
          <w:tcPr>
            <w:tcW w:w="2100" w:type="dxa"/>
            <w:vAlign w:val="bottom"/>
          </w:tcPr>
          <w:p>
            <w:pPr>
              <w:jc w:val="center"/>
              <w:ind w:right="329"/>
              <w:spacing w:after="0" w:line="108" w:lineRule="exact"/>
              <w:rPr>
                <w:sz w:val="20"/>
                <w:szCs w:val="20"/>
                <w:color w:val="auto"/>
              </w:rPr>
            </w:pPr>
            <w:r>
              <w:rPr>
                <w:rFonts w:ascii="Arial" w:cs="Arial" w:eastAsia="Arial" w:hAnsi="Arial"/>
                <w:sz w:val="10"/>
                <w:szCs w:val="10"/>
                <w:b w:val="1"/>
                <w:bCs w:val="1"/>
                <w:color w:val="auto"/>
                <w:w w:val="95"/>
              </w:rPr>
              <w:t>One Liberty Plaza</w:t>
            </w:r>
          </w:p>
        </w:tc>
        <w:tc>
          <w:tcPr>
            <w:tcW w:w="3200" w:type="dxa"/>
            <w:vAlign w:val="bottom"/>
          </w:tcPr>
          <w:p>
            <w:pPr>
              <w:jc w:val="center"/>
              <w:ind w:left="1689"/>
              <w:spacing w:after="0" w:line="108" w:lineRule="exact"/>
              <w:rPr>
                <w:sz w:val="20"/>
                <w:szCs w:val="20"/>
                <w:color w:val="auto"/>
              </w:rPr>
            </w:pPr>
            <w:r>
              <w:rPr>
                <w:rFonts w:ascii="Arial" w:cs="Arial" w:eastAsia="Arial" w:hAnsi="Arial"/>
                <w:sz w:val="10"/>
                <w:szCs w:val="10"/>
                <w:b w:val="1"/>
                <w:bCs w:val="1"/>
                <w:color w:val="auto"/>
                <w:w w:val="95"/>
              </w:rPr>
              <w:t>Simpson Thacher &amp; Bartlett LLP</w:t>
            </w:r>
          </w:p>
        </w:tc>
      </w:tr>
      <w:tr>
        <w:trPr>
          <w:trHeight w:val="108"/>
        </w:trPr>
        <w:tc>
          <w:tcPr>
            <w:tcW w:w="2100" w:type="dxa"/>
            <w:vAlign w:val="bottom"/>
          </w:tcPr>
          <w:p>
            <w:pPr>
              <w:jc w:val="center"/>
              <w:ind w:right="329"/>
              <w:spacing w:after="0" w:line="108" w:lineRule="exact"/>
              <w:rPr>
                <w:sz w:val="20"/>
                <w:szCs w:val="20"/>
                <w:color w:val="auto"/>
              </w:rPr>
            </w:pPr>
            <w:r>
              <w:rPr>
                <w:rFonts w:ascii="Arial" w:cs="Arial" w:eastAsia="Arial" w:hAnsi="Arial"/>
                <w:sz w:val="10"/>
                <w:szCs w:val="10"/>
                <w:b w:val="1"/>
                <w:bCs w:val="1"/>
                <w:color w:val="auto"/>
                <w:w w:val="94"/>
              </w:rPr>
              <w:t>New York, New York 10006</w:t>
            </w:r>
          </w:p>
        </w:tc>
        <w:tc>
          <w:tcPr>
            <w:tcW w:w="3200" w:type="dxa"/>
            <w:vAlign w:val="bottom"/>
          </w:tcPr>
          <w:p>
            <w:pPr>
              <w:jc w:val="center"/>
              <w:ind w:left="1709"/>
              <w:spacing w:after="0" w:line="108" w:lineRule="exact"/>
              <w:rPr>
                <w:sz w:val="20"/>
                <w:szCs w:val="20"/>
                <w:color w:val="auto"/>
              </w:rPr>
            </w:pPr>
            <w:r>
              <w:rPr>
                <w:rFonts w:ascii="Arial" w:cs="Arial" w:eastAsia="Arial" w:hAnsi="Arial"/>
                <w:sz w:val="10"/>
                <w:szCs w:val="10"/>
                <w:b w:val="1"/>
                <w:bCs w:val="1"/>
                <w:color w:val="auto"/>
                <w:w w:val="90"/>
              </w:rPr>
              <w:t>425 Lexington Avenue</w:t>
            </w:r>
          </w:p>
        </w:tc>
      </w:tr>
      <w:tr>
        <w:trPr>
          <w:trHeight w:val="108"/>
        </w:trPr>
        <w:tc>
          <w:tcPr>
            <w:tcW w:w="2100" w:type="dxa"/>
            <w:vAlign w:val="bottom"/>
          </w:tcPr>
          <w:p>
            <w:pPr>
              <w:jc w:val="center"/>
              <w:ind w:right="329"/>
              <w:spacing w:after="0" w:line="108" w:lineRule="exact"/>
              <w:rPr>
                <w:sz w:val="20"/>
                <w:szCs w:val="20"/>
                <w:color w:val="auto"/>
              </w:rPr>
            </w:pPr>
            <w:r>
              <w:rPr>
                <w:rFonts w:ascii="Arial" w:cs="Arial" w:eastAsia="Arial" w:hAnsi="Arial"/>
                <w:sz w:val="10"/>
                <w:szCs w:val="10"/>
                <w:b w:val="1"/>
                <w:bCs w:val="1"/>
                <w:color w:val="auto"/>
                <w:w w:val="93"/>
              </w:rPr>
              <w:t>(212) 225-2000</w:t>
            </w:r>
          </w:p>
        </w:tc>
        <w:tc>
          <w:tcPr>
            <w:tcW w:w="3200" w:type="dxa"/>
            <w:vAlign w:val="bottom"/>
          </w:tcPr>
          <w:p>
            <w:pPr>
              <w:jc w:val="center"/>
              <w:ind w:left="1709"/>
              <w:spacing w:after="0" w:line="108" w:lineRule="exact"/>
              <w:rPr>
                <w:sz w:val="20"/>
                <w:szCs w:val="20"/>
                <w:color w:val="auto"/>
              </w:rPr>
            </w:pPr>
            <w:r>
              <w:rPr>
                <w:rFonts w:ascii="Arial" w:cs="Arial" w:eastAsia="Arial" w:hAnsi="Arial"/>
                <w:sz w:val="10"/>
                <w:szCs w:val="10"/>
                <w:b w:val="1"/>
                <w:bCs w:val="1"/>
                <w:color w:val="auto"/>
                <w:w w:val="94"/>
              </w:rPr>
              <w:t>New York, New York 10017</w:t>
            </w:r>
          </w:p>
        </w:tc>
      </w:tr>
      <w:tr>
        <w:trPr>
          <w:trHeight w:val="131"/>
        </w:trPr>
        <w:tc>
          <w:tcPr>
            <w:tcW w:w="2100" w:type="dxa"/>
            <w:vAlign w:val="bottom"/>
          </w:tcPr>
          <w:p>
            <w:pPr>
              <w:spacing w:after="0"/>
              <w:rPr>
                <w:sz w:val="11"/>
                <w:szCs w:val="11"/>
                <w:color w:val="auto"/>
              </w:rPr>
            </w:pPr>
          </w:p>
        </w:tc>
        <w:tc>
          <w:tcPr>
            <w:tcW w:w="3200" w:type="dxa"/>
            <w:vAlign w:val="bottom"/>
          </w:tcPr>
          <w:p>
            <w:pPr>
              <w:jc w:val="center"/>
              <w:ind w:left="1709"/>
              <w:spacing w:after="0"/>
              <w:rPr>
                <w:sz w:val="20"/>
                <w:szCs w:val="20"/>
                <w:color w:val="auto"/>
              </w:rPr>
            </w:pPr>
            <w:r>
              <w:rPr>
                <w:rFonts w:ascii="Arial" w:cs="Arial" w:eastAsia="Arial" w:hAnsi="Arial"/>
                <w:sz w:val="10"/>
                <w:szCs w:val="10"/>
                <w:b w:val="1"/>
                <w:bCs w:val="1"/>
                <w:color w:val="auto"/>
                <w:w w:val="93"/>
              </w:rPr>
              <w:t>(212) 455-2000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72390</wp:posOffset>
            </wp:positionV>
            <wp:extent cx="9829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 As soon as practicable after the effective date hereof.</w:t>
      </w:r>
    </w:p>
    <w:p>
      <w:pPr>
        <w:spacing w:after="0" w:line="13" w:lineRule="exact"/>
        <w:rPr>
          <w:sz w:val="24"/>
          <w:szCs w:val="24"/>
          <w:color w:val="auto"/>
        </w:rPr>
      </w:pPr>
    </w:p>
    <w:p>
      <w:pPr>
        <w:ind w:left="2260"/>
        <w:spacing w:after="0" w:line="92" w:lineRule="exact"/>
        <w:rPr>
          <w:sz w:val="20"/>
          <w:szCs w:val="20"/>
          <w:color w:val="auto"/>
        </w:rPr>
      </w:pPr>
      <w:r>
        <w:rPr>
          <w:rFonts w:ascii="Arial" w:cs="Arial" w:eastAsia="Arial" w:hAnsi="Arial"/>
          <w:sz w:val="8"/>
          <w:szCs w:val="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8"/>
          <w:szCs w:val="8"/>
          <w:color w:val="auto"/>
        </w:rPr>
        <w:t>☐</w:t>
      </w:r>
    </w:p>
    <w:p>
      <w:pPr>
        <w:spacing w:after="0" w:line="70" w:lineRule="exact"/>
        <w:rPr>
          <w:sz w:val="24"/>
          <w:szCs w:val="24"/>
          <w:color w:val="auto"/>
        </w:rPr>
      </w:pPr>
    </w:p>
    <w:p>
      <w:pPr>
        <w:ind w:left="1980" w:right="1059" w:firstLine="294"/>
        <w:spacing w:after="0" w:line="120" w:lineRule="exact"/>
        <w:rPr>
          <w:sz w:val="20"/>
          <w:szCs w:val="20"/>
          <w:color w:val="auto"/>
        </w:rPr>
      </w:pPr>
      <w:r>
        <w:rPr>
          <w:rFonts w:ascii="Arial" w:cs="Arial" w:eastAsia="Arial" w:hAnsi="Arial"/>
          <w:sz w:val="10"/>
          <w:szCs w:val="10"/>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3" w:lineRule="exact"/>
        <w:rPr>
          <w:sz w:val="24"/>
          <w:szCs w:val="24"/>
          <w:color w:val="auto"/>
        </w:rPr>
      </w:pPr>
    </w:p>
    <w:p>
      <w:pPr>
        <w:ind w:left="1980" w:right="939" w:firstLine="294"/>
        <w:spacing w:after="0" w:line="120"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3" w:lineRule="exact"/>
        <w:rPr>
          <w:sz w:val="24"/>
          <w:szCs w:val="24"/>
          <w:color w:val="auto"/>
        </w:rPr>
      </w:pPr>
    </w:p>
    <w:p>
      <w:pPr>
        <w:ind w:left="1980" w:right="939" w:firstLine="294"/>
        <w:spacing w:after="0" w:line="120"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3" w:lineRule="exact"/>
        <w:rPr>
          <w:sz w:val="24"/>
          <w:szCs w:val="24"/>
          <w:color w:val="auto"/>
        </w:rPr>
      </w:pPr>
    </w:p>
    <w:p>
      <w:pPr>
        <w:ind w:left="1980" w:right="859" w:firstLine="294"/>
        <w:spacing w:after="0" w:line="300" w:lineRule="auto"/>
        <w:rPr>
          <w:sz w:val="20"/>
          <w:szCs w:val="20"/>
          <w:color w:val="auto"/>
        </w:rPr>
      </w:pPr>
      <w:r>
        <w:rPr>
          <w:rFonts w:ascii="Arial" w:cs="Arial" w:eastAsia="Arial" w:hAnsi="Arial"/>
          <w:sz w:val="8"/>
          <w:szCs w:val="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36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ind w:left="2080"/>
              <w:spacing w:after="0"/>
              <w:rPr>
                <w:sz w:val="20"/>
                <w:szCs w:val="20"/>
                <w:color w:val="auto"/>
              </w:rPr>
            </w:pPr>
            <w:r>
              <w:rPr>
                <w:rFonts w:ascii="Arial" w:cs="Arial" w:eastAsia="Arial" w:hAnsi="Arial"/>
                <w:sz w:val="11"/>
                <w:szCs w:val="11"/>
                <w:color w:val="auto"/>
              </w:rPr>
              <w:t>Accelerated filer</w:t>
            </w:r>
          </w:p>
        </w:tc>
        <w:tc>
          <w:tcPr>
            <w:tcW w:w="300" w:type="dxa"/>
            <w:vAlign w:val="bottom"/>
          </w:tcPr>
          <w:p>
            <w:pPr>
              <w:ind w:left="220"/>
              <w:spacing w:after="0" w:line="81" w:lineRule="exact"/>
              <w:rPr>
                <w:sz w:val="20"/>
                <w:szCs w:val="20"/>
                <w:color w:val="auto"/>
              </w:rPr>
            </w:pPr>
            <w:r>
              <w:rPr>
                <w:rFonts w:ascii="MS PGothic" w:cs="MS PGothic" w:eastAsia="MS PGothic" w:hAnsi="MS PGothic"/>
                <w:sz w:val="8"/>
                <w:szCs w:val="8"/>
                <w:color w:val="auto"/>
                <w:w w:val="74"/>
              </w:rPr>
              <w:t>☐</w:t>
            </w:r>
          </w:p>
        </w:tc>
      </w:tr>
      <w:tr>
        <w:trPr>
          <w:trHeight w:val="207"/>
        </w:trPr>
        <w:tc>
          <w:tcPr>
            <w:tcW w:w="1140" w:type="dxa"/>
            <w:vAlign w:val="bottom"/>
          </w:tcPr>
          <w:p>
            <w:pPr>
              <w:spacing w:after="0"/>
              <w:rPr>
                <w:sz w:val="20"/>
                <w:szCs w:val="20"/>
                <w:color w:val="auto"/>
              </w:rPr>
            </w:pPr>
            <w:r>
              <w:rPr>
                <w:rFonts w:ascii="Arial" w:cs="Arial" w:eastAsia="Arial" w:hAnsi="Arial"/>
                <w:sz w:val="11"/>
                <w:szCs w:val="11"/>
                <w:color w:val="auto"/>
              </w:rPr>
              <w:t>Non-accelerated filer</w:t>
            </w:r>
          </w:p>
        </w:tc>
        <w:tc>
          <w:tcPr>
            <w:tcW w:w="236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ind w:left="2080"/>
              <w:spacing w:after="0"/>
              <w:rPr>
                <w:sz w:val="20"/>
                <w:szCs w:val="20"/>
                <w:color w:val="auto"/>
              </w:rPr>
            </w:pPr>
            <w:r>
              <w:rPr>
                <w:rFonts w:ascii="Arial" w:cs="Arial" w:eastAsia="Arial" w:hAnsi="Arial"/>
                <w:sz w:val="11"/>
                <w:szCs w:val="11"/>
                <w:color w:val="auto"/>
              </w:rPr>
              <w:t>Smaller reporting company</w:t>
            </w:r>
          </w:p>
        </w:tc>
        <w:tc>
          <w:tcPr>
            <w:tcW w:w="300" w:type="dxa"/>
            <w:vAlign w:val="bottom"/>
          </w:tcPr>
          <w:p>
            <w:pPr>
              <w:ind w:left="220"/>
              <w:spacing w:after="0" w:line="81" w:lineRule="exact"/>
              <w:rPr>
                <w:sz w:val="20"/>
                <w:szCs w:val="20"/>
                <w:color w:val="auto"/>
              </w:rPr>
            </w:pPr>
            <w:r>
              <w:rPr>
                <w:rFonts w:ascii="MS PGothic" w:cs="MS PGothic" w:eastAsia="MS PGothic" w:hAnsi="MS PGothic"/>
                <w:sz w:val="8"/>
                <w:szCs w:val="8"/>
                <w:color w:val="auto"/>
                <w:w w:val="74"/>
              </w:rPr>
              <w:t>☐</w:t>
            </w:r>
          </w:p>
        </w:tc>
      </w:tr>
      <w:tr>
        <w:trPr>
          <w:trHeight w:val="210"/>
        </w:trPr>
        <w:tc>
          <w:tcPr>
            <w:tcW w:w="1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80" w:type="dxa"/>
            <w:vAlign w:val="bottom"/>
          </w:tcPr>
          <w:p>
            <w:pPr>
              <w:ind w:left="2080"/>
              <w:spacing w:after="0"/>
              <w:rPr>
                <w:sz w:val="20"/>
                <w:szCs w:val="20"/>
                <w:color w:val="auto"/>
              </w:rPr>
            </w:pPr>
            <w:r>
              <w:rPr>
                <w:rFonts w:ascii="Arial" w:cs="Arial" w:eastAsia="Arial" w:hAnsi="Arial"/>
                <w:sz w:val="11"/>
                <w:szCs w:val="11"/>
                <w:color w:val="auto"/>
              </w:rPr>
              <w:t>Emerging growth company</w:t>
            </w:r>
          </w:p>
        </w:tc>
        <w:tc>
          <w:tcPr>
            <w:tcW w:w="300" w:type="dxa"/>
            <w:vAlign w:val="bottom"/>
          </w:tcPr>
          <w:p>
            <w:pPr>
              <w:ind w:left="22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67310</wp:posOffset>
            </wp:positionV>
            <wp:extent cx="9829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9" w:lineRule="exact"/>
        <w:rPr>
          <w:sz w:val="24"/>
          <w:szCs w:val="24"/>
          <w:color w:val="auto"/>
        </w:rPr>
      </w:pPr>
    </w:p>
    <w:p>
      <w:pPr>
        <w:ind w:left="1980" w:right="1239" w:firstLine="294"/>
        <w:spacing w:after="0" w:line="120"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0"/>
          <w:szCs w:val="10"/>
          <w:b w:val="1"/>
          <w:bCs w:val="1"/>
          <w:color w:val="auto"/>
        </w:rPr>
        <w:t>CALCULATION OF REGISTRATION FEE</w:t>
      </w:r>
    </w:p>
    <w:p>
      <w:pPr>
        <w:spacing w:after="0" w:line="8" w:lineRule="exact"/>
        <w:rPr>
          <w:sz w:val="24"/>
          <w:szCs w:val="24"/>
          <w:color w:val="auto"/>
        </w:rPr>
      </w:pPr>
    </w:p>
    <w:tbl>
      <w:tblPr>
        <w:tblLayout w:type="fixed"/>
        <w:tblInd w:w="1980" w:type="dxa"/>
        <w:tblCellMar>
          <w:top w:w="0" w:type="dxa"/>
          <w:left w:w="0" w:type="dxa"/>
          <w:bottom w:w="0" w:type="dxa"/>
          <w:right w:w="0" w:type="dxa"/>
        </w:tblCellMar>
      </w:tblPr>
      <w:tr>
        <w:trPr>
          <w:trHeight w:val="109"/>
        </w:trPr>
        <w:tc>
          <w:tcPr>
            <w:tcW w:w="2660" w:type="dxa"/>
            <w:vAlign w:val="bottom"/>
            <w:tcBorders>
              <w:top w:val="single" w:sz="8" w:color="auto"/>
              <w:right w:val="single" w:sz="8" w:color="auto"/>
            </w:tcBorders>
          </w:tcPr>
          <w:p>
            <w:pPr>
              <w:spacing w:after="0"/>
              <w:rPr>
                <w:sz w:val="9"/>
                <w:szCs w:val="9"/>
                <w:color w:val="auto"/>
              </w:rPr>
            </w:pPr>
          </w:p>
        </w:tc>
        <w:tc>
          <w:tcPr>
            <w:tcW w:w="1180" w:type="dxa"/>
            <w:vAlign w:val="bottom"/>
            <w:tcBorders>
              <w:top w:val="single" w:sz="8" w:color="auto"/>
              <w:right w:val="single" w:sz="8" w:color="auto"/>
            </w:tcBorders>
          </w:tcPr>
          <w:p>
            <w:pPr>
              <w:spacing w:after="0"/>
              <w:rPr>
                <w:sz w:val="9"/>
                <w:szCs w:val="9"/>
                <w:color w:val="auto"/>
              </w:rPr>
            </w:pPr>
          </w:p>
        </w:tc>
        <w:tc>
          <w:tcPr>
            <w:tcW w:w="1180" w:type="dxa"/>
            <w:vAlign w:val="bottom"/>
            <w:tcBorders>
              <w:top w:val="single" w:sz="8" w:color="auto"/>
              <w:right w:val="single" w:sz="8" w:color="auto"/>
            </w:tcBorders>
          </w:tcPr>
          <w:p>
            <w:pPr>
              <w:spacing w:after="0"/>
              <w:rPr>
                <w:sz w:val="9"/>
                <w:szCs w:val="9"/>
                <w:color w:val="auto"/>
              </w:rPr>
            </w:pPr>
          </w:p>
        </w:tc>
        <w:tc>
          <w:tcPr>
            <w:tcW w:w="1160" w:type="dxa"/>
            <w:vAlign w:val="bottom"/>
            <w:tcBorders>
              <w:top w:val="single" w:sz="8" w:color="auto"/>
              <w:right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82"/>
              </w:rPr>
              <w:t>Proposed</w:t>
            </w:r>
          </w:p>
        </w:tc>
        <w:tc>
          <w:tcPr>
            <w:tcW w:w="1160" w:type="dxa"/>
            <w:vAlign w:val="bottom"/>
            <w:tcBorders>
              <w:top w:val="single" w:sz="8" w:color="auto"/>
            </w:tcBorders>
          </w:tcPr>
          <w:p>
            <w:pPr>
              <w:spacing w:after="0"/>
              <w:rPr>
                <w:sz w:val="9"/>
                <w:szCs w:val="9"/>
                <w:color w:val="auto"/>
              </w:rPr>
            </w:pPr>
          </w:p>
        </w:tc>
      </w:tr>
      <w:tr>
        <w:trPr>
          <w:trHeight w:val="104"/>
        </w:trPr>
        <w:tc>
          <w:tcPr>
            <w:tcW w:w="26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jc w:val="center"/>
              <w:ind w:left="12"/>
              <w:spacing w:after="0" w:line="105" w:lineRule="exact"/>
              <w:rPr>
                <w:sz w:val="20"/>
                <w:szCs w:val="20"/>
                <w:color w:val="auto"/>
              </w:rPr>
            </w:pPr>
            <w:r>
              <w:rPr>
                <w:rFonts w:ascii="Arial" w:cs="Arial" w:eastAsia="Arial" w:hAnsi="Arial"/>
                <w:sz w:val="10"/>
                <w:szCs w:val="10"/>
                <w:b w:val="1"/>
                <w:bCs w:val="1"/>
                <w:color w:val="auto"/>
                <w:w w:val="87"/>
              </w:rPr>
              <w:t>Amount of</w:t>
            </w:r>
          </w:p>
        </w:tc>
        <w:tc>
          <w:tcPr>
            <w:tcW w:w="11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82"/>
              </w:rPr>
              <w:t>Proposed</w:t>
            </w:r>
          </w:p>
        </w:tc>
        <w:tc>
          <w:tcPr>
            <w:tcW w:w="11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5"/>
              </w:rPr>
              <w:t>Maximum</w:t>
            </w:r>
          </w:p>
        </w:tc>
        <w:tc>
          <w:tcPr>
            <w:tcW w:w="1160" w:type="dxa"/>
            <w:vAlign w:val="bottom"/>
          </w:tcPr>
          <w:p>
            <w:pPr>
              <w:spacing w:after="0"/>
              <w:rPr>
                <w:sz w:val="9"/>
                <w:szCs w:val="9"/>
                <w:color w:val="auto"/>
              </w:rPr>
            </w:pPr>
          </w:p>
        </w:tc>
      </w:tr>
      <w:tr>
        <w:trPr>
          <w:trHeight w:val="99"/>
        </w:trPr>
        <w:tc>
          <w:tcPr>
            <w:tcW w:w="26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3"/>
              </w:rPr>
              <w:t>Title of each class of</w:t>
            </w:r>
          </w:p>
        </w:tc>
        <w:tc>
          <w:tcPr>
            <w:tcW w:w="118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3"/>
              </w:rPr>
              <w:t>Securities to be</w:t>
            </w:r>
          </w:p>
        </w:tc>
        <w:tc>
          <w:tcPr>
            <w:tcW w:w="118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0"/>
              </w:rPr>
              <w:t>Maximum</w:t>
            </w:r>
          </w:p>
        </w:tc>
        <w:tc>
          <w:tcPr>
            <w:tcW w:w="11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4"/>
              </w:rPr>
              <w:t>Aggregate</w:t>
            </w: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Amount of</w:t>
            </w:r>
          </w:p>
        </w:tc>
      </w:tr>
      <w:tr>
        <w:trPr>
          <w:trHeight w:val="117"/>
        </w:trPr>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securities to be registered(1)</w:t>
            </w:r>
          </w:p>
        </w:tc>
        <w:tc>
          <w:tcPr>
            <w:tcW w:w="11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0"/>
                <w:szCs w:val="10"/>
                <w:b w:val="1"/>
                <w:bCs w:val="1"/>
                <w:color w:val="auto"/>
                <w:w w:val="85"/>
              </w:rPr>
              <w:t>Registered</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Offering Price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Offering Price(1)(2)</w:t>
            </w:r>
          </w:p>
        </w:tc>
        <w:tc>
          <w:tcPr>
            <w:tcW w:w="1160" w:type="dxa"/>
            <w:vAlign w:val="bottom"/>
            <w:tcBorders>
              <w:bottom w:val="single" w:sz="8" w:color="auto"/>
            </w:tcBorders>
          </w:tcPr>
          <w:p>
            <w:pPr>
              <w:jc w:val="center"/>
              <w:ind w:left="12"/>
              <w:spacing w:after="0"/>
              <w:rPr>
                <w:sz w:val="20"/>
                <w:szCs w:val="20"/>
                <w:color w:val="auto"/>
              </w:rPr>
            </w:pPr>
            <w:r>
              <w:rPr>
                <w:rFonts w:ascii="Arial" w:cs="Arial" w:eastAsia="Arial" w:hAnsi="Arial"/>
                <w:sz w:val="10"/>
                <w:szCs w:val="10"/>
                <w:b w:val="1"/>
                <w:bCs w:val="1"/>
                <w:color w:val="auto"/>
                <w:w w:val="83"/>
              </w:rPr>
              <w:t>Registration Fees</w:t>
            </w:r>
          </w:p>
        </w:tc>
      </w:tr>
      <w:tr>
        <w:trPr>
          <w:trHeight w:val="95"/>
        </w:trPr>
        <w:tc>
          <w:tcPr>
            <w:tcW w:w="2660" w:type="dxa"/>
            <w:vAlign w:val="bottom"/>
            <w:tcBorders>
              <w:bottom w:val="single" w:sz="8" w:color="auto"/>
              <w:right w:val="single" w:sz="8" w:color="auto"/>
            </w:tcBorders>
          </w:tcPr>
          <w:p>
            <w:pPr>
              <w:spacing w:after="0" w:line="88" w:lineRule="exact"/>
              <w:rPr>
                <w:sz w:val="20"/>
                <w:szCs w:val="20"/>
                <w:color w:val="auto"/>
              </w:rPr>
            </w:pPr>
            <w:r>
              <w:rPr>
                <w:rFonts w:ascii="Arial" w:cs="Arial" w:eastAsia="Arial" w:hAnsi="Arial"/>
                <w:sz w:val="10"/>
                <w:szCs w:val="10"/>
                <w:color w:val="auto"/>
              </w:rPr>
              <w:t>Common stock, $0.01 par value per share</w:t>
            </w:r>
          </w:p>
        </w:tc>
        <w:tc>
          <w:tcPr>
            <w:tcW w:w="118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jc w:val="right"/>
              <w:ind w:right="632"/>
              <w:spacing w:after="0" w:line="88" w:lineRule="exact"/>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ind w:right="632"/>
              <w:spacing w:after="0" w:line="88" w:lineRule="exact"/>
              <w:rPr>
                <w:sz w:val="20"/>
                <w:szCs w:val="20"/>
                <w:color w:val="auto"/>
              </w:rPr>
            </w:pPr>
            <w:r>
              <w:rPr>
                <w:rFonts w:ascii="Arial" w:cs="Arial" w:eastAsia="Arial" w:hAnsi="Arial"/>
                <w:sz w:val="10"/>
                <w:szCs w:val="10"/>
                <w:color w:val="auto"/>
              </w:rPr>
              <w:t>$</w:t>
            </w:r>
          </w:p>
        </w:tc>
      </w:tr>
    </w:tbl>
    <w:p>
      <w:pPr>
        <w:ind w:left="2260" w:hanging="288"/>
        <w:spacing w:after="0" w:line="21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Includes shares of common stock that the underwriters may purchase, including pursuant to the option to purchase additional shares, if any.</w:t>
      </w:r>
    </w:p>
    <w:p>
      <w:pPr>
        <w:ind w:left="2260" w:right="879" w:hanging="288"/>
        <w:spacing w:after="0" w:line="216" w:lineRule="auto"/>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pursuant to Rule 457(c) under the Securities Act of 1933, as amended, the maximum offering price per share and maximum aggregate offering price are based on the average of the $ (high) and $ (low) sale price of the registrant’s common stock as reported on The Nasdaq Global Select Market on , 2021, which date is within five business days prior to filing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74295</wp:posOffset>
            </wp:positionV>
            <wp:extent cx="9829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8" w:lineRule="exact"/>
        <w:rPr>
          <w:sz w:val="24"/>
          <w:szCs w:val="24"/>
          <w:color w:val="auto"/>
        </w:rPr>
      </w:pPr>
    </w:p>
    <w:p>
      <w:pPr>
        <w:ind w:left="1980" w:right="1079" w:firstLine="294"/>
        <w:spacing w:after="0" w:line="299" w:lineRule="auto"/>
        <w:rPr>
          <w:sz w:val="20"/>
          <w:szCs w:val="20"/>
          <w:color w:val="auto"/>
        </w:rPr>
      </w:pPr>
      <w:r>
        <w:rPr>
          <w:rFonts w:ascii="Arial" w:cs="Arial" w:eastAsia="Arial" w:hAnsi="Arial"/>
          <w:sz w:val="8"/>
          <w:szCs w:val="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13970</wp:posOffset>
            </wp:positionV>
            <wp:extent cx="46634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42545</wp:posOffset>
            </wp:positionV>
            <wp:extent cx="46634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1019"/>
        <w:spacing w:after="0" w:line="302" w:lineRule="auto"/>
        <w:rPr>
          <w:sz w:val="20"/>
          <w:szCs w:val="20"/>
          <w:color w:val="auto"/>
        </w:rPr>
      </w:pPr>
      <w:r>
        <w:rPr>
          <w:rFonts w:ascii="Arial" w:cs="Arial" w:eastAsia="Arial" w:hAnsi="Arial"/>
          <w:sz w:val="11"/>
          <w:szCs w:val="11"/>
          <w:b w:val="1"/>
          <w:bCs w:val="1"/>
          <w:color w:val="EB0029"/>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 securities in any jurisdiction where the offer or sale is not permitted.</w:t>
      </w:r>
    </w:p>
    <w:p>
      <w:pPr>
        <w:spacing w:after="0" w:line="5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137"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EB0029"/>
        </w:rPr>
        <w:t>SUBJECT TO COMPLETION, DATED MARCH 1, 2021</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Prospectus</w:t>
      </w:r>
    </w:p>
    <w:p>
      <w:pPr>
        <w:spacing w:after="0" w:line="135"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113665</wp:posOffset>
            </wp:positionV>
            <wp:extent cx="104013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0130" cy="2057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140"/>
        <w:spacing w:after="0"/>
        <w:rPr>
          <w:sz w:val="20"/>
          <w:szCs w:val="20"/>
          <w:color w:val="auto"/>
        </w:rPr>
      </w:pPr>
      <w:r>
        <w:rPr>
          <w:rFonts w:ascii="Arial" w:cs="Arial" w:eastAsia="Arial" w:hAnsi="Arial"/>
          <w:sz w:val="29"/>
          <w:szCs w:val="29"/>
          <w:b w:val="1"/>
          <w:bCs w:val="1"/>
          <w:color w:val="auto"/>
        </w:rPr>
        <w:t>Sotera Health Company</w:t>
      </w:r>
    </w:p>
    <w:p>
      <w:pPr>
        <w:spacing w:after="0" w:line="156"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165100</wp:posOffset>
            </wp:positionV>
            <wp:extent cx="9829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8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is a public offering of shares of common stock of Sotera Health Company.</w:t>
      </w:r>
    </w:p>
    <w:p>
      <w:pPr>
        <w:spacing w:after="0" w:line="150"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The selling stockholders identified in this prospectus are offering shares of our common stock. We are not selling any shares of common stock under this prospectus and will not receive any proceeds from the sale of the shares by the selling stockholders. Our common stock is listed and traded on the Nasdaq Global Select Market (“Nasdaq”) under the symbol “SHC.” On February 26, 2021, the last reported sale price of our common stock on Nasdaq was $26.15 per share.</w:t>
      </w:r>
    </w:p>
    <w:p>
      <w:pPr>
        <w:spacing w:after="0" w:line="124"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140335</wp:posOffset>
            </wp:positionV>
            <wp:extent cx="9829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6" w:lineRule="exact"/>
        <w:rPr>
          <w:sz w:val="20"/>
          <w:szCs w:val="20"/>
          <w:color w:val="auto"/>
        </w:rPr>
      </w:pPr>
    </w:p>
    <w:p>
      <w:pPr>
        <w:ind w:left="1980" w:right="1139" w:firstLine="294"/>
        <w:spacing w:after="0" w:line="279"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a high degree of risk. See “</w:t>
      </w:r>
      <w:hyperlink w:anchor="page2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20 to read about factors you should consider before deciding to invest in our common stock.</w:t>
      </w:r>
    </w:p>
    <w:p>
      <w:pPr>
        <w:spacing w:after="0" w:line="99" w:lineRule="exact"/>
        <w:rPr>
          <w:sz w:val="20"/>
          <w:szCs w:val="20"/>
          <w:color w:val="auto"/>
        </w:rPr>
      </w:pPr>
    </w:p>
    <w:p>
      <w:pPr>
        <w:ind w:left="1980" w:right="1079" w:firstLine="294"/>
        <w:spacing w:after="0" w:line="330" w:lineRule="auto"/>
        <w:rPr>
          <w:sz w:val="20"/>
          <w:szCs w:val="20"/>
          <w:color w:val="auto"/>
        </w:rPr>
      </w:pPr>
      <w:r>
        <w:rPr>
          <w:rFonts w:ascii="Arial" w:cs="Arial" w:eastAsia="Arial" w:hAnsi="Arial"/>
          <w:sz w:val="11"/>
          <w:szCs w:val="11"/>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9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0"/>
                <w:szCs w:val="10"/>
                <w:b w:val="1"/>
                <w:bCs w:val="1"/>
                <w:color w:val="auto"/>
              </w:rPr>
              <w:t>Per share</w:t>
            </w:r>
          </w:p>
        </w:tc>
        <w:tc>
          <w:tcPr>
            <w:tcW w:w="38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Public offering price</w:t>
            </w:r>
          </w:p>
        </w:tc>
        <w:tc>
          <w:tcPr>
            <w:tcW w:w="4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Underwriting discounts(1)</w:t>
            </w:r>
          </w:p>
        </w:tc>
        <w:tc>
          <w:tcPr>
            <w:tcW w:w="40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Proceeds to selling stockholders, before expenses</w:t>
            </w:r>
          </w:p>
        </w:tc>
        <w:tc>
          <w:tcPr>
            <w:tcW w:w="4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selling stockholders have agreed to reimburse the underwriters for certain expenses in connection with this offering. See “Underwriting.”</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640" w:type="dxa"/>
            <w:vAlign w:val="bottom"/>
            <w:gridSpan w:val="4"/>
          </w:tcPr>
          <w:p>
            <w:pPr>
              <w:ind w:left="280"/>
              <w:spacing w:after="0"/>
              <w:rPr>
                <w:sz w:val="20"/>
                <w:szCs w:val="20"/>
                <w:color w:val="auto"/>
              </w:rPr>
            </w:pPr>
            <w:r>
              <w:rPr>
                <w:rFonts w:ascii="Arial" w:cs="Arial" w:eastAsia="Arial" w:hAnsi="Arial"/>
                <w:sz w:val="12"/>
                <w:szCs w:val="12"/>
                <w:color w:val="auto"/>
                <w:w w:val="98"/>
              </w:rPr>
              <w:t>The selling stockholders have granted the underwriters an option to purchase up to</w:t>
            </w:r>
          </w:p>
        </w:tc>
        <w:tc>
          <w:tcPr>
            <w:tcW w:w="2420" w:type="dxa"/>
            <w:vAlign w:val="bottom"/>
          </w:tcPr>
          <w:p>
            <w:pPr>
              <w:ind w:left="120"/>
              <w:spacing w:after="0"/>
              <w:rPr>
                <w:sz w:val="20"/>
                <w:szCs w:val="20"/>
                <w:color w:val="auto"/>
              </w:rPr>
            </w:pPr>
            <w:r>
              <w:rPr>
                <w:rFonts w:ascii="Arial" w:cs="Arial" w:eastAsia="Arial" w:hAnsi="Arial"/>
                <w:sz w:val="12"/>
                <w:szCs w:val="12"/>
                <w:color w:val="auto"/>
                <w:w w:val="90"/>
              </w:rPr>
              <w:t>additional shares of common stock at the public</w:t>
            </w:r>
          </w:p>
        </w:tc>
      </w:tr>
      <w:tr>
        <w:trPr>
          <w:trHeight w:val="153"/>
        </w:trPr>
        <w:tc>
          <w:tcPr>
            <w:tcW w:w="7060" w:type="dxa"/>
            <w:vAlign w:val="bottom"/>
            <w:gridSpan w:val="5"/>
          </w:tcPr>
          <w:p>
            <w:pPr>
              <w:spacing w:after="0"/>
              <w:rPr>
                <w:sz w:val="20"/>
                <w:szCs w:val="20"/>
                <w:color w:val="auto"/>
              </w:rPr>
            </w:pPr>
            <w:r>
              <w:rPr>
                <w:rFonts w:ascii="Arial" w:cs="Arial" w:eastAsia="Arial" w:hAnsi="Arial"/>
                <w:sz w:val="12"/>
                <w:szCs w:val="12"/>
                <w:color w:val="auto"/>
              </w:rPr>
              <w:t>offering price less the underwriting discount for a period of 30 days after the date of this prospectus.</w:t>
            </w:r>
          </w:p>
        </w:tc>
      </w:tr>
      <w:tr>
        <w:trPr>
          <w:trHeight w:val="288"/>
        </w:trPr>
        <w:tc>
          <w:tcPr>
            <w:tcW w:w="3800" w:type="dxa"/>
            <w:vAlign w:val="bottom"/>
            <w:gridSpan w:val="2"/>
          </w:tcPr>
          <w:p>
            <w:pPr>
              <w:ind w:left="280"/>
              <w:spacing w:after="0"/>
              <w:rPr>
                <w:sz w:val="20"/>
                <w:szCs w:val="20"/>
                <w:color w:val="auto"/>
              </w:rPr>
            </w:pPr>
            <w:r>
              <w:rPr>
                <w:rFonts w:ascii="Arial" w:cs="Arial" w:eastAsia="Arial" w:hAnsi="Arial"/>
                <w:sz w:val="12"/>
                <w:szCs w:val="12"/>
                <w:color w:val="auto"/>
              </w:rPr>
              <w:t>Delivery of the shares of common stock will be made on or about</w:t>
            </w:r>
          </w:p>
        </w:tc>
        <w:tc>
          <w:tcPr>
            <w:tcW w:w="640" w:type="dxa"/>
            <w:vAlign w:val="bottom"/>
          </w:tcPr>
          <w:p>
            <w:pPr>
              <w:ind w:left="120"/>
              <w:spacing w:after="0"/>
              <w:rPr>
                <w:sz w:val="20"/>
                <w:szCs w:val="20"/>
                <w:color w:val="auto"/>
              </w:rPr>
            </w:pPr>
            <w:r>
              <w:rPr>
                <w:rFonts w:ascii="Arial" w:cs="Arial" w:eastAsia="Arial" w:hAnsi="Arial"/>
                <w:sz w:val="12"/>
                <w:szCs w:val="12"/>
                <w:color w:val="auto"/>
              </w:rPr>
              <w:t>, 2021.</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7"/>
        </w:trPr>
        <w:tc>
          <w:tcPr>
            <w:tcW w:w="3800" w:type="dxa"/>
            <w:vAlign w:val="bottom"/>
            <w:gridSpan w:val="2"/>
          </w:tcPr>
          <w:p>
            <w:pPr>
              <w:ind w:left="338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88"/>
        </w:trPr>
        <w:tc>
          <w:tcPr>
            <w:tcW w:w="3800" w:type="dxa"/>
            <w:vAlign w:val="bottom"/>
            <w:gridSpan w:val="2"/>
          </w:tcPr>
          <w:p>
            <w:pPr>
              <w:ind w:left="2820"/>
              <w:spacing w:after="0"/>
              <w:rPr>
                <w:sz w:val="20"/>
                <w:szCs w:val="20"/>
                <w:color w:val="auto"/>
              </w:rPr>
            </w:pPr>
            <w:r>
              <w:rPr>
                <w:rFonts w:ascii="Arial" w:cs="Arial" w:eastAsia="Arial" w:hAnsi="Arial"/>
                <w:sz w:val="12"/>
                <w:szCs w:val="12"/>
                <w:b w:val="1"/>
                <w:bCs w:val="1"/>
                <w:color w:val="auto"/>
                <w:w w:val="95"/>
              </w:rPr>
              <w:t>Prospectus dated</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 2021.</w:t>
            </w:r>
          </w:p>
        </w:tc>
        <w:tc>
          <w:tcPr>
            <w:tcW w:w="2420" w:type="dxa"/>
            <w:vAlign w:val="bottom"/>
          </w:tcPr>
          <w:p>
            <w:pPr>
              <w:spacing w:after="0"/>
              <w:rPr>
                <w:sz w:val="24"/>
                <w:szCs w:val="24"/>
                <w:color w:val="auto"/>
              </w:rPr>
            </w:pPr>
          </w:p>
        </w:tc>
      </w:tr>
    </w:tbl>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2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70425" cy="402463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6860" w:type="dxa"/>
            <w:vAlign w:val="bottom"/>
            <w:vMerge w:val="restart"/>
          </w:tcPr>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SUMMARY</w:t>
              </w:r>
            </w:hyperlink>
          </w:p>
        </w:tc>
        <w:tc>
          <w:tcPr>
            <w:tcW w:w="220" w:type="dxa"/>
            <w:vAlign w:val="bottom"/>
            <w:gridSpan w:val="2"/>
          </w:tcPr>
          <w:p>
            <w:pPr>
              <w:spacing w:after="0"/>
              <w:rPr>
                <w:sz w:val="20"/>
                <w:szCs w:val="20"/>
                <w:color w:val="auto"/>
              </w:rPr>
            </w:pPr>
            <w:r>
              <w:rPr>
                <w:rFonts w:ascii="Arial" w:cs="Arial" w:eastAsia="Arial" w:hAnsi="Arial"/>
                <w:sz w:val="10"/>
                <w:szCs w:val="10"/>
                <w:b w:val="1"/>
                <w:bCs w:val="1"/>
                <w:color w:val="auto"/>
                <w:w w:val="83"/>
              </w:rPr>
              <w:t>Page</w:t>
            </w:r>
          </w:p>
        </w:tc>
        <w:tc>
          <w:tcPr>
            <w:tcW w:w="0" w:type="dxa"/>
            <w:vAlign w:val="bottom"/>
          </w:tcPr>
          <w:p>
            <w:pPr>
              <w:spacing w:after="0"/>
              <w:rPr>
                <w:sz w:val="1"/>
                <w:szCs w:val="1"/>
                <w:color w:val="auto"/>
              </w:rPr>
            </w:pPr>
          </w:p>
        </w:tc>
      </w:tr>
      <w:tr>
        <w:trPr>
          <w:trHeight w:val="124"/>
        </w:trPr>
        <w:tc>
          <w:tcPr>
            <w:tcW w:w="6860" w:type="dxa"/>
            <w:vAlign w:val="bottom"/>
            <w:vMerge w:val="continue"/>
          </w:tcPr>
          <w:p>
            <w:pPr>
              <w:spacing w:after="0"/>
              <w:rPr>
                <w:sz w:val="10"/>
                <w:szCs w:val="10"/>
                <w:color w:val="auto"/>
              </w:rPr>
            </w:pPr>
          </w:p>
        </w:tc>
        <w:tc>
          <w:tcPr>
            <w:tcW w:w="2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24">
              <w:r>
                <w:rPr>
                  <w:rFonts w:ascii="Arial" w:cs="Arial" w:eastAsia="Arial" w:hAnsi="Arial"/>
                  <w:sz w:val="12"/>
                  <w:szCs w:val="12"/>
                  <w:u w:val="single" w:color="auto"/>
                  <w:color w:val="0000EE"/>
                </w:rPr>
                <w:t>RISK FACTORS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57">
              <w:r>
                <w:rPr>
                  <w:rFonts w:ascii="Arial" w:cs="Arial" w:eastAsia="Arial" w:hAnsi="Arial"/>
                  <w:sz w:val="12"/>
                  <w:szCs w:val="12"/>
                  <w:u w:val="single" w:color="auto"/>
                  <w:color w:val="0000EE"/>
                </w:rPr>
                <w:t>CAUTIONARY NOTE REGARDING FORWARD-LOOKING STATEMENTS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USE OF PROCEEDS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60">
              <w:r>
                <w:rPr>
                  <w:rFonts w:ascii="Arial" w:cs="Arial" w:eastAsia="Arial" w:hAnsi="Arial"/>
                  <w:sz w:val="12"/>
                  <w:szCs w:val="12"/>
                  <w:u w:val="single" w:color="auto"/>
                  <w:color w:val="0000EE"/>
                </w:rPr>
                <w:t>DIVIDEND POLICY</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61">
              <w:r>
                <w:rPr>
                  <w:rFonts w:ascii="Arial" w:cs="Arial" w:eastAsia="Arial" w:hAnsi="Arial"/>
                  <w:sz w:val="12"/>
                  <w:szCs w:val="12"/>
                  <w:u w:val="single" w:color="auto"/>
                  <w:color w:val="0000EE"/>
                </w:rPr>
                <w:t>CAPITALIZATION</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62">
              <w:r>
                <w:rPr>
                  <w:rFonts w:ascii="Arial" w:cs="Arial" w:eastAsia="Arial" w:hAnsi="Arial"/>
                  <w:sz w:val="12"/>
                  <w:szCs w:val="12"/>
                  <w:u w:val="single" w:color="auto"/>
                  <w:color w:val="0000EE"/>
                </w:rPr>
                <w:t>PRINCIPAL AND SELLING STOCKHOLDERS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DESCRIPTION OF CAPITAL STOCK</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71">
              <w:r>
                <w:rPr>
                  <w:rFonts w:ascii="Arial" w:cs="Arial" w:eastAsia="Arial" w:hAnsi="Arial"/>
                  <w:sz w:val="12"/>
                  <w:szCs w:val="12"/>
                  <w:u w:val="single" w:color="auto"/>
                  <w:color w:val="0000EE"/>
                </w:rPr>
                <w:t>SHARES ELIGIBLE FOR FUTURE SALE</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74">
              <w:r>
                <w:rPr>
                  <w:rFonts w:ascii="Arial" w:cs="Arial" w:eastAsia="Arial" w:hAnsi="Arial"/>
                  <w:sz w:val="12"/>
                  <w:szCs w:val="12"/>
                  <w:u w:val="single" w:color="auto"/>
                  <w:color w:val="0000EE"/>
                </w:rPr>
                <w:t>MATERIAL U.S. FEDERAL INCOME TAX CONSIDERATIONS FOR NON-U.S. HOLDERS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76">
              <w:r>
                <w:rPr>
                  <w:rFonts w:ascii="Arial" w:cs="Arial" w:eastAsia="Arial" w:hAnsi="Arial"/>
                  <w:sz w:val="12"/>
                  <w:szCs w:val="12"/>
                  <w:u w:val="single" w:color="auto"/>
                  <w:color w:val="0000EE"/>
                </w:rPr>
                <w:t>UNDERWRITING</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LEGAL MATTERS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EXPERTS</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60" w:type="dxa"/>
            <w:vAlign w:val="bottom"/>
          </w:tcPr>
          <w:p>
            <w:pPr>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WHERE YOU CAN FIND MORE INFORMATION</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60" w:type="dxa"/>
            <w:vAlign w:val="bottom"/>
          </w:tcPr>
          <w:p>
            <w:pPr>
              <w:spacing w:after="0"/>
              <w:rPr>
                <w:rFonts w:ascii="Arial" w:cs="Arial" w:eastAsia="Arial" w:hAnsi="Arial"/>
                <w:sz w:val="12"/>
                <w:szCs w:val="12"/>
                <w:u w:val="single" w:color="auto"/>
                <w:color w:val="0000EE"/>
              </w:rPr>
            </w:pPr>
            <w:hyperlink w:anchor="page85">
              <w:r>
                <w:rPr>
                  <w:rFonts w:ascii="Arial" w:cs="Arial" w:eastAsia="Arial" w:hAnsi="Arial"/>
                  <w:sz w:val="12"/>
                  <w:szCs w:val="12"/>
                  <w:u w:val="single" w:color="auto"/>
                  <w:color w:val="0000EE"/>
                </w:rPr>
                <w:t>INCORPORATION BY REFERENCE</w:t>
              </w:r>
            </w:hyperlink>
          </w:p>
        </w:tc>
        <w:tc>
          <w:tcPr>
            <w:tcW w:w="200" w:type="dxa"/>
            <w:vAlign w:val="bottom"/>
          </w:tcPr>
          <w:p>
            <w:pPr>
              <w:jc w:val="right"/>
              <w:spacing w:after="0"/>
              <w:rPr>
                <w:sz w:val="20"/>
                <w:szCs w:val="20"/>
                <w:color w:val="auto"/>
              </w:rPr>
            </w:pPr>
            <w:r>
              <w:rPr>
                <w:rFonts w:ascii="Arial" w:cs="Arial" w:eastAsia="Arial" w:hAnsi="Arial"/>
                <w:sz w:val="12"/>
                <w:szCs w:val="12"/>
                <w:color w:val="auto"/>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100" w:right="999" w:firstLine="284"/>
        <w:spacing w:after="0" w:line="310" w:lineRule="auto"/>
        <w:rPr>
          <w:sz w:val="20"/>
          <w:szCs w:val="20"/>
          <w:color w:val="auto"/>
        </w:rPr>
      </w:pPr>
      <w:r>
        <w:rPr>
          <w:rFonts w:ascii="Arial" w:cs="Arial" w:eastAsia="Arial" w:hAnsi="Arial"/>
          <w:sz w:val="10"/>
          <w:szCs w:val="10"/>
          <w:b w:val="1"/>
          <w:bCs w:val="1"/>
          <w:color w:val="auto"/>
        </w:rPr>
        <w:t>You should rely only on the information contained in this prospectus, any amendment or supplement to this prospectus and any free writing prospectus prepared by us or on our behalf that we have referred you to. We and the selling stockholders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and the selling stockholders take no responsibility for, and can provide no assurance as to the reliability of, any other information that others may give you or any representation that others may make to you. We and the selling stockholders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99" w:lineRule="exact"/>
        <w:rPr>
          <w:sz w:val="20"/>
          <w:szCs w:val="20"/>
          <w:color w:val="auto"/>
        </w:rPr>
      </w:pPr>
    </w:p>
    <w:p>
      <w:pPr>
        <w:jc w:val="both"/>
        <w:ind w:left="2100" w:right="1099" w:firstLine="284"/>
        <w:spacing w:after="0" w:line="302" w:lineRule="auto"/>
        <w:rPr>
          <w:sz w:val="20"/>
          <w:szCs w:val="20"/>
          <w:color w:val="auto"/>
        </w:rPr>
      </w:pPr>
      <w:r>
        <w:rPr>
          <w:rFonts w:ascii="Arial" w:cs="Arial" w:eastAsia="Arial" w:hAnsi="Arial"/>
          <w:sz w:val="11"/>
          <w:szCs w:val="11"/>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17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Certain Trademarks, Service Marks and Trade Names</w:t>
      </w:r>
    </w:p>
    <w:p>
      <w:pPr>
        <w:spacing w:after="0" w:line="82" w:lineRule="exact"/>
        <w:rPr>
          <w:sz w:val="20"/>
          <w:szCs w:val="20"/>
          <w:color w:val="auto"/>
        </w:rPr>
      </w:pPr>
    </w:p>
    <w:p>
      <w:pPr>
        <w:ind w:left="2100" w:right="999" w:firstLine="284"/>
        <w:spacing w:after="0" w:line="283" w:lineRule="auto"/>
        <w:rPr>
          <w:sz w:val="20"/>
          <w:szCs w:val="20"/>
          <w:color w:val="auto"/>
        </w:rPr>
      </w:pPr>
      <w:r>
        <w:rPr>
          <w:rFonts w:ascii="Arial" w:cs="Arial" w:eastAsia="Arial" w:hAnsi="Arial"/>
          <w:sz w:val="11"/>
          <w:szCs w:val="11"/>
          <w:color w:val="auto"/>
        </w:rPr>
        <w:t>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138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70425" cy="13843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2100" w:right="1019"/>
        <w:spacing w:after="0" w:line="263" w:lineRule="auto"/>
        <w:rPr>
          <w:sz w:val="20"/>
          <w:szCs w:val="20"/>
          <w:color w:val="auto"/>
        </w:rPr>
      </w:pPr>
      <w:r>
        <w:rPr>
          <w:rFonts w:ascii="Arial" w:cs="Arial" w:eastAsia="Arial" w:hAnsi="Arial"/>
          <w:sz w:val="12"/>
          <w:szCs w:val="12"/>
          <w:color w:val="auto"/>
        </w:rPr>
        <w:t xml:space="preserve">trademarks, service marks and trade names referred to in this prospectus may appear without the </w:t>
      </w:r>
      <w:r>
        <w:rPr>
          <w:rFonts w:ascii="Arial" w:cs="Arial" w:eastAsia="Arial" w:hAnsi="Arial"/>
          <w:sz w:val="10"/>
          <w:szCs w:val="10"/>
          <w:color w:val="auto"/>
        </w:rPr>
        <w:t>®</w:t>
      </w:r>
      <w:r>
        <w:rPr>
          <w:rFonts w:ascii="Arial" w:cs="Arial" w:eastAsia="Arial" w:hAnsi="Arial"/>
          <w:sz w:val="12"/>
          <w:szCs w:val="12"/>
          <w:color w:val="auto"/>
        </w:rPr>
        <w:t xml:space="preserve">, </w:t>
      </w:r>
      <w:r>
        <w:rPr>
          <w:rFonts w:ascii="Arial" w:cs="Arial" w:eastAsia="Arial" w:hAnsi="Arial"/>
          <w:sz w:val="10"/>
          <w:szCs w:val="10"/>
          <w:color w:val="auto"/>
        </w:rPr>
        <w:t>™</w:t>
      </w:r>
      <w:r>
        <w:rPr>
          <w:rFonts w:ascii="Arial" w:cs="Arial" w:eastAsia="Arial" w:hAnsi="Arial"/>
          <w:sz w:val="12"/>
          <w:szCs w:val="12"/>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19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Market, Industry and Other Data</w:t>
      </w:r>
    </w:p>
    <w:p>
      <w:pPr>
        <w:spacing w:after="0" w:line="82" w:lineRule="exact"/>
        <w:rPr>
          <w:sz w:val="20"/>
          <w:szCs w:val="20"/>
          <w:color w:val="auto"/>
        </w:rPr>
      </w:pPr>
    </w:p>
    <w:p>
      <w:pPr>
        <w:ind w:left="2100" w:right="1119" w:firstLine="284"/>
        <w:spacing w:after="0" w:line="281" w:lineRule="auto"/>
        <w:rPr>
          <w:sz w:val="20"/>
          <w:szCs w:val="20"/>
          <w:color w:val="auto"/>
        </w:rPr>
      </w:pPr>
      <w:r>
        <w:rPr>
          <w:rFonts w:ascii="Arial" w:cs="Arial" w:eastAsia="Arial" w:hAnsi="Arial"/>
          <w:sz w:val="11"/>
          <w:szCs w:val="11"/>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and in Sotera Health Company’s Annual Report on Form 10-K for the fiscal year ended December 31, 2020 (“Sotera Health’s 2020 10-K”).</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333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0425" cy="43332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SUMMARY</w:t>
      </w:r>
    </w:p>
    <w:p>
      <w:pPr>
        <w:spacing w:after="0" w:line="154" w:lineRule="exact"/>
        <w:rPr>
          <w:sz w:val="20"/>
          <w:szCs w:val="20"/>
          <w:color w:val="auto"/>
        </w:rPr>
      </w:pPr>
    </w:p>
    <w:p>
      <w:pPr>
        <w:ind w:left="2100" w:right="1019" w:firstLine="284"/>
        <w:spacing w:after="0" w:line="255" w:lineRule="auto"/>
        <w:rPr>
          <w:sz w:val="20"/>
          <w:szCs w:val="20"/>
          <w:color w:val="auto"/>
        </w:rPr>
      </w:pPr>
      <w:r>
        <w:rPr>
          <w:rFonts w:ascii="Arial" w:cs="Arial" w:eastAsia="Arial" w:hAnsi="Arial"/>
          <w:sz w:val="12"/>
          <w:szCs w:val="12"/>
          <w:i w:val="1"/>
          <w:iCs w:val="1"/>
          <w:color w:val="auto"/>
        </w:rPr>
        <w:t>The following summary highlights selected information about our company and this offering that is included elsewhere in this prospectus in greater detail or incorporated by reference herein from our filings with the SEC listed under “Incorporation by Reference.”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and “Summary Historical Consolidated Financial and Other Data” and the information incorporated herein by reference.</w:t>
      </w:r>
    </w:p>
    <w:p>
      <w:pPr>
        <w:spacing w:after="0" w:line="128"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Our Company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04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70425" cy="3704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9"/>
          <w:szCs w:val="9"/>
          <w:color w:val="auto"/>
        </w:rPr>
        <w:t>®</w:t>
      </w:r>
      <w:r>
        <w:rPr>
          <w:rFonts w:ascii="Arial" w:cs="Arial" w:eastAsia="Arial" w:hAnsi="Arial"/>
          <w:sz w:val="11"/>
          <w:szCs w:val="11"/>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8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Businesses</w:t>
      </w:r>
    </w:p>
    <w:p>
      <w:pPr>
        <w:spacing w:after="0" w:line="78" w:lineRule="exact"/>
        <w:rPr>
          <w:sz w:val="20"/>
          <w:szCs w:val="20"/>
          <w:color w:val="auto"/>
        </w:rPr>
      </w:pPr>
    </w:p>
    <w:p>
      <w:pPr>
        <w:ind w:left="2100" w:right="1079" w:firstLine="284"/>
        <w:spacing w:after="0" w:line="283" w:lineRule="auto"/>
        <w:rPr>
          <w:sz w:val="20"/>
          <w:szCs w:val="20"/>
          <w:color w:val="auto"/>
        </w:rPr>
      </w:pPr>
      <w:r>
        <w:rPr>
          <w:rFonts w:ascii="Arial" w:cs="Arial" w:eastAsia="Arial" w:hAnsi="Arial"/>
          <w:sz w:val="11"/>
          <w:szCs w:val="11"/>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12" w:lineRule="exact"/>
        <w:rPr>
          <w:sz w:val="20"/>
          <w:szCs w:val="20"/>
          <w:color w:val="auto"/>
        </w:rPr>
      </w:pPr>
    </w:p>
    <w:p>
      <w:pPr>
        <w:ind w:left="2360" w:hanging="203"/>
        <w:spacing w:after="0"/>
        <w:tabs>
          <w:tab w:leader="none" w:pos="2360" w:val="left"/>
        </w:tabs>
        <w:numPr>
          <w:ilvl w:val="0"/>
          <w:numId w:val="3"/>
        </w:numPr>
        <w:rPr>
          <w:rFonts w:ascii="Arial" w:cs="Arial" w:eastAsia="Arial" w:hAnsi="Arial"/>
          <w:sz w:val="12"/>
          <w:szCs w:val="12"/>
          <w:color w:val="auto"/>
        </w:rPr>
      </w:pPr>
      <w:r>
        <w:rPr>
          <w:rFonts w:ascii="Arial" w:cs="Arial" w:eastAsia="Arial" w:hAnsi="Arial"/>
          <w:sz w:val="12"/>
          <w:szCs w:val="12"/>
          <w:color w:val="auto"/>
        </w:rPr>
        <w:t>Sterilization Services (our Sterigenics and Nordion brands):</w:t>
      </w:r>
    </w:p>
    <w:p>
      <w:pPr>
        <w:spacing w:after="0" w:line="87" w:lineRule="exact"/>
        <w:rPr>
          <w:rFonts w:ascii="Arial" w:cs="Arial" w:eastAsia="Arial" w:hAnsi="Arial"/>
          <w:sz w:val="12"/>
          <w:szCs w:val="12"/>
          <w:color w:val="auto"/>
        </w:rPr>
      </w:pPr>
    </w:p>
    <w:p>
      <w:pPr>
        <w:ind w:left="2720" w:right="979" w:hanging="275"/>
        <w:spacing w:after="0" w:line="281" w:lineRule="auto"/>
        <w:tabs>
          <w:tab w:leader="none" w:pos="2720" w:val="left"/>
        </w:tabs>
        <w:numPr>
          <w:ilvl w:val="1"/>
          <w:numId w:val="3"/>
        </w:numPr>
        <w:rPr>
          <w:rFonts w:ascii="Arial" w:cs="Arial" w:eastAsia="Arial" w:hAnsi="Arial"/>
          <w:sz w:val="11"/>
          <w:szCs w:val="11"/>
          <w:color w:val="auto"/>
        </w:rPr>
      </w:pPr>
      <w:r>
        <w:rPr>
          <w:rFonts w:ascii="Arial" w:cs="Arial" w:eastAsia="Arial" w:hAnsi="Arial"/>
          <w:sz w:val="11"/>
          <w:szCs w:val="11"/>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48" w:lineRule="exact"/>
        <w:rPr>
          <w:rFonts w:ascii="Arial" w:cs="Arial" w:eastAsia="Arial" w:hAnsi="Arial"/>
          <w:sz w:val="11"/>
          <w:szCs w:val="11"/>
          <w:color w:val="auto"/>
        </w:rPr>
      </w:pPr>
    </w:p>
    <w:p>
      <w:pPr>
        <w:ind w:left="3000" w:right="1179" w:hanging="276"/>
        <w:spacing w:after="0" w:line="266" w:lineRule="auto"/>
        <w:tabs>
          <w:tab w:leader="none" w:pos="3000" w:val="left"/>
        </w:tabs>
        <w:numPr>
          <w:ilvl w:val="2"/>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Gamma irradiation: </w:t>
      </w:r>
      <w:r>
        <w:rPr>
          <w:rFonts w:ascii="Arial" w:cs="Arial" w:eastAsia="Arial" w:hAnsi="Arial"/>
          <w:sz w:val="12"/>
          <w:szCs w:val="12"/>
          <w:color w:val="auto"/>
        </w:rPr>
        <w:t>A process in which products are exposed to gamma rays emitted by Co-60. Gamma rays can penetrate</w:t>
      </w:r>
      <w:r>
        <w:rPr>
          <w:rFonts w:ascii="Arial" w:cs="Arial" w:eastAsia="Arial" w:hAnsi="Arial"/>
          <w:sz w:val="12"/>
          <w:szCs w:val="12"/>
          <w:b w:val="1"/>
          <w:bCs w:val="1"/>
          <w:color w:val="auto"/>
        </w:rPr>
        <w:t xml:space="preserve"> </w:t>
      </w:r>
      <w:r>
        <w:rPr>
          <w:rFonts w:ascii="Arial" w:cs="Arial" w:eastAsia="Arial" w:hAnsi="Arial"/>
          <w:sz w:val="12"/>
          <w:szCs w:val="12"/>
          <w:color w:val="auto"/>
        </w:rPr>
        <w:t>even dense materials to kill microbes. Gamma is particularly effective at sterilizing high-density medical products such as sutures, surgical tools and stents.</w:t>
      </w:r>
    </w:p>
    <w:p>
      <w:pPr>
        <w:spacing w:after="0" w:line="54" w:lineRule="exact"/>
        <w:rPr>
          <w:rFonts w:ascii="Arial" w:cs="Arial" w:eastAsia="Arial" w:hAnsi="Arial"/>
          <w:sz w:val="12"/>
          <w:szCs w:val="12"/>
          <w:color w:val="auto"/>
        </w:rPr>
      </w:pPr>
    </w:p>
    <w:p>
      <w:pPr>
        <w:ind w:left="3000" w:right="1199" w:hanging="276"/>
        <w:spacing w:after="0" w:line="292" w:lineRule="auto"/>
        <w:tabs>
          <w:tab w:leader="none" w:pos="3000" w:val="left"/>
        </w:tabs>
        <w:numPr>
          <w:ilvl w:val="2"/>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EO processing: </w:t>
      </w:r>
      <w:r>
        <w:rPr>
          <w:rFonts w:ascii="Arial" w:cs="Arial" w:eastAsia="Arial" w:hAnsi="Arial"/>
          <w:sz w:val="11"/>
          <w:szCs w:val="11"/>
          <w:color w:val="auto"/>
        </w:rPr>
        <w:t>A gas sterilization process in which pallets of packaged goods are loaded into a secure chamber that is then</w:t>
      </w:r>
      <w:r>
        <w:rPr>
          <w:rFonts w:ascii="Arial" w:cs="Arial" w:eastAsia="Arial" w:hAnsi="Arial"/>
          <w:sz w:val="11"/>
          <w:szCs w:val="11"/>
          <w:b w:val="1"/>
          <w:bCs w:val="1"/>
          <w:color w:val="auto"/>
        </w:rPr>
        <w:t xml:space="preserve"> </w:t>
      </w:r>
      <w:r>
        <w:rPr>
          <w:rFonts w:ascii="Arial" w:cs="Arial" w:eastAsia="Arial" w:hAnsi="Arial"/>
          <w:sz w:val="11"/>
          <w:szCs w:val="11"/>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w:t>
      </w: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86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20" w:right="1119"/>
        <w:spacing w:after="0" w:line="276" w:lineRule="auto"/>
        <w:rPr>
          <w:sz w:val="20"/>
          <w:szCs w:val="20"/>
          <w:color w:val="auto"/>
        </w:rPr>
      </w:pPr>
      <w:r>
        <w:rPr>
          <w:rFonts w:ascii="Arial" w:cs="Arial" w:eastAsia="Arial" w:hAnsi="Arial"/>
          <w:sz w:val="12"/>
          <w:szCs w:val="12"/>
          <w:color w:val="auto"/>
        </w:rPr>
        <w:t>this reason, it is commonly the only method available to safely and effectively sterilize procedure kits, PPE and many devices used in cardiac procedures.</w:t>
      </w:r>
    </w:p>
    <w:p>
      <w:pPr>
        <w:spacing w:after="0" w:line="48" w:lineRule="exact"/>
        <w:rPr>
          <w:sz w:val="20"/>
          <w:szCs w:val="20"/>
          <w:color w:val="auto"/>
        </w:rPr>
      </w:pPr>
    </w:p>
    <w:p>
      <w:pPr>
        <w:ind w:left="3000" w:right="1039" w:hanging="276"/>
        <w:spacing w:after="0" w:line="258" w:lineRule="auto"/>
        <w:tabs>
          <w:tab w:leader="none" w:pos="3000" w:val="left"/>
        </w:tabs>
        <w:numPr>
          <w:ilvl w:val="2"/>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E-beam irradiation: </w:t>
      </w:r>
      <w:r>
        <w:rPr>
          <w:rFonts w:ascii="Arial" w:cs="Arial" w:eastAsia="Arial" w:hAnsi="Arial"/>
          <w:sz w:val="12"/>
          <w:szCs w:val="12"/>
          <w:color w:val="auto"/>
        </w:rPr>
        <w:t>A process in which products are exposed to machine-generated radiation in the form of a stream of</w:t>
      </w:r>
      <w:r>
        <w:rPr>
          <w:rFonts w:ascii="Arial" w:cs="Arial" w:eastAsia="Arial" w:hAnsi="Arial"/>
          <w:sz w:val="12"/>
          <w:szCs w:val="12"/>
          <w:b w:val="1"/>
          <w:bCs w:val="1"/>
          <w:color w:val="auto"/>
        </w:rPr>
        <w:t xml:space="preserve"> </w:t>
      </w:r>
      <w:r>
        <w:rPr>
          <w:rFonts w:ascii="Arial" w:cs="Arial" w:eastAsia="Arial" w:hAnsi="Arial"/>
          <w:sz w:val="12"/>
          <w:szCs w:val="12"/>
          <w:color w:val="auto"/>
        </w:rPr>
        <w:t>electrons. 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63" w:lineRule="exact"/>
        <w:rPr>
          <w:rFonts w:ascii="Arial" w:cs="Arial" w:eastAsia="Arial" w:hAnsi="Arial"/>
          <w:sz w:val="12"/>
          <w:szCs w:val="12"/>
          <w:color w:val="auto"/>
        </w:rPr>
      </w:pPr>
    </w:p>
    <w:p>
      <w:pPr>
        <w:ind w:left="2720" w:right="979" w:hanging="275"/>
        <w:spacing w:after="0" w:line="280" w:lineRule="auto"/>
        <w:tabs>
          <w:tab w:leader="none" w:pos="2720" w:val="left"/>
        </w:tabs>
        <w:numPr>
          <w:ilvl w:val="1"/>
          <w:numId w:val="4"/>
        </w:numPr>
        <w:rPr>
          <w:rFonts w:ascii="Arial" w:cs="Arial" w:eastAsia="Arial" w:hAnsi="Arial"/>
          <w:sz w:val="11"/>
          <w:szCs w:val="11"/>
          <w:color w:val="auto"/>
        </w:rPr>
      </w:pPr>
      <w:r>
        <w:rPr>
          <w:rFonts w:ascii="Arial" w:cs="Arial" w:eastAsia="Arial" w:hAnsi="Arial"/>
          <w:sz w:val="11"/>
          <w:szCs w:val="11"/>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9"/>
          <w:szCs w:val="9"/>
          <w:color w:val="auto"/>
        </w:rPr>
        <w:t>®</w:t>
      </w:r>
      <w:r>
        <w:rPr>
          <w:rFonts w:ascii="Arial" w:cs="Arial" w:eastAsia="Arial" w:hAnsi="Arial"/>
          <w:sz w:val="11"/>
          <w:szCs w:val="11"/>
          <w:color w:val="auto"/>
        </w:rPr>
        <w:t>), which are used for certain oncology applications.</w:t>
      </w:r>
    </w:p>
    <w:p>
      <w:pPr>
        <w:spacing w:after="0" w:line="210" w:lineRule="exact"/>
        <w:rPr>
          <w:rFonts w:ascii="Arial" w:cs="Arial" w:eastAsia="Arial" w:hAnsi="Arial"/>
          <w:sz w:val="11"/>
          <w:szCs w:val="11"/>
          <w:color w:val="auto"/>
        </w:rPr>
      </w:pPr>
    </w:p>
    <w:p>
      <w:pPr>
        <w:ind w:left="2360" w:hanging="203"/>
        <w:spacing w:after="0"/>
        <w:tabs>
          <w:tab w:leader="none" w:pos="2360"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Lab Services (our Nelson Labs brand):</w:t>
      </w:r>
    </w:p>
    <w:p>
      <w:pPr>
        <w:spacing w:after="0" w:line="91" w:lineRule="exact"/>
        <w:rPr>
          <w:rFonts w:ascii="Arial" w:cs="Arial" w:eastAsia="Arial" w:hAnsi="Arial"/>
          <w:sz w:val="12"/>
          <w:szCs w:val="12"/>
          <w:b w:val="1"/>
          <w:bCs w:val="1"/>
          <w:color w:val="auto"/>
        </w:rPr>
      </w:pPr>
    </w:p>
    <w:p>
      <w:pPr>
        <w:ind w:left="2720" w:right="1099" w:hanging="275"/>
        <w:spacing w:after="0" w:line="289" w:lineRule="auto"/>
        <w:tabs>
          <w:tab w:leader="none" w:pos="2720" w:val="left"/>
        </w:tabs>
        <w:numPr>
          <w:ilvl w:val="1"/>
          <w:numId w:val="4"/>
        </w:numPr>
        <w:rPr>
          <w:rFonts w:ascii="Arial" w:cs="Arial" w:eastAsia="Arial" w:hAnsi="Arial"/>
          <w:sz w:val="11"/>
          <w:szCs w:val="11"/>
          <w:color w:val="auto"/>
        </w:rPr>
      </w:pPr>
      <w:r>
        <w:rPr>
          <w:rFonts w:ascii="Arial" w:cs="Arial" w:eastAsia="Arial" w:hAnsi="Arial"/>
          <w:sz w:val="11"/>
          <w:szCs w:val="11"/>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47" w:lineRule="exact"/>
        <w:rPr>
          <w:rFonts w:ascii="Arial" w:cs="Arial" w:eastAsia="Arial" w:hAnsi="Arial"/>
          <w:sz w:val="11"/>
          <w:szCs w:val="11"/>
          <w:color w:val="auto"/>
        </w:rPr>
      </w:pPr>
    </w:p>
    <w:p>
      <w:pPr>
        <w:ind w:left="3000" w:right="1319" w:hanging="276"/>
        <w:spacing w:after="0" w:line="276" w:lineRule="auto"/>
        <w:tabs>
          <w:tab w:leader="none" w:pos="3000" w:val="left"/>
        </w:tabs>
        <w:numPr>
          <w:ilvl w:val="2"/>
          <w:numId w:val="4"/>
        </w:numPr>
        <w:rPr>
          <w:rFonts w:ascii="Arial" w:cs="Arial" w:eastAsia="Arial" w:hAnsi="Arial"/>
          <w:sz w:val="12"/>
          <w:szCs w:val="12"/>
          <w:color w:val="auto"/>
        </w:rPr>
      </w:pPr>
      <w:r>
        <w:rPr>
          <w:rFonts w:ascii="Arial" w:cs="Arial" w:eastAsia="Arial" w:hAnsi="Arial"/>
          <w:sz w:val="12"/>
          <w:szCs w:val="12"/>
          <w:color w:val="auto"/>
        </w:rPr>
        <w:t>Microbiology testing services help to identify and measure the potential risks of microbes to a product and ensure that the quality of the products is maintained.</w:t>
      </w:r>
    </w:p>
    <w:p>
      <w:pPr>
        <w:spacing w:after="0" w:line="51" w:lineRule="exact"/>
        <w:rPr>
          <w:rFonts w:ascii="Arial" w:cs="Arial" w:eastAsia="Arial" w:hAnsi="Arial"/>
          <w:sz w:val="12"/>
          <w:szCs w:val="12"/>
          <w:color w:val="auto"/>
        </w:rPr>
      </w:pPr>
    </w:p>
    <w:p>
      <w:pPr>
        <w:ind w:left="3000" w:right="1359" w:hanging="276"/>
        <w:spacing w:after="0" w:line="263" w:lineRule="auto"/>
        <w:tabs>
          <w:tab w:leader="none" w:pos="3000" w:val="left"/>
        </w:tabs>
        <w:numPr>
          <w:ilvl w:val="2"/>
          <w:numId w:val="4"/>
        </w:numPr>
        <w:rPr>
          <w:rFonts w:ascii="Arial" w:cs="Arial" w:eastAsia="Arial" w:hAnsi="Arial"/>
          <w:sz w:val="12"/>
          <w:szCs w:val="12"/>
          <w:color w:val="auto"/>
        </w:rPr>
      </w:pPr>
      <w:r>
        <w:rPr>
          <w:rFonts w:ascii="Arial" w:cs="Arial" w:eastAsia="Arial" w:hAnsi="Arial"/>
          <w:sz w:val="12"/>
          <w:szCs w:val="12"/>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59" w:lineRule="exact"/>
        <w:rPr>
          <w:rFonts w:ascii="Arial" w:cs="Arial" w:eastAsia="Arial" w:hAnsi="Arial"/>
          <w:sz w:val="12"/>
          <w:szCs w:val="12"/>
          <w:color w:val="auto"/>
        </w:rPr>
      </w:pPr>
    </w:p>
    <w:p>
      <w:pPr>
        <w:ind w:left="3000" w:right="1119" w:hanging="276"/>
        <w:spacing w:after="0" w:line="276" w:lineRule="auto"/>
        <w:tabs>
          <w:tab w:leader="none" w:pos="3000" w:val="left"/>
        </w:tabs>
        <w:numPr>
          <w:ilvl w:val="2"/>
          <w:numId w:val="4"/>
        </w:numPr>
        <w:rPr>
          <w:rFonts w:ascii="Arial" w:cs="Arial" w:eastAsia="Arial" w:hAnsi="Arial"/>
          <w:sz w:val="12"/>
          <w:szCs w:val="12"/>
          <w:color w:val="auto"/>
        </w:rPr>
      </w:pPr>
      <w:r>
        <w:rPr>
          <w:rFonts w:ascii="Arial" w:cs="Arial" w:eastAsia="Arial" w:hAnsi="Arial"/>
          <w:sz w:val="12"/>
          <w:szCs w:val="12"/>
          <w:color w:val="auto"/>
        </w:rPr>
        <w:t>We also provide expert advisory services to aid customers in navigating the regulatory requirements applicable throughout the product lifecycle.</w:t>
      </w:r>
    </w:p>
    <w:p>
      <w:pPr>
        <w:spacing w:after="0" w:line="43" w:lineRule="exact"/>
        <w:rPr>
          <w:sz w:val="20"/>
          <w:szCs w:val="20"/>
          <w:color w:val="auto"/>
        </w:rPr>
      </w:pPr>
    </w:p>
    <w:p>
      <w:pPr>
        <w:ind w:left="2740" w:right="1079"/>
        <w:spacing w:after="0" w:line="289" w:lineRule="auto"/>
        <w:rPr>
          <w:sz w:val="20"/>
          <w:szCs w:val="20"/>
          <w:color w:val="auto"/>
        </w:rPr>
      </w:pPr>
      <w:r>
        <w:rPr>
          <w:rFonts w:ascii="Arial" w:cs="Arial" w:eastAsia="Arial" w:hAnsi="Arial"/>
          <w:sz w:val="11"/>
          <w:szCs w:val="11"/>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48" w:lineRule="exact"/>
        <w:rPr>
          <w:sz w:val="20"/>
          <w:szCs w:val="20"/>
          <w:color w:val="auto"/>
        </w:rPr>
      </w:pPr>
    </w:p>
    <w:p>
      <w:pPr>
        <w:ind w:left="3000" w:right="1299" w:hanging="276"/>
        <w:spacing w:after="0" w:line="340" w:lineRule="auto"/>
        <w:tabs>
          <w:tab w:leader="none" w:pos="3000" w:val="left"/>
        </w:tabs>
        <w:numPr>
          <w:ilvl w:val="0"/>
          <w:numId w:val="5"/>
        </w:numPr>
        <w:rPr>
          <w:rFonts w:ascii="Arial" w:cs="Arial" w:eastAsia="Arial" w:hAnsi="Arial"/>
          <w:sz w:val="10"/>
          <w:szCs w:val="10"/>
          <w:color w:val="auto"/>
        </w:rPr>
      </w:pPr>
      <w:r>
        <w:rPr>
          <w:rFonts w:ascii="Arial" w:cs="Arial" w:eastAsia="Arial" w:hAnsi="Arial"/>
          <w:sz w:val="10"/>
          <w:szCs w:val="10"/>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16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0425" cy="37160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3000" w:right="1359" w:hanging="276"/>
        <w:spacing w:after="0" w:line="263" w:lineRule="auto"/>
        <w:tabs>
          <w:tab w:leader="none" w:pos="3000" w:val="left"/>
        </w:tabs>
        <w:numPr>
          <w:ilvl w:val="0"/>
          <w:numId w:val="6"/>
        </w:numPr>
        <w:rPr>
          <w:rFonts w:ascii="Arial" w:cs="Arial" w:eastAsia="Arial" w:hAnsi="Arial"/>
          <w:sz w:val="12"/>
          <w:szCs w:val="12"/>
          <w:color w:val="auto"/>
        </w:rPr>
      </w:pPr>
      <w:r>
        <w:rPr>
          <w:rFonts w:ascii="Arial" w:cs="Arial" w:eastAsia="Arial" w:hAnsi="Arial"/>
          <w:sz w:val="12"/>
          <w:szCs w:val="12"/>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50" w:lineRule="exact"/>
        <w:rPr>
          <w:sz w:val="20"/>
          <w:szCs w:val="20"/>
          <w:color w:val="auto"/>
        </w:rPr>
      </w:pPr>
    </w:p>
    <w:p>
      <w:pPr>
        <w:ind w:left="2740" w:right="1399"/>
        <w:spacing w:after="0" w:line="276" w:lineRule="auto"/>
        <w:rPr>
          <w:sz w:val="20"/>
          <w:szCs w:val="20"/>
          <w:color w:val="auto"/>
        </w:rPr>
      </w:pPr>
      <w:r>
        <w:rPr>
          <w:rFonts w:ascii="Arial" w:cs="Arial" w:eastAsia="Arial" w:hAnsi="Arial"/>
          <w:sz w:val="12"/>
          <w:szCs w:val="12"/>
          <w:color w:val="auto"/>
        </w:rPr>
        <w:t>Nelson Labs is highly complementary to our sterilization services business. In particular, microbiological testing validates the configuration and effectiveness of the sterilization process.</w:t>
      </w:r>
    </w:p>
    <w:p>
      <w:pPr>
        <w:spacing w:after="0" w:line="115" w:lineRule="exact"/>
        <w:rPr>
          <w:sz w:val="20"/>
          <w:szCs w:val="20"/>
          <w:color w:val="auto"/>
        </w:rPr>
      </w:pPr>
    </w:p>
    <w:p>
      <w:pPr>
        <w:ind w:left="2100" w:right="979" w:firstLine="284"/>
        <w:spacing w:after="0" w:line="298" w:lineRule="auto"/>
        <w:rPr>
          <w:sz w:val="20"/>
          <w:szCs w:val="20"/>
          <w:color w:val="auto"/>
        </w:rPr>
      </w:pPr>
      <w:r>
        <w:rPr>
          <w:rFonts w:ascii="Arial" w:cs="Arial" w:eastAsia="Arial" w:hAnsi="Arial"/>
          <w:sz w:val="11"/>
          <w:szCs w:val="11"/>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Markets and Customers</w:t>
      </w:r>
    </w:p>
    <w:p>
      <w:pPr>
        <w:spacing w:after="0" w:line="78" w:lineRule="exact"/>
        <w:rPr>
          <w:sz w:val="20"/>
          <w:szCs w:val="20"/>
          <w:color w:val="auto"/>
        </w:rPr>
      </w:pPr>
    </w:p>
    <w:p>
      <w:pPr>
        <w:ind w:left="2100" w:right="1119" w:firstLine="284"/>
        <w:spacing w:after="0" w:line="323" w:lineRule="auto"/>
        <w:rPr>
          <w:sz w:val="20"/>
          <w:szCs w:val="20"/>
          <w:color w:val="auto"/>
        </w:rPr>
      </w:pPr>
      <w:r>
        <w:rPr>
          <w:rFonts w:ascii="Arial" w:cs="Arial" w:eastAsia="Arial" w:hAnsi="Arial"/>
          <w:sz w:val="11"/>
          <w:szCs w:val="11"/>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92" w:lineRule="exact"/>
        <w:rPr>
          <w:sz w:val="20"/>
          <w:szCs w:val="20"/>
          <w:color w:val="auto"/>
        </w:rPr>
      </w:pPr>
    </w:p>
    <w:p>
      <w:pPr>
        <w:ind w:left="2100" w:right="959" w:firstLine="284"/>
        <w:spacing w:after="0" w:line="276" w:lineRule="auto"/>
        <w:rPr>
          <w:sz w:val="20"/>
          <w:szCs w:val="20"/>
          <w:color w:val="auto"/>
        </w:rPr>
      </w:pPr>
      <w:r>
        <w:rPr>
          <w:rFonts w:ascii="Arial" w:cs="Arial" w:eastAsia="Arial" w:hAnsi="Arial"/>
          <w:sz w:val="11"/>
          <w:szCs w:val="11"/>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 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years ended December 31, 2020 and 2019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19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Network and Expertise</w:t>
      </w:r>
    </w:p>
    <w:p>
      <w:pPr>
        <w:spacing w:after="0" w:line="78" w:lineRule="exact"/>
        <w:rPr>
          <w:sz w:val="20"/>
          <w:szCs w:val="20"/>
          <w:color w:val="auto"/>
        </w:rPr>
      </w:pPr>
    </w:p>
    <w:p>
      <w:pPr>
        <w:ind w:left="2100" w:right="999" w:firstLine="284"/>
        <w:spacing w:after="0" w:line="276" w:lineRule="auto"/>
        <w:rPr>
          <w:sz w:val="20"/>
          <w:szCs w:val="20"/>
          <w:color w:val="auto"/>
        </w:rPr>
      </w:pPr>
      <w:r>
        <w:rPr>
          <w:rFonts w:ascii="Arial" w:cs="Arial" w:eastAsia="Arial" w:hAnsi="Arial"/>
          <w:sz w:val="12"/>
          <w:szCs w:val="12"/>
          <w:color w:val="auto"/>
        </w:rPr>
        <w:t>All of the services we provide are highly regulated and require significant technical expertise. To manage these strict regulatory requirements safely and effectively, we have a highly trained and skilled workforce that</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33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0425" cy="373316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right="1119"/>
        <w:spacing w:after="0" w:line="379" w:lineRule="auto"/>
        <w:rPr>
          <w:sz w:val="20"/>
          <w:szCs w:val="20"/>
          <w:color w:val="auto"/>
        </w:rPr>
      </w:pPr>
      <w:r>
        <w:rPr>
          <w:rFonts w:ascii="Arial" w:cs="Arial" w:eastAsia="Arial" w:hAnsi="Arial"/>
          <w:sz w:val="10"/>
          <w:szCs w:val="10"/>
          <w:color w:val="auto"/>
        </w:rPr>
        <w:t>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69"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28" w:lineRule="exact"/>
        <w:rPr>
          <w:sz w:val="20"/>
          <w:szCs w:val="20"/>
          <w:color w:val="auto"/>
        </w:rPr>
      </w:pPr>
    </w:p>
    <w:p>
      <w:pPr>
        <w:ind w:left="2380"/>
        <w:spacing w:after="0"/>
        <w:tabs>
          <w:tab w:leader="none" w:pos="5960" w:val="left"/>
          <w:tab w:leader="none" w:pos="7200" w:val="left"/>
        </w:tabs>
        <w:rPr>
          <w:sz w:val="20"/>
          <w:szCs w:val="20"/>
          <w:color w:val="auto"/>
        </w:rPr>
      </w:pPr>
      <w:r>
        <w:rPr>
          <w:rFonts w:ascii="Arial" w:cs="Arial" w:eastAsia="Arial" w:hAnsi="Arial"/>
          <w:sz w:val="12"/>
          <w:szCs w:val="12"/>
          <w:color w:val="auto"/>
        </w:rPr>
        <w:t>For the year ended December 31, 2020, we recorded net revenues of $</w:t>
      </w:r>
      <w:r>
        <w:rPr>
          <w:sz w:val="20"/>
          <w:szCs w:val="20"/>
          <w:color w:val="auto"/>
        </w:rPr>
        <w:tab/>
      </w:r>
      <w:r>
        <w:rPr>
          <w:rFonts w:ascii="Arial" w:cs="Arial" w:eastAsia="Arial" w:hAnsi="Arial"/>
          <w:sz w:val="12"/>
          <w:szCs w:val="12"/>
          <w:color w:val="auto"/>
        </w:rPr>
        <w:t>million, net loss of $</w:t>
      </w:r>
      <w:r>
        <w:rPr>
          <w:sz w:val="20"/>
          <w:szCs w:val="20"/>
          <w:color w:val="auto"/>
        </w:rPr>
        <w:tab/>
      </w:r>
      <w:r>
        <w:rPr>
          <w:rFonts w:ascii="Arial" w:cs="Arial" w:eastAsia="Arial" w:hAnsi="Arial"/>
          <w:sz w:val="11"/>
          <w:szCs w:val="11"/>
          <w:color w:val="auto"/>
        </w:rPr>
        <w:t>million, Adjusted Net Income of</w:t>
      </w:r>
    </w:p>
    <w:p>
      <w:pPr>
        <w:spacing w:after="0" w:line="15" w:lineRule="exact"/>
        <w:rPr>
          <w:sz w:val="20"/>
          <w:szCs w:val="20"/>
          <w:color w:val="auto"/>
        </w:rPr>
      </w:pPr>
    </w:p>
    <w:p>
      <w:pPr>
        <w:ind w:left="2100" w:right="1059" w:hanging="6"/>
        <w:spacing w:after="0" w:line="306" w:lineRule="auto"/>
        <w:tabs>
          <w:tab w:leader="none" w:pos="2400" w:val="left"/>
        </w:tabs>
        <w:numPr>
          <w:ilvl w:val="0"/>
          <w:numId w:val="7"/>
        </w:numPr>
        <w:rPr>
          <w:rFonts w:ascii="Arial" w:cs="Arial" w:eastAsia="Arial" w:hAnsi="Arial"/>
          <w:sz w:val="11"/>
          <w:szCs w:val="11"/>
          <w:color w:val="auto"/>
        </w:rPr>
      </w:pPr>
      <w:r>
        <w:rPr>
          <w:rFonts w:ascii="Arial" w:cs="Arial" w:eastAsia="Arial" w:hAnsi="Arial"/>
          <w:sz w:val="11"/>
          <w:szCs w:val="11"/>
          <w:color w:val="auto"/>
        </w:rPr>
        <w:t>million and Adjusted EBITDA of $ million. For the definition of Adjusted Net Income and Adjusted EBITDA and the reconciliation of these measures from net income (loss), please see “Summary—Summary Historical Consolidated Financial and Other Data.”</w:t>
      </w:r>
    </w:p>
    <w:p>
      <w:pPr>
        <w:spacing w:after="0" w:line="16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Industry Overview</w:t>
      </w:r>
    </w:p>
    <w:p>
      <w:pPr>
        <w:spacing w:after="0" w:line="82"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We expect several positive secular trends to drive increased demand for our services, including:</w:t>
      </w:r>
    </w:p>
    <w:p>
      <w:pPr>
        <w:spacing w:after="0" w:line="83" w:lineRule="exact"/>
        <w:rPr>
          <w:sz w:val="20"/>
          <w:szCs w:val="20"/>
          <w:color w:val="auto"/>
        </w:rPr>
      </w:pPr>
    </w:p>
    <w:p>
      <w:pPr>
        <w:ind w:left="2720" w:right="999" w:hanging="275"/>
        <w:spacing w:after="0" w:line="280"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 xml:space="preserve">Favorable demographic trends for healthcare worldwide: </w:t>
      </w:r>
      <w:r>
        <w:rPr>
          <w:rFonts w:ascii="Arial" w:cs="Arial" w:eastAsia="Arial" w:hAnsi="Arial"/>
          <w:sz w:val="11"/>
          <w:szCs w:val="11"/>
          <w:color w:val="auto"/>
        </w:rPr>
        <w:t>Healthcare demand is increasing globally, driven primarily by an aging</w:t>
      </w:r>
      <w:r>
        <w:rPr>
          <w:rFonts w:ascii="Arial" w:cs="Arial" w:eastAsia="Arial" w:hAnsi="Arial"/>
          <w:sz w:val="11"/>
          <w:szCs w:val="11"/>
          <w:b w:val="1"/>
          <w:bCs w:val="1"/>
          <w:color w:val="auto"/>
        </w:rPr>
        <w:t xml:space="preserve"> </w:t>
      </w:r>
      <w:r>
        <w:rPr>
          <w:rFonts w:ascii="Arial" w:cs="Arial" w:eastAsia="Arial" w:hAnsi="Arial"/>
          <w:sz w:val="11"/>
          <w:szCs w:val="11"/>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48" w:lineRule="exact"/>
        <w:rPr>
          <w:rFonts w:ascii="Arial" w:cs="Arial" w:eastAsia="Arial" w:hAnsi="Arial"/>
          <w:sz w:val="11"/>
          <w:szCs w:val="11"/>
          <w:color w:val="auto"/>
        </w:rPr>
      </w:pPr>
    </w:p>
    <w:p>
      <w:pPr>
        <w:ind w:left="2720" w:right="979" w:hanging="275"/>
        <w:spacing w:after="0" w:line="284"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b w:val="1"/>
          <w:bCs w:val="1"/>
          <w:color w:val="auto"/>
        </w:rPr>
        <w:t xml:space="preserve">Increased demand for healthcare services in global markets: </w:t>
      </w:r>
      <w:r>
        <w:rPr>
          <w:rFonts w:ascii="Arial" w:cs="Arial" w:eastAsia="Arial" w:hAnsi="Arial"/>
          <w:sz w:val="11"/>
          <w:szCs w:val="11"/>
          <w:color w:val="auto"/>
        </w:rPr>
        <w:t>Stricter healthcare standards coupled with heightened regulatory</w:t>
      </w:r>
      <w:r>
        <w:rPr>
          <w:rFonts w:ascii="Arial" w:cs="Arial" w:eastAsia="Arial" w:hAnsi="Arial"/>
          <w:sz w:val="11"/>
          <w:szCs w:val="11"/>
          <w:b w:val="1"/>
          <w:bCs w:val="1"/>
          <w:color w:val="auto"/>
        </w:rPr>
        <w:t xml:space="preserve"> </w:t>
      </w:r>
      <w:r>
        <w:rPr>
          <w:rFonts w:ascii="Arial" w:cs="Arial" w:eastAsia="Arial" w:hAnsi="Arial"/>
          <w:sz w:val="11"/>
          <w:szCs w:val="11"/>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46" w:lineRule="exact"/>
        <w:rPr>
          <w:rFonts w:ascii="Arial" w:cs="Arial" w:eastAsia="Arial" w:hAnsi="Arial"/>
          <w:sz w:val="11"/>
          <w:szCs w:val="11"/>
          <w:color w:val="auto"/>
        </w:rPr>
      </w:pPr>
    </w:p>
    <w:p>
      <w:pPr>
        <w:jc w:val="both"/>
        <w:ind w:left="2720" w:right="1099" w:hanging="275"/>
        <w:spacing w:after="0" w:line="344" w:lineRule="auto"/>
        <w:tabs>
          <w:tab w:leader="none" w:pos="2720" w:val="left"/>
        </w:tabs>
        <w:numPr>
          <w:ilvl w:val="0"/>
          <w:numId w:val="8"/>
        </w:numPr>
        <w:rPr>
          <w:rFonts w:ascii="Arial" w:cs="Arial" w:eastAsia="Arial" w:hAnsi="Arial"/>
          <w:sz w:val="10"/>
          <w:szCs w:val="10"/>
          <w:color w:val="auto"/>
        </w:rPr>
      </w:pPr>
      <w:r>
        <w:rPr>
          <w:rFonts w:ascii="Arial" w:cs="Arial" w:eastAsia="Arial" w:hAnsi="Arial"/>
          <w:sz w:val="10"/>
          <w:szCs w:val="10"/>
          <w:b w:val="1"/>
          <w:bCs w:val="1"/>
          <w:color w:val="auto"/>
        </w:rPr>
        <w:t xml:space="preserve">Growth in R&amp;D spending and innovation across healthcare: </w:t>
      </w:r>
      <w:r>
        <w:rPr>
          <w:rFonts w:ascii="Arial" w:cs="Arial" w:eastAsia="Arial" w:hAnsi="Arial"/>
          <w:sz w:val="10"/>
          <w:szCs w:val="10"/>
          <w:color w:val="auto"/>
        </w:rPr>
        <w:t>The pharmaceutical and medical device industries are continuously</w:t>
      </w:r>
      <w:r>
        <w:rPr>
          <w:rFonts w:ascii="Arial" w:cs="Arial" w:eastAsia="Arial" w:hAnsi="Arial"/>
          <w:sz w:val="10"/>
          <w:szCs w:val="10"/>
          <w:b w:val="1"/>
          <w:bCs w:val="1"/>
          <w:color w:val="auto"/>
        </w:rPr>
        <w:t xml:space="preserve"> </w:t>
      </w:r>
      <w:r>
        <w:rPr>
          <w:rFonts w:ascii="Arial" w:cs="Arial" w:eastAsia="Arial" w:hAnsi="Arial"/>
          <w:sz w:val="10"/>
          <w:szCs w:val="10"/>
          <w:color w:val="auto"/>
        </w:rPr>
        <w:t>innovating and developing new products, which we anticipate will increase the demand for sterilization and lab services. Worldwide pharmaceutical R&amp;D spend is forecasted to grow steadily at a compound annual growth rate (“CAGR”) of approximately 3%</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85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720" w:right="1079"/>
        <w:spacing w:after="0" w:line="259" w:lineRule="auto"/>
        <w:rPr>
          <w:sz w:val="20"/>
          <w:szCs w:val="20"/>
          <w:color w:val="auto"/>
        </w:rPr>
      </w:pPr>
      <w:r>
        <w:rPr>
          <w:rFonts w:ascii="Arial" w:cs="Arial" w:eastAsia="Arial" w:hAnsi="Arial"/>
          <w:sz w:val="12"/>
          <w:szCs w:val="12"/>
          <w:color w:val="auto"/>
        </w:rPr>
        <w:t>between 2019 and 2026, reaching $233 billion by 2026 (EvaluatePharma</w:t>
      </w:r>
      <w:r>
        <w:rPr>
          <w:rFonts w:ascii="Arial" w:cs="Arial" w:eastAsia="Arial" w:hAnsi="Arial"/>
          <w:sz w:val="10"/>
          <w:szCs w:val="10"/>
          <w:color w:val="auto"/>
        </w:rPr>
        <w:t>®</w:t>
      </w:r>
      <w:r>
        <w:rPr>
          <w:rFonts w:ascii="Arial" w:cs="Arial" w:eastAsia="Arial" w:hAnsi="Arial"/>
          <w:sz w:val="12"/>
          <w:szCs w:val="12"/>
          <w:color w:val="auto"/>
        </w:rPr>
        <w:t xml:space="preserve"> July 2020, Evaluate Ltd.). In the medical devices market, the global top twenty companies based on R&amp;D spending spent a combined $18 billion on R&amp;D in 2017 (EvaluateMedTech</w:t>
      </w:r>
      <w:r>
        <w:rPr>
          <w:rFonts w:ascii="Arial" w:cs="Arial" w:eastAsia="Arial" w:hAnsi="Arial"/>
          <w:sz w:val="10"/>
          <w:szCs w:val="10"/>
          <w:color w:val="auto"/>
        </w:rPr>
        <w:t>®</w:t>
      </w:r>
      <w:r>
        <w:rPr>
          <w:rFonts w:ascii="Arial" w:cs="Arial" w:eastAsia="Arial" w:hAnsi="Arial"/>
          <w:sz w:val="12"/>
          <w:szCs w:val="12"/>
          <w:color w:val="auto"/>
        </w:rPr>
        <w:t xml:space="preserve"> World Preview 2018, Evaluate Ltd.). This number is expected to grow at a 4% CAGR, reaching approximately $24 billion by 2024 (EvaluateMedTech</w:t>
      </w:r>
      <w:r>
        <w:rPr>
          <w:rFonts w:ascii="Arial" w:cs="Arial" w:eastAsia="Arial" w:hAnsi="Arial"/>
          <w:sz w:val="10"/>
          <w:szCs w:val="10"/>
          <w:color w:val="auto"/>
        </w:rPr>
        <w:t>®</w:t>
      </w:r>
      <w:r>
        <w:rPr>
          <w:rFonts w:ascii="Arial" w:cs="Arial" w:eastAsia="Arial" w:hAnsi="Arial"/>
          <w:sz w:val="12"/>
          <w:szCs w:val="12"/>
          <w:color w:val="auto"/>
        </w:rPr>
        <w:t xml:space="preserve"> World Preview 2018, Evaluate Ltd.).</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Key Strengths</w:t>
      </w:r>
    </w:p>
    <w:p>
      <w:pPr>
        <w:spacing w:after="0" w:line="82" w:lineRule="exact"/>
        <w:rPr>
          <w:sz w:val="20"/>
          <w:szCs w:val="20"/>
          <w:color w:val="auto"/>
        </w:rPr>
      </w:pPr>
    </w:p>
    <w:p>
      <w:pPr>
        <w:ind w:left="2100" w:right="1119" w:firstLine="284"/>
        <w:spacing w:after="0" w:line="285" w:lineRule="auto"/>
        <w:rPr>
          <w:sz w:val="20"/>
          <w:szCs w:val="20"/>
          <w:color w:val="auto"/>
        </w:rPr>
      </w:pPr>
      <w:r>
        <w:rPr>
          <w:rFonts w:ascii="Arial" w:cs="Arial" w:eastAsia="Arial" w:hAnsi="Arial"/>
          <w:sz w:val="11"/>
          <w:szCs w:val="11"/>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9"/>
          <w:szCs w:val="9"/>
          <w:color w:val="auto"/>
        </w:rPr>
        <w:t>®</w:t>
      </w:r>
      <w:r>
        <w:rPr>
          <w:rFonts w:ascii="Arial" w:cs="Arial" w:eastAsia="Arial" w:hAnsi="Arial"/>
          <w:sz w:val="11"/>
          <w:szCs w:val="11"/>
          <w:color w:val="auto"/>
        </w:rPr>
        <w:t>. These key strengths make us a global leader in our markets.</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Comprehensive, global provider of mission-critical sterilization and lab services for the healthcare industry</w:t>
      </w:r>
    </w:p>
    <w:p>
      <w:pPr>
        <w:spacing w:after="0" w:line="78" w:lineRule="exact"/>
        <w:rPr>
          <w:sz w:val="20"/>
          <w:szCs w:val="20"/>
          <w:color w:val="auto"/>
        </w:rPr>
      </w:pPr>
    </w:p>
    <w:p>
      <w:pPr>
        <w:ind w:left="2100" w:right="1079" w:firstLine="284"/>
        <w:spacing w:after="0" w:line="278" w:lineRule="auto"/>
        <w:rPr>
          <w:sz w:val="20"/>
          <w:szCs w:val="20"/>
          <w:color w:val="auto"/>
        </w:rPr>
      </w:pPr>
      <w:r>
        <w:rPr>
          <w:rFonts w:ascii="Arial" w:cs="Arial" w:eastAsia="Arial" w:hAnsi="Arial"/>
          <w:sz w:val="11"/>
          <w:szCs w:val="11"/>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191"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Industry leading participant in large and growing markets, underpinned by trends in global healthcare</w:t>
      </w:r>
    </w:p>
    <w:p>
      <w:pPr>
        <w:spacing w:after="0" w:line="78" w:lineRule="exact"/>
        <w:rPr>
          <w:sz w:val="20"/>
          <w:szCs w:val="20"/>
          <w:color w:val="auto"/>
        </w:rPr>
      </w:pPr>
    </w:p>
    <w:p>
      <w:pPr>
        <w:ind w:left="2100" w:right="1079" w:firstLine="284"/>
        <w:spacing w:after="0" w:line="340" w:lineRule="auto"/>
        <w:rPr>
          <w:sz w:val="20"/>
          <w:szCs w:val="20"/>
          <w:color w:val="auto"/>
        </w:rPr>
      </w:pPr>
      <w:r>
        <w:rPr>
          <w:rFonts w:ascii="Arial" w:cs="Arial" w:eastAsia="Arial" w:hAnsi="Arial"/>
          <w:sz w:val="10"/>
          <w:szCs w:val="10"/>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87" w:lineRule="exact"/>
        <w:rPr>
          <w:sz w:val="20"/>
          <w:szCs w:val="20"/>
          <w:color w:val="auto"/>
        </w:rPr>
      </w:pPr>
    </w:p>
    <w:p>
      <w:pPr>
        <w:ind w:left="2100" w:right="1079" w:firstLine="284"/>
        <w:spacing w:after="0" w:line="280" w:lineRule="auto"/>
        <w:rPr>
          <w:sz w:val="20"/>
          <w:szCs w:val="20"/>
          <w:color w:val="auto"/>
        </w:rPr>
      </w:pPr>
      <w:r>
        <w:rPr>
          <w:rFonts w:ascii="Arial" w:cs="Arial" w:eastAsia="Arial" w:hAnsi="Arial"/>
          <w:sz w:val="11"/>
          <w:szCs w:val="11"/>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16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0425" cy="37160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right="1319"/>
        <w:spacing w:after="0" w:line="276" w:lineRule="auto"/>
        <w:rPr>
          <w:sz w:val="20"/>
          <w:szCs w:val="20"/>
          <w:color w:val="auto"/>
        </w:rPr>
      </w:pPr>
      <w:r>
        <w:rPr>
          <w:rFonts w:ascii="Arial" w:cs="Arial" w:eastAsia="Arial" w:hAnsi="Arial"/>
          <w:sz w:val="12"/>
          <w:szCs w:val="12"/>
          <w:b w:val="1"/>
          <w:bCs w:val="1"/>
          <w:i w:val="1"/>
          <w:iCs w:val="1"/>
          <w:color w:val="auto"/>
        </w:rPr>
        <w:t>Sterilization services business with an established and durable customer base supported by long-term contracts provides highly recurring revenue streams</w:t>
      </w:r>
    </w:p>
    <w:p>
      <w:pPr>
        <w:spacing w:after="0" w:line="43" w:lineRule="exact"/>
        <w:rPr>
          <w:sz w:val="20"/>
          <w:szCs w:val="20"/>
          <w:color w:val="auto"/>
        </w:rPr>
      </w:pPr>
    </w:p>
    <w:p>
      <w:pPr>
        <w:ind w:left="2100" w:right="1099" w:firstLine="284"/>
        <w:spacing w:after="0" w:line="313" w:lineRule="auto"/>
        <w:rPr>
          <w:sz w:val="20"/>
          <w:szCs w:val="20"/>
          <w:color w:val="auto"/>
        </w:rPr>
      </w:pPr>
      <w:r>
        <w:rPr>
          <w:rFonts w:ascii="Arial" w:cs="Arial" w:eastAsia="Arial" w:hAnsi="Arial"/>
          <w:sz w:val="10"/>
          <w:szCs w:val="10"/>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17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Expertise and strong track record in highly regulated markets</w:t>
      </w:r>
    </w:p>
    <w:p>
      <w:pPr>
        <w:spacing w:after="0" w:line="78"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We and our customers operate in highly complex and regulated markets that require deep knowledge and technical expertise. We believe that the operational discipline that we employ to manage intricate quality 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18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Global scale and integrated facility network provide differentiated services to our customers</w:t>
      </w:r>
    </w:p>
    <w:p>
      <w:pPr>
        <w:spacing w:after="0" w:line="78"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2020.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624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0425" cy="36245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Experienced management team with proven track record of execution and financial performance</w:t>
      </w:r>
    </w:p>
    <w:p>
      <w:pPr>
        <w:spacing w:after="0" w:line="78" w:lineRule="exact"/>
        <w:rPr>
          <w:sz w:val="20"/>
          <w:szCs w:val="20"/>
          <w:color w:val="auto"/>
        </w:rPr>
      </w:pPr>
    </w:p>
    <w:p>
      <w:pPr>
        <w:ind w:left="2100" w:right="999" w:firstLine="284"/>
        <w:spacing w:after="0" w:line="279" w:lineRule="auto"/>
        <w:rPr>
          <w:sz w:val="20"/>
          <w:szCs w:val="20"/>
          <w:color w:val="auto"/>
        </w:rPr>
      </w:pPr>
      <w:r>
        <w:rPr>
          <w:rFonts w:ascii="Arial" w:cs="Arial" w:eastAsia="Arial" w:hAnsi="Arial"/>
          <w:sz w:val="11"/>
          <w:szCs w:val="11"/>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Strategy</w:t>
      </w:r>
    </w:p>
    <w:p>
      <w:pPr>
        <w:spacing w:after="0" w:line="82" w:lineRule="exact"/>
        <w:rPr>
          <w:sz w:val="20"/>
          <w:szCs w:val="20"/>
          <w:color w:val="auto"/>
        </w:rPr>
      </w:pPr>
    </w:p>
    <w:p>
      <w:pPr>
        <w:ind w:left="2100" w:right="1119" w:firstLine="284"/>
        <w:spacing w:after="0" w:line="276" w:lineRule="auto"/>
        <w:rPr>
          <w:sz w:val="20"/>
          <w:szCs w:val="20"/>
          <w:color w:val="auto"/>
        </w:rPr>
      </w:pPr>
      <w:r>
        <w:rPr>
          <w:rFonts w:ascii="Arial" w:cs="Arial" w:eastAsia="Arial" w:hAnsi="Arial"/>
          <w:sz w:val="12"/>
          <w:szCs w:val="12"/>
          <w:color w:val="auto"/>
        </w:rPr>
        <w:t>Our strategy is designed to deliver on our mission of Safeguarding Global Health</w:t>
      </w:r>
      <w:r>
        <w:rPr>
          <w:rFonts w:ascii="Arial" w:cs="Arial" w:eastAsia="Arial" w:hAnsi="Arial"/>
          <w:sz w:val="10"/>
          <w:szCs w:val="10"/>
          <w:color w:val="auto"/>
        </w:rPr>
        <w:t>®</w:t>
      </w:r>
      <w:r>
        <w:rPr>
          <w:rFonts w:ascii="Arial" w:cs="Arial" w:eastAsia="Arial" w:hAnsi="Arial"/>
          <w:sz w:val="12"/>
          <w:szCs w:val="12"/>
          <w:color w:val="auto"/>
        </w:rPr>
        <w:t>, while generating sustainable growth, margins and cash flows for our business:</w:t>
      </w: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Drive organic growth by leveraging our leading capabilities, scale and global network</w:t>
      </w:r>
    </w:p>
    <w:p>
      <w:pPr>
        <w:spacing w:after="0" w:line="78" w:lineRule="exact"/>
        <w:rPr>
          <w:sz w:val="20"/>
          <w:szCs w:val="20"/>
          <w:color w:val="auto"/>
        </w:rPr>
      </w:pPr>
    </w:p>
    <w:p>
      <w:pPr>
        <w:ind w:left="2100" w:right="1079" w:firstLine="284"/>
        <w:spacing w:after="0" w:line="255" w:lineRule="auto"/>
        <w:rPr>
          <w:sz w:val="20"/>
          <w:szCs w:val="20"/>
          <w:color w:val="auto"/>
        </w:rPr>
      </w:pPr>
      <w:r>
        <w:rPr>
          <w:rFonts w:ascii="Arial" w:cs="Arial" w:eastAsia="Arial" w:hAnsi="Arial"/>
          <w:sz w:val="12"/>
          <w:szCs w:val="12"/>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0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Deepen our customer relationships with our comprehensive service offerings in sterilization and lab services</w:t>
      </w:r>
    </w:p>
    <w:p>
      <w:pPr>
        <w:spacing w:after="0" w:line="78"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16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70425" cy="37160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Expand footprint to meet the local needs of our growing global customer base</w:t>
      </w:r>
    </w:p>
    <w:p>
      <w:pPr>
        <w:spacing w:after="0" w:line="78"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Invest in technical and regulatory capabilities to enhance our leadership position</w:t>
      </w:r>
    </w:p>
    <w:p>
      <w:pPr>
        <w:spacing w:after="0" w:line="78"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Continue our commitment to operational excellence to drive business efficiency and results</w:t>
      </w:r>
    </w:p>
    <w:p>
      <w:pPr>
        <w:spacing w:after="0" w:line="78"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187" w:lineRule="exact"/>
        <w:rPr>
          <w:sz w:val="20"/>
          <w:szCs w:val="20"/>
          <w:color w:val="auto"/>
        </w:rPr>
      </w:pPr>
    </w:p>
    <w:p>
      <w:pPr>
        <w:ind w:left="2100"/>
        <w:spacing w:after="0"/>
        <w:rPr>
          <w:sz w:val="20"/>
          <w:szCs w:val="20"/>
          <w:color w:val="auto"/>
        </w:rPr>
      </w:pPr>
      <w:r>
        <w:rPr>
          <w:rFonts w:ascii="Arial" w:cs="Arial" w:eastAsia="Arial" w:hAnsi="Arial"/>
          <w:sz w:val="11"/>
          <w:szCs w:val="11"/>
          <w:b w:val="1"/>
          <w:bCs w:val="1"/>
          <w:i w:val="1"/>
          <w:iCs w:val="1"/>
          <w:color w:val="auto"/>
        </w:rPr>
        <w:t>Pursue value-creating strategic acquisitions to expand our addressable market and enhance our global capabilities and footprint</w:t>
      </w:r>
    </w:p>
    <w:p>
      <w:pPr>
        <w:spacing w:after="0" w:line="90" w:lineRule="exact"/>
        <w:rPr>
          <w:sz w:val="20"/>
          <w:szCs w:val="20"/>
          <w:color w:val="auto"/>
        </w:rPr>
      </w:pPr>
    </w:p>
    <w:p>
      <w:pPr>
        <w:ind w:left="2100" w:right="979" w:firstLine="284"/>
        <w:spacing w:after="0" w:line="255" w:lineRule="auto"/>
        <w:rPr>
          <w:sz w:val="20"/>
          <w:szCs w:val="20"/>
          <w:color w:val="auto"/>
        </w:rPr>
      </w:pPr>
      <w:r>
        <w:rPr>
          <w:rFonts w:ascii="Arial" w:cs="Arial" w:eastAsia="Arial" w:hAnsi="Arial"/>
          <w:sz w:val="12"/>
          <w:szCs w:val="12"/>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13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0425" cy="40132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right="979"/>
        <w:spacing w:after="0" w:line="254" w:lineRule="auto"/>
        <w:rPr>
          <w:sz w:val="20"/>
          <w:szCs w:val="20"/>
          <w:color w:val="auto"/>
        </w:rPr>
      </w:pPr>
      <w:r>
        <w:rPr>
          <w:rFonts w:ascii="Arial" w:cs="Arial" w:eastAsia="Arial" w:hAnsi="Arial"/>
          <w:sz w:val="12"/>
          <w:szCs w:val="12"/>
          <w:color w:val="auto"/>
        </w:rPr>
        <w:t>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Risk Factor Summary</w:t>
      </w:r>
    </w:p>
    <w:p>
      <w:pPr>
        <w:spacing w:after="0" w:line="154" w:lineRule="exact"/>
        <w:rPr>
          <w:sz w:val="20"/>
          <w:szCs w:val="20"/>
          <w:color w:val="auto"/>
        </w:rPr>
      </w:pPr>
    </w:p>
    <w:p>
      <w:pPr>
        <w:jc w:val="both"/>
        <w:ind w:left="2100" w:right="1039" w:firstLine="284"/>
        <w:spacing w:after="0" w:line="263" w:lineRule="auto"/>
        <w:rPr>
          <w:sz w:val="20"/>
          <w:szCs w:val="20"/>
          <w:color w:val="auto"/>
        </w:rPr>
      </w:pPr>
      <w:r>
        <w:rPr>
          <w:rFonts w:ascii="Arial" w:cs="Arial" w:eastAsia="Arial" w:hAnsi="Arial"/>
          <w:sz w:val="12"/>
          <w:szCs w:val="12"/>
          <w:color w:val="auto"/>
        </w:rPr>
        <w:t>Investing in our common stock involves a high degree of risk. These risks are discussed in more detail in “Risk Factors” beginning on page 20, and you should carefully consider these risks before making a decision to invest in our common stock. The following is a summary of some of the principal risks we believe we face:</w:t>
      </w:r>
    </w:p>
    <w:p>
      <w:pPr>
        <w:spacing w:after="0" w:line="59" w:lineRule="exact"/>
        <w:rPr>
          <w:sz w:val="20"/>
          <w:szCs w:val="20"/>
          <w:color w:val="auto"/>
        </w:rPr>
      </w:pPr>
    </w:p>
    <w:p>
      <w:pPr>
        <w:ind w:left="2720" w:right="11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51" w:lineRule="exact"/>
        <w:rPr>
          <w:rFonts w:ascii="Arial" w:cs="Arial" w:eastAsia="Arial" w:hAnsi="Arial"/>
          <w:sz w:val="12"/>
          <w:szCs w:val="12"/>
          <w:color w:val="auto"/>
        </w:rPr>
      </w:pPr>
    </w:p>
    <w:p>
      <w:pPr>
        <w:ind w:left="2720" w:right="121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industry trends, environmental, health and safety regulations or preferences and general economic, social and business conditions;</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0"/>
          <w:szCs w:val="10"/>
          <w:color w:val="auto"/>
        </w:rPr>
      </w:pPr>
      <w:r>
        <w:rPr>
          <w:rFonts w:ascii="Arial" w:cs="Arial" w:eastAsia="Arial" w:hAnsi="Arial"/>
          <w:sz w:val="10"/>
          <w:szCs w:val="10"/>
          <w:color w:val="auto"/>
        </w:rPr>
        <w:t>health and safety risks associated with the use, transportation and disposal of potentially hazardous materials such as EO and Co-60;</w:t>
      </w:r>
    </w:p>
    <w:p>
      <w:pPr>
        <w:spacing w:after="0" w:line="110" w:lineRule="exact"/>
        <w:rPr>
          <w:rFonts w:ascii="Arial" w:cs="Arial" w:eastAsia="Arial" w:hAnsi="Arial"/>
          <w:sz w:val="10"/>
          <w:szCs w:val="10"/>
          <w:color w:val="auto"/>
        </w:rPr>
      </w:pPr>
    </w:p>
    <w:p>
      <w:pPr>
        <w:ind w:left="2720" w:right="999" w:hanging="275"/>
        <w:spacing w:after="0" w:line="285"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impact and outcome of current and future legal proceedings and liability claims, including lawsuits alleging personal injury, property devaluation and other injuries by purported exposure to emissions of EO from our facilities in Willowbrook, Illinois, Atlanta, Georgia and Santa Teresa, New Mexico and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50" w:lineRule="exact"/>
        <w:rPr>
          <w:rFonts w:ascii="Arial" w:cs="Arial" w:eastAsia="Arial" w:hAnsi="Arial"/>
          <w:sz w:val="11"/>
          <w:szCs w:val="11"/>
          <w:color w:val="auto"/>
        </w:rPr>
      </w:pPr>
    </w:p>
    <w:p>
      <w:pPr>
        <w:ind w:left="2720" w:right="12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compliance with regulatory requirements to which we are subject and the related costs, and any failures to receive or maintain, or delays in receiving, required clearance or approvals;</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competition we face;</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business continuity hazards and other risks associated with our operations;</w:t>
      </w:r>
    </w:p>
    <w:p>
      <w:pPr>
        <w:spacing w:after="0" w:line="87" w:lineRule="exact"/>
        <w:rPr>
          <w:rFonts w:ascii="Arial" w:cs="Arial" w:eastAsia="Arial" w:hAnsi="Arial"/>
          <w:sz w:val="12"/>
          <w:szCs w:val="12"/>
          <w:color w:val="auto"/>
        </w:rPr>
      </w:pPr>
    </w:p>
    <w:p>
      <w:pPr>
        <w:ind w:left="2720" w:right="13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ability to increase capacity at existing facilities, renew leases for our facilities and build new facilities in a timely and cost-effective manner;</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risks of doing business internationally;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cyber security breaches and data leaks, and our dependence on information technology systems;</w:t>
      </w:r>
    </w:p>
    <w:p>
      <w:pPr>
        <w:spacing w:after="0" w:line="87" w:lineRule="exact"/>
        <w:rPr>
          <w:rFonts w:ascii="Arial" w:cs="Arial" w:eastAsia="Arial" w:hAnsi="Arial"/>
          <w:sz w:val="12"/>
          <w:szCs w:val="12"/>
          <w:color w:val="auto"/>
        </w:rPr>
      </w:pPr>
    </w:p>
    <w:p>
      <w:pPr>
        <w:ind w:left="2720" w:right="137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inability to implement effective internal controls over financial reporting;</w:t>
      </w: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0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70425" cy="40074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720" w:right="97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history of net operating losses, including a net loss of $ million and $20.9 million for the years ended December 31, 2020 and 2019, and the risk that we may not achieve or maintain profitability in the future;</w:t>
      </w:r>
    </w:p>
    <w:p>
      <w:pPr>
        <w:spacing w:after="0" w:line="51" w:lineRule="exact"/>
        <w:rPr>
          <w:rFonts w:ascii="Arial" w:cs="Arial" w:eastAsia="Arial" w:hAnsi="Arial"/>
          <w:sz w:val="12"/>
          <w:szCs w:val="12"/>
          <w:color w:val="auto"/>
        </w:rPr>
      </w:pPr>
    </w:p>
    <w:p>
      <w:pPr>
        <w:ind w:left="2720" w:right="1259" w:hanging="275"/>
        <w:spacing w:after="0" w:line="306" w:lineRule="auto"/>
        <w:tabs>
          <w:tab w:leader="none" w:pos="27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December 31, 2020, our indebtedness</w:t>
      </w:r>
    </w:p>
    <w:p>
      <w:pPr>
        <w:sectPr>
          <w:pgSz w:w="11900" w:h="16838" w:orient="portrait"/>
          <w:cols w:equalWidth="0" w:num="1">
            <w:col w:w="10159"/>
          </w:cols>
          <w:pgMar w:left="300" w:top="354" w:right="1440" w:bottom="1440" w:gutter="0" w:footer="0" w:header="0"/>
        </w:sectPr>
      </w:pPr>
    </w:p>
    <w:p>
      <w:pPr>
        <w:spacing w:after="0" w:line="1" w:lineRule="exact"/>
        <w:rPr>
          <w:sz w:val="20"/>
          <w:szCs w:val="20"/>
          <w:color w:val="auto"/>
        </w:rPr>
      </w:pPr>
    </w:p>
    <w:p>
      <w:pPr>
        <w:ind w:left="2720" w:right="979"/>
        <w:spacing w:after="0" w:line="260" w:lineRule="auto"/>
        <w:rPr>
          <w:sz w:val="20"/>
          <w:szCs w:val="20"/>
          <w:color w:val="auto"/>
        </w:rPr>
      </w:pPr>
      <w:r>
        <w:rPr>
          <w:rFonts w:ascii="Arial" w:cs="Arial" w:eastAsia="Arial" w:hAnsi="Arial"/>
          <w:sz w:val="12"/>
          <w:szCs w:val="12"/>
          <w:color w:val="auto"/>
        </w:rPr>
        <w:t>totaled approximately $ million, and our debt service obligations (principal and interest) represented approximately % of our net cash flows from operating activities (before giving effect to the payment of interest);</w:t>
      </w:r>
    </w:p>
    <w:p>
      <w:pPr>
        <w:sectPr>
          <w:pgSz w:w="11900" w:h="16838" w:orient="portrait"/>
          <w:cols w:equalWidth="0" w:num="1">
            <w:col w:w="10159"/>
          </w:cols>
          <w:pgMar w:left="300" w:top="354" w:right="1440" w:bottom="1440" w:gutter="0" w:footer="0" w:header="0"/>
          <w:type w:val="continuous"/>
        </w:sectPr>
      </w:pPr>
    </w:p>
    <w:p>
      <w:pPr>
        <w:spacing w:after="0" w:line="61" w:lineRule="exact"/>
        <w:rPr>
          <w:sz w:val="20"/>
          <w:szCs w:val="20"/>
          <w:color w:val="auto"/>
        </w:rPr>
      </w:pPr>
    </w:p>
    <w:p>
      <w:pPr>
        <w:ind w:left="2720" w:right="999" w:hanging="275"/>
        <w:spacing w:after="0" w:line="263"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certain investment funds and entities affiliated with Warburg Pincus LLC (“Warburg Pincus”) and GTCR, LLC (“GTCR”) continue to have substantial control over us, which could limit stockholders’ ability to influence the outcome of key transactions, including a change of control; and</w:t>
      </w:r>
    </w:p>
    <w:p>
      <w:pPr>
        <w:spacing w:after="0" w:line="59" w:lineRule="exact"/>
        <w:rPr>
          <w:rFonts w:ascii="Arial" w:cs="Arial" w:eastAsia="Arial" w:hAnsi="Arial"/>
          <w:sz w:val="12"/>
          <w:szCs w:val="12"/>
          <w:color w:val="auto"/>
        </w:rPr>
      </w:pPr>
    </w:p>
    <w:p>
      <w:pPr>
        <w:ind w:left="2720" w:right="1099" w:hanging="275"/>
        <w:spacing w:after="0" w:line="298" w:lineRule="auto"/>
        <w:tabs>
          <w:tab w:leader="none" w:pos="27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245"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Corporate Information and Our Initial Public Offering</w:t>
      </w:r>
    </w:p>
    <w:p>
      <w:pPr>
        <w:spacing w:after="0" w:line="154"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Sotera Health Company was incorporated in Delaware in November 2017 as the parent company for Sterigenics, Nordion and Nelson Labs. In May 2015, investment funds and entities affiliated with either Warburg Pincus or GTCR acquired a controlling interest in our predecessor through Sterigenics-Nordion Topco Parent LLC, now known as Sotera Health Topco Parent, L.P. (“Topco Parent”). On October 23, 2020, we changed our name from Sotera Health Topco, Inc. to Sotera Health Company.</w:t>
      </w:r>
    </w:p>
    <w:p>
      <w:pPr>
        <w:spacing w:after="0" w:line="124"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On November 24, 2020, we completed our initial public offering (“IPO”) of 53,590,000 shares of common stock at a price of $23.00 per share. Our common stock began trading on the Nasdaq on November 20, 2020 under the ticker symbol “SHC.” After underwriting discounts and commissions but before expenses, we received net proceeds from our IPO of approximately $1,167.1 million. We used these proceeds to (i) redeem all of the outstanding $770.0 million aggregate principal amount of our senior secured second lien notes at a redemption price of 102% of principal (plus accrued and unpaid interest, which was paid with cash on hand), (ii) repay $341.0 million of indebtedness (including accrued and unpaid interest) under our first lien term loan and (iii) repurchase 1,568,445 shares of our common stock from certain of our executive officers at a purchase price per share equal to the initial public offering price per share of our common stock less an amount equal to the underwriting discounts and commissions payable thereon. Pursuant to the terms of the corporate reorganization that was completed in connection with our IPO, Topco Parent distributed the shares of Sotera Health Company common stock to its partners in accordance with the limited partnership agreement of Topco Parent.</w:t>
      </w:r>
    </w:p>
    <w:p>
      <w:pPr>
        <w:spacing w:after="0" w:line="119"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9100 South Hills Blvd, Suite 300 Broadview Heights, Ohio 44147, and our telephone number is</w:t>
      </w:r>
    </w:p>
    <w:p>
      <w:pPr>
        <w:spacing w:after="0" w:line="38" w:lineRule="exact"/>
        <w:rPr>
          <w:sz w:val="20"/>
          <w:szCs w:val="20"/>
          <w:color w:val="auto"/>
        </w:rPr>
      </w:pPr>
    </w:p>
    <w:p>
      <w:pPr>
        <w:ind w:left="2100" w:right="1339" w:hanging="6"/>
        <w:spacing w:after="0" w:line="260" w:lineRule="auto"/>
        <w:tabs>
          <w:tab w:leader="none" w:pos="2390" w:val="left"/>
        </w:tabs>
        <w:numPr>
          <w:ilvl w:val="0"/>
          <w:numId w:val="12"/>
        </w:numPr>
        <w:rPr>
          <w:rFonts w:ascii="Arial" w:cs="Arial" w:eastAsia="Arial" w:hAnsi="Arial"/>
          <w:sz w:val="12"/>
          <w:szCs w:val="12"/>
          <w:color w:val="auto"/>
        </w:rPr>
      </w:pPr>
      <w:r>
        <w:rPr>
          <w:rFonts w:ascii="Arial" w:cs="Arial" w:eastAsia="Arial" w:hAnsi="Arial"/>
          <w:sz w:val="12"/>
          <w:szCs w:val="12"/>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24" w:lineRule="exact"/>
        <w:rPr>
          <w:sz w:val="20"/>
          <w:szCs w:val="20"/>
          <w:color w:val="auto"/>
        </w:rPr>
      </w:pPr>
    </w:p>
    <w:p>
      <w:pPr>
        <w:jc w:val="both"/>
        <w:ind w:left="2100" w:right="1079" w:firstLine="284"/>
        <w:spacing w:after="0" w:line="263" w:lineRule="auto"/>
        <w:rPr>
          <w:sz w:val="20"/>
          <w:szCs w:val="20"/>
          <w:color w:val="auto"/>
        </w:rPr>
      </w:pPr>
      <w:r>
        <w:rPr>
          <w:rFonts w:ascii="Arial" w:cs="Arial" w:eastAsia="Arial" w:hAnsi="Arial"/>
          <w:sz w:val="12"/>
          <w:szCs w:val="12"/>
          <w:color w:val="auto"/>
        </w:rPr>
        <w:t>Our wholly owned subsidiary, Sotera Health Holdings, LLC (“SHH”) is the borrower under our senior secured first lien credit facilities and the issuer of our senior secured first lien notes. We and certain of our domestic subsidiaries are guarantors of SHH’s obligations under our credit facilities and notes.</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type w:val="continuous"/>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761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70425" cy="37617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Principal Stockholders</w:t>
      </w:r>
    </w:p>
    <w:p>
      <w:pPr>
        <w:spacing w:after="0" w:line="154"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Following this offering, certain investment funds and entities affiliates of Warburg Pincus and GTCR, which we refer to collectively as the</w:t>
      </w:r>
    </w:p>
    <w:p>
      <w:pPr>
        <w:spacing w:after="0" w:line="26" w:lineRule="exact"/>
        <w:rPr>
          <w:sz w:val="20"/>
          <w:szCs w:val="20"/>
          <w:color w:val="auto"/>
        </w:rPr>
      </w:pPr>
    </w:p>
    <w:p>
      <w:pPr>
        <w:ind w:left="2100" w:right="999"/>
        <w:spacing w:after="0" w:line="255" w:lineRule="auto"/>
        <w:rPr>
          <w:sz w:val="20"/>
          <w:szCs w:val="20"/>
          <w:color w:val="auto"/>
        </w:rPr>
      </w:pPr>
      <w:r>
        <w:rPr>
          <w:rFonts w:ascii="Arial" w:cs="Arial" w:eastAsia="Arial" w:hAnsi="Arial"/>
          <w:sz w:val="12"/>
          <w:szCs w:val="12"/>
          <w:color w:val="auto"/>
        </w:rPr>
        <w:t>“Sponsors,” will own approximately % and %, respectively, of our common stock (approximately % and %, respectively, if the underwriters’ option to purchase additional shares is exercised in full). Together the Sponsors will own, in the aggregate, approximately % of our common stock (approximately % if the underwriters’ option to purchase additional shares is exercised in full).</w:t>
      </w:r>
    </w:p>
    <w:p>
      <w:pPr>
        <w:spacing w:after="0" w:line="127"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Warburg Pincus is a global private equity firm focused on growth investing. The firm’s active portfolio of more than 195 companies is highly diversified by stage, sector and geography. It has invested more than $12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$92 billion in over 950 companies across 40 countries. The firm is headquartered in New York with offices in Beijing, Berlin, Hong Kong, Houston, London, Mumbai, San Francisco, São Paulo, Shanghai and Singapore.</w:t>
      </w:r>
    </w:p>
    <w:p>
      <w:pPr>
        <w:spacing w:after="0" w:line="115" w:lineRule="exact"/>
        <w:rPr>
          <w:sz w:val="20"/>
          <w:szCs w:val="20"/>
          <w:color w:val="auto"/>
        </w:rPr>
      </w:pPr>
    </w:p>
    <w:p>
      <w:pPr>
        <w:ind w:left="2100" w:right="1059" w:firstLine="284"/>
        <w:spacing w:after="0" w:line="285" w:lineRule="auto"/>
        <w:rPr>
          <w:sz w:val="20"/>
          <w:szCs w:val="20"/>
          <w:color w:val="auto"/>
        </w:rPr>
      </w:pPr>
      <w:r>
        <w:rPr>
          <w:rFonts w:ascii="Arial" w:cs="Arial" w:eastAsia="Arial" w:hAnsi="Arial"/>
          <w:sz w:val="11"/>
          <w:szCs w:val="11"/>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Arial" w:cs="Arial" w:eastAsia="Arial" w:hAnsi="Arial"/>
          <w:sz w:val="9"/>
          <w:szCs w:val="9"/>
          <w:color w:val="auto"/>
        </w:rPr>
        <w:t>™</w:t>
      </w:r>
      <w:r>
        <w:rPr>
          <w:rFonts w:ascii="Arial" w:cs="Arial" w:eastAsia="Arial" w:hAnsi="Arial"/>
          <w:sz w:val="11"/>
          <w:szCs w:val="11"/>
          <w:color w:val="auto"/>
        </w:rPr>
        <w:t>–finding and partnering with management leaders in core domains to identify, acquire and build market-leading companies through transformational acquisitions and organic growth. Since its inception, GTCR has invested more than $20 billion in over 250 companies. GTCR is an active investor in the healthcare products sector and has supported Sotera Health’s significant growth since 2011.</w:t>
      </w:r>
    </w:p>
    <w:p>
      <w:pPr>
        <w:spacing w:after="0" w:line="113" w:lineRule="exact"/>
        <w:rPr>
          <w:sz w:val="20"/>
          <w:szCs w:val="20"/>
          <w:color w:val="auto"/>
        </w:rPr>
      </w:pPr>
    </w:p>
    <w:p>
      <w:pPr>
        <w:ind w:left="2100" w:right="999" w:firstLine="284"/>
        <w:spacing w:after="0" w:line="255" w:lineRule="auto"/>
        <w:rPr>
          <w:sz w:val="20"/>
          <w:szCs w:val="20"/>
          <w:color w:val="auto"/>
        </w:rPr>
      </w:pPr>
      <w:r>
        <w:rPr>
          <w:rFonts w:ascii="Arial" w:cs="Arial" w:eastAsia="Arial" w:hAnsi="Arial"/>
          <w:sz w:val="12"/>
          <w:szCs w:val="12"/>
          <w:color w:val="auto"/>
        </w:rPr>
        <w:t>Pursuant to the stockholders’ agreement entered into in connection with our IPO (the “Stockholders’ Agreement”),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26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Implications of Being an Emerging Growth Company</w:t>
      </w:r>
    </w:p>
    <w:p>
      <w:pPr>
        <w:spacing w:after="0" w:line="154" w:lineRule="exact"/>
        <w:rPr>
          <w:sz w:val="20"/>
          <w:szCs w:val="20"/>
          <w:color w:val="auto"/>
        </w:rPr>
      </w:pPr>
    </w:p>
    <w:p>
      <w:pPr>
        <w:jc w:val="both"/>
        <w:ind w:left="2100" w:right="1159" w:firstLine="284"/>
        <w:spacing w:after="0" w:line="298" w:lineRule="auto"/>
        <w:rPr>
          <w:sz w:val="20"/>
          <w:szCs w:val="20"/>
          <w:color w:val="auto"/>
        </w:rPr>
      </w:pPr>
      <w:r>
        <w:rPr>
          <w:rFonts w:ascii="Arial" w:cs="Arial" w:eastAsia="Arial" w:hAnsi="Arial"/>
          <w:sz w:val="11"/>
          <w:szCs w:val="11"/>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05" w:lineRule="exact"/>
        <w:rPr>
          <w:sz w:val="20"/>
          <w:szCs w:val="20"/>
          <w:color w:val="auto"/>
        </w:rPr>
      </w:pPr>
    </w:p>
    <w:p>
      <w:pPr>
        <w:ind w:left="2100" w:right="99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w:t>
      </w: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1109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70425" cy="11099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right="999"/>
        <w:spacing w:after="0" w:line="259" w:lineRule="auto"/>
        <w:rPr>
          <w:sz w:val="20"/>
          <w:szCs w:val="20"/>
          <w:color w:val="auto"/>
        </w:rPr>
      </w:pPr>
      <w:r>
        <w:rPr>
          <w:rFonts w:ascii="Arial" w:cs="Arial" w:eastAsia="Arial" w:hAnsi="Arial"/>
          <w:sz w:val="12"/>
          <w:szCs w:val="12"/>
          <w:color w:val="auto"/>
        </w:rPr>
        <w:t>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24" w:lineRule="exact"/>
        <w:rPr>
          <w:sz w:val="20"/>
          <w:szCs w:val="20"/>
          <w:color w:val="auto"/>
        </w:rPr>
      </w:pPr>
    </w:p>
    <w:p>
      <w:pPr>
        <w:ind w:left="2100" w:right="1179" w:firstLine="284"/>
        <w:spacing w:after="0" w:line="320" w:lineRule="auto"/>
        <w:rPr>
          <w:sz w:val="20"/>
          <w:szCs w:val="20"/>
          <w:color w:val="auto"/>
        </w:rPr>
      </w:pPr>
      <w:r>
        <w:rPr>
          <w:rFonts w:ascii="Arial" w:cs="Arial" w:eastAsia="Arial" w:hAnsi="Arial"/>
          <w:sz w:val="10"/>
          <w:szCs w:val="10"/>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3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390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70425" cy="339026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2100" w:type="dxa"/>
        <w:tblCellMar>
          <w:top w:w="0" w:type="dxa"/>
          <w:left w:w="0" w:type="dxa"/>
          <w:bottom w:w="0" w:type="dxa"/>
          <w:right w:w="0" w:type="dxa"/>
        </w:tblCellMar>
      </w:tblPr>
      <w:tr>
        <w:trPr>
          <w:trHeight w:val="157"/>
        </w:trPr>
        <w:tc>
          <w:tcPr>
            <w:tcW w:w="2560" w:type="dxa"/>
            <w:vAlign w:val="bottom"/>
          </w:tcPr>
          <w:p>
            <w:pPr>
              <w:spacing w:after="0"/>
              <w:rPr>
                <w:sz w:val="13"/>
                <w:szCs w:val="13"/>
                <w:color w:val="auto"/>
              </w:rPr>
            </w:pPr>
          </w:p>
        </w:tc>
        <w:tc>
          <w:tcPr>
            <w:tcW w:w="2300" w:type="dxa"/>
            <w:vAlign w:val="bottom"/>
          </w:tcPr>
          <w:p>
            <w:pPr>
              <w:ind w:left="640"/>
              <w:spacing w:after="0"/>
              <w:rPr>
                <w:sz w:val="20"/>
                <w:szCs w:val="20"/>
                <w:color w:val="auto"/>
              </w:rPr>
            </w:pPr>
            <w:r>
              <w:rPr>
                <w:rFonts w:ascii="Arial" w:cs="Arial" w:eastAsia="Arial" w:hAnsi="Arial"/>
                <w:sz w:val="12"/>
                <w:szCs w:val="12"/>
                <w:b w:val="1"/>
                <w:bCs w:val="1"/>
                <w:color w:val="auto"/>
              </w:rPr>
              <w:t>The Offering</w:t>
            </w:r>
          </w:p>
        </w:tc>
        <w:tc>
          <w:tcPr>
            <w:tcW w:w="2160" w:type="dxa"/>
            <w:vAlign w:val="bottom"/>
          </w:tcPr>
          <w:p>
            <w:pPr>
              <w:spacing w:after="0"/>
              <w:rPr>
                <w:sz w:val="13"/>
                <w:szCs w:val="13"/>
                <w:color w:val="auto"/>
              </w:rPr>
            </w:pPr>
          </w:p>
        </w:tc>
      </w:tr>
      <w:tr>
        <w:trPr>
          <w:trHeight w:val="306"/>
        </w:trPr>
        <w:tc>
          <w:tcPr>
            <w:tcW w:w="2560" w:type="dxa"/>
            <w:vAlign w:val="bottom"/>
          </w:tcPr>
          <w:p>
            <w:pPr>
              <w:spacing w:after="0"/>
              <w:rPr>
                <w:sz w:val="20"/>
                <w:szCs w:val="20"/>
                <w:color w:val="auto"/>
              </w:rPr>
            </w:pPr>
            <w:r>
              <w:rPr>
                <w:rFonts w:ascii="Arial" w:cs="Arial" w:eastAsia="Arial" w:hAnsi="Arial"/>
                <w:sz w:val="12"/>
                <w:szCs w:val="12"/>
                <w:color w:val="auto"/>
                <w:w w:val="95"/>
              </w:rPr>
              <w:t>Common stock offered by the selling stockholders</w:t>
            </w:r>
          </w:p>
        </w:tc>
        <w:tc>
          <w:tcPr>
            <w:tcW w:w="2300" w:type="dxa"/>
            <w:vAlign w:val="bottom"/>
          </w:tcPr>
          <w:p>
            <w:pPr>
              <w:ind w:left="600"/>
              <w:spacing w:after="0"/>
              <w:rPr>
                <w:sz w:val="20"/>
                <w:szCs w:val="20"/>
                <w:color w:val="auto"/>
              </w:rPr>
            </w:pPr>
            <w:r>
              <w:rPr>
                <w:rFonts w:ascii="Arial" w:cs="Arial" w:eastAsia="Arial" w:hAnsi="Arial"/>
                <w:sz w:val="12"/>
                <w:szCs w:val="12"/>
                <w:color w:val="auto"/>
              </w:rPr>
              <w:t>shares.</w:t>
            </w:r>
          </w:p>
        </w:tc>
        <w:tc>
          <w:tcPr>
            <w:tcW w:w="2160" w:type="dxa"/>
            <w:vAlign w:val="bottom"/>
          </w:tcPr>
          <w:p>
            <w:pPr>
              <w:spacing w:after="0"/>
              <w:rPr>
                <w:sz w:val="24"/>
                <w:szCs w:val="24"/>
                <w:color w:val="auto"/>
              </w:rPr>
            </w:pPr>
          </w:p>
        </w:tc>
      </w:tr>
      <w:tr>
        <w:trPr>
          <w:trHeight w:val="306"/>
        </w:trPr>
        <w:tc>
          <w:tcPr>
            <w:tcW w:w="2560" w:type="dxa"/>
            <w:vAlign w:val="bottom"/>
          </w:tcPr>
          <w:p>
            <w:pPr>
              <w:spacing w:after="0"/>
              <w:rPr>
                <w:sz w:val="20"/>
                <w:szCs w:val="20"/>
                <w:color w:val="auto"/>
              </w:rPr>
            </w:pPr>
            <w:r>
              <w:rPr>
                <w:rFonts w:ascii="Arial" w:cs="Arial" w:eastAsia="Arial" w:hAnsi="Arial"/>
                <w:sz w:val="12"/>
                <w:szCs w:val="12"/>
                <w:color w:val="auto"/>
                <w:w w:val="95"/>
              </w:rPr>
              <w:t>Underwriters’ option to purchase additional shares</w:t>
            </w:r>
          </w:p>
        </w:tc>
        <w:tc>
          <w:tcPr>
            <w:tcW w:w="2300" w:type="dxa"/>
            <w:vAlign w:val="bottom"/>
          </w:tcPr>
          <w:p>
            <w:pPr>
              <w:ind w:left="120"/>
              <w:spacing w:after="0"/>
              <w:rPr>
                <w:sz w:val="20"/>
                <w:szCs w:val="20"/>
                <w:color w:val="auto"/>
              </w:rPr>
            </w:pPr>
            <w:r>
              <w:rPr>
                <w:rFonts w:ascii="Arial" w:cs="Arial" w:eastAsia="Arial" w:hAnsi="Arial"/>
                <w:sz w:val="12"/>
                <w:szCs w:val="12"/>
                <w:color w:val="auto"/>
              </w:rPr>
              <w:t>The selling stockholders may sell up to</w:t>
            </w:r>
          </w:p>
        </w:tc>
        <w:tc>
          <w:tcPr>
            <w:tcW w:w="2160" w:type="dxa"/>
            <w:vAlign w:val="bottom"/>
          </w:tcPr>
          <w:p>
            <w:pPr>
              <w:ind w:left="180"/>
              <w:spacing w:after="0"/>
              <w:rPr>
                <w:sz w:val="20"/>
                <w:szCs w:val="20"/>
                <w:color w:val="auto"/>
              </w:rPr>
            </w:pPr>
            <w:r>
              <w:rPr>
                <w:rFonts w:ascii="Arial" w:cs="Arial" w:eastAsia="Arial" w:hAnsi="Arial"/>
                <w:sz w:val="12"/>
                <w:szCs w:val="12"/>
                <w:color w:val="auto"/>
              </w:rPr>
              <w:t>additional shares if the underwriters</w:t>
            </w:r>
          </w:p>
        </w:tc>
      </w:tr>
      <w:tr>
        <w:trPr>
          <w:trHeight w:val="153"/>
        </w:trPr>
        <w:tc>
          <w:tcPr>
            <w:tcW w:w="2560" w:type="dxa"/>
            <w:vAlign w:val="bottom"/>
          </w:tcPr>
          <w:p>
            <w:pPr>
              <w:spacing w:after="0"/>
              <w:rPr>
                <w:sz w:val="13"/>
                <w:szCs w:val="13"/>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rPr>
              <w:t>exercise their option to purchase additional shares.</w:t>
            </w:r>
          </w:p>
        </w:tc>
      </w:tr>
      <w:tr>
        <w:trPr>
          <w:trHeight w:val="306"/>
        </w:trPr>
        <w:tc>
          <w:tcPr>
            <w:tcW w:w="2560" w:type="dxa"/>
            <w:vAlign w:val="bottom"/>
          </w:tcPr>
          <w:p>
            <w:pPr>
              <w:spacing w:after="0"/>
              <w:rPr>
                <w:sz w:val="20"/>
                <w:szCs w:val="20"/>
                <w:color w:val="auto"/>
              </w:rPr>
            </w:pPr>
            <w:r>
              <w:rPr>
                <w:rFonts w:ascii="Arial" w:cs="Arial" w:eastAsia="Arial" w:hAnsi="Arial"/>
                <w:sz w:val="12"/>
                <w:szCs w:val="12"/>
                <w:color w:val="auto"/>
              </w:rPr>
              <w:t>Selling stockholders</w:t>
            </w:r>
          </w:p>
        </w:tc>
        <w:tc>
          <w:tcPr>
            <w:tcW w:w="2300" w:type="dxa"/>
            <w:vAlign w:val="bottom"/>
          </w:tcPr>
          <w:p>
            <w:pPr>
              <w:ind w:left="120"/>
              <w:spacing w:after="0"/>
              <w:rPr>
                <w:sz w:val="20"/>
                <w:szCs w:val="20"/>
                <w:color w:val="auto"/>
              </w:rPr>
            </w:pPr>
            <w:r>
              <w:rPr>
                <w:rFonts w:ascii="Arial" w:cs="Arial" w:eastAsia="Arial" w:hAnsi="Arial"/>
                <w:sz w:val="12"/>
                <w:szCs w:val="12"/>
                <w:color w:val="auto"/>
                <w:w w:val="99"/>
              </w:rPr>
              <w:t>See “Principal and Selling Stockholders.”</w:t>
            </w:r>
          </w:p>
        </w:tc>
        <w:tc>
          <w:tcPr>
            <w:tcW w:w="2160" w:type="dxa"/>
            <w:vAlign w:val="bottom"/>
          </w:tcPr>
          <w:p>
            <w:pPr>
              <w:spacing w:after="0"/>
              <w:rPr>
                <w:sz w:val="24"/>
                <w:szCs w:val="24"/>
                <w:color w:val="auto"/>
              </w:rPr>
            </w:pPr>
          </w:p>
        </w:tc>
      </w:tr>
      <w:tr>
        <w:trPr>
          <w:trHeight w:val="315"/>
        </w:trPr>
        <w:tc>
          <w:tcPr>
            <w:tcW w:w="2560" w:type="dxa"/>
            <w:vAlign w:val="bottom"/>
          </w:tcPr>
          <w:p>
            <w:pPr>
              <w:spacing w:after="0"/>
              <w:rPr>
                <w:sz w:val="20"/>
                <w:szCs w:val="20"/>
                <w:color w:val="auto"/>
              </w:rPr>
            </w:pPr>
            <w:r>
              <w:rPr>
                <w:rFonts w:ascii="Arial" w:cs="Arial" w:eastAsia="Arial" w:hAnsi="Arial"/>
                <w:sz w:val="12"/>
                <w:szCs w:val="12"/>
                <w:color w:val="auto"/>
                <w:w w:val="94"/>
              </w:rPr>
              <w:t>Common stock to be outstanding after this offering</w:t>
            </w:r>
          </w:p>
        </w:tc>
        <w:tc>
          <w:tcPr>
            <w:tcW w:w="2300" w:type="dxa"/>
            <w:vAlign w:val="bottom"/>
          </w:tcPr>
          <w:p>
            <w:pPr>
              <w:ind w:left="120"/>
              <w:spacing w:after="0"/>
              <w:rPr>
                <w:sz w:val="20"/>
                <w:szCs w:val="20"/>
                <w:color w:val="auto"/>
              </w:rPr>
            </w:pPr>
            <w:r>
              <w:rPr>
                <w:rFonts w:ascii="Arial" w:cs="Arial" w:eastAsia="Arial" w:hAnsi="Arial"/>
                <w:sz w:val="12"/>
                <w:szCs w:val="12"/>
                <w:color w:val="auto"/>
              </w:rPr>
              <w:t>283,247,950 shares.</w:t>
            </w:r>
          </w:p>
        </w:tc>
        <w:tc>
          <w:tcPr>
            <w:tcW w:w="2160" w:type="dxa"/>
            <w:vAlign w:val="bottom"/>
          </w:tcPr>
          <w:p>
            <w:pPr>
              <w:spacing w:after="0"/>
              <w:rPr>
                <w:sz w:val="24"/>
                <w:szCs w:val="24"/>
                <w:color w:val="auto"/>
              </w:rPr>
            </w:pPr>
          </w:p>
        </w:tc>
      </w:tr>
      <w:tr>
        <w:trPr>
          <w:trHeight w:val="306"/>
        </w:trPr>
        <w:tc>
          <w:tcPr>
            <w:tcW w:w="2560" w:type="dxa"/>
            <w:vAlign w:val="bottom"/>
          </w:tcPr>
          <w:p>
            <w:pPr>
              <w:spacing w:after="0"/>
              <w:rPr>
                <w:sz w:val="20"/>
                <w:szCs w:val="20"/>
                <w:color w:val="auto"/>
              </w:rPr>
            </w:pPr>
            <w:r>
              <w:rPr>
                <w:rFonts w:ascii="Arial" w:cs="Arial" w:eastAsia="Arial" w:hAnsi="Arial"/>
                <w:sz w:val="12"/>
                <w:szCs w:val="12"/>
                <w:color w:val="auto"/>
              </w:rPr>
              <w:t>Use of proceeds</w:t>
            </w: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5"/>
              </w:rPr>
              <w:t>The selling stockholders will receive all of the net proceeds from the sale of shares of</w:t>
            </w:r>
          </w:p>
        </w:tc>
      </w:tr>
      <w:tr>
        <w:trPr>
          <w:trHeight w:val="144"/>
        </w:trPr>
        <w:tc>
          <w:tcPr>
            <w:tcW w:w="2560" w:type="dxa"/>
            <w:vAlign w:val="bottom"/>
          </w:tcPr>
          <w:p>
            <w:pPr>
              <w:spacing w:after="0"/>
              <w:rPr>
                <w:sz w:val="12"/>
                <w:szCs w:val="12"/>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0"/>
              </w:rPr>
              <w:t>common stock in this offering. We will not receive any proceeds from the sale of shares of</w:t>
            </w:r>
          </w:p>
        </w:tc>
      </w:tr>
      <w:tr>
        <w:trPr>
          <w:trHeight w:val="144"/>
        </w:trPr>
        <w:tc>
          <w:tcPr>
            <w:tcW w:w="2560" w:type="dxa"/>
            <w:vAlign w:val="bottom"/>
          </w:tcPr>
          <w:p>
            <w:pPr>
              <w:spacing w:after="0"/>
              <w:rPr>
                <w:sz w:val="12"/>
                <w:szCs w:val="12"/>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4"/>
              </w:rPr>
              <w:t>common stock by the selling stockholders or if the underwriters exercise their option to</w:t>
            </w:r>
          </w:p>
        </w:tc>
      </w:tr>
      <w:tr>
        <w:trPr>
          <w:trHeight w:val="153"/>
        </w:trPr>
        <w:tc>
          <w:tcPr>
            <w:tcW w:w="256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2"/>
                <w:szCs w:val="12"/>
                <w:color w:val="auto"/>
              </w:rPr>
              <w:t>purchase additional shares.</w:t>
            </w:r>
          </w:p>
        </w:tc>
        <w:tc>
          <w:tcPr>
            <w:tcW w:w="2160" w:type="dxa"/>
            <w:vAlign w:val="bottom"/>
          </w:tcPr>
          <w:p>
            <w:pPr>
              <w:spacing w:after="0"/>
              <w:rPr>
                <w:sz w:val="13"/>
                <w:szCs w:val="13"/>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2"/>
                <w:szCs w:val="12"/>
                <w:color w:val="auto"/>
              </w:rPr>
              <w:t>Dividend policy</w:t>
            </w: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5"/>
              </w:rPr>
              <w:t>We currently do not expect to pay dividends on our common stock for the foreseeable</w:t>
            </w:r>
          </w:p>
        </w:tc>
      </w:tr>
      <w:tr>
        <w:trPr>
          <w:trHeight w:val="144"/>
        </w:trPr>
        <w:tc>
          <w:tcPr>
            <w:tcW w:w="2560" w:type="dxa"/>
            <w:vAlign w:val="bottom"/>
          </w:tcPr>
          <w:p>
            <w:pPr>
              <w:spacing w:after="0"/>
              <w:rPr>
                <w:sz w:val="12"/>
                <w:szCs w:val="12"/>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1"/>
              </w:rPr>
              <w:t>future. Instead, we anticipate that all of our earnings in the foreseeable future will be used</w:t>
            </w:r>
          </w:p>
        </w:tc>
      </w:tr>
      <w:tr>
        <w:trPr>
          <w:trHeight w:val="144"/>
        </w:trPr>
        <w:tc>
          <w:tcPr>
            <w:tcW w:w="2560" w:type="dxa"/>
            <w:vAlign w:val="bottom"/>
          </w:tcPr>
          <w:p>
            <w:pPr>
              <w:spacing w:after="0"/>
              <w:rPr>
                <w:sz w:val="12"/>
                <w:szCs w:val="12"/>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5"/>
              </w:rPr>
              <w:t>for the operation and growth of our business and the repayment of indebtedness. See</w:t>
            </w:r>
          </w:p>
        </w:tc>
      </w:tr>
      <w:tr>
        <w:trPr>
          <w:trHeight w:val="153"/>
        </w:trPr>
        <w:tc>
          <w:tcPr>
            <w:tcW w:w="256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2"/>
                <w:szCs w:val="12"/>
                <w:color w:val="auto"/>
              </w:rPr>
              <w:t>“Dividend Policy.”</w:t>
            </w:r>
          </w:p>
        </w:tc>
        <w:tc>
          <w:tcPr>
            <w:tcW w:w="2160" w:type="dxa"/>
            <w:vAlign w:val="bottom"/>
          </w:tcPr>
          <w:p>
            <w:pPr>
              <w:spacing w:after="0"/>
              <w:rPr>
                <w:sz w:val="13"/>
                <w:szCs w:val="13"/>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2"/>
                <w:szCs w:val="12"/>
                <w:color w:val="auto"/>
              </w:rPr>
              <w:t>Risk factors</w:t>
            </w: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5"/>
              </w:rPr>
              <w:t>Investing in our common stock involves a high degree of risk. See “Risk Factors” for a</w:t>
            </w:r>
          </w:p>
        </w:tc>
      </w:tr>
      <w:tr>
        <w:trPr>
          <w:trHeight w:val="144"/>
        </w:trPr>
        <w:tc>
          <w:tcPr>
            <w:tcW w:w="2560" w:type="dxa"/>
            <w:vAlign w:val="bottom"/>
          </w:tcPr>
          <w:p>
            <w:pPr>
              <w:spacing w:after="0"/>
              <w:rPr>
                <w:sz w:val="12"/>
                <w:szCs w:val="12"/>
                <w:color w:val="auto"/>
              </w:rPr>
            </w:pPr>
          </w:p>
        </w:tc>
        <w:tc>
          <w:tcPr>
            <w:tcW w:w="4460" w:type="dxa"/>
            <w:vAlign w:val="bottom"/>
            <w:gridSpan w:val="2"/>
          </w:tcPr>
          <w:p>
            <w:pPr>
              <w:ind w:left="120"/>
              <w:spacing w:after="0"/>
              <w:rPr>
                <w:sz w:val="20"/>
                <w:szCs w:val="20"/>
                <w:color w:val="auto"/>
              </w:rPr>
            </w:pPr>
            <w:r>
              <w:rPr>
                <w:rFonts w:ascii="Arial" w:cs="Arial" w:eastAsia="Arial" w:hAnsi="Arial"/>
                <w:sz w:val="12"/>
                <w:szCs w:val="12"/>
                <w:color w:val="auto"/>
                <w:w w:val="99"/>
              </w:rPr>
              <w:t>discussion of factors you should carefully consider before deciding to invest in our</w:t>
            </w:r>
          </w:p>
        </w:tc>
      </w:tr>
      <w:tr>
        <w:trPr>
          <w:trHeight w:val="153"/>
        </w:trPr>
        <w:tc>
          <w:tcPr>
            <w:tcW w:w="256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2160" w:type="dxa"/>
            <w:vAlign w:val="bottom"/>
          </w:tcPr>
          <w:p>
            <w:pPr>
              <w:spacing w:after="0"/>
              <w:rPr>
                <w:sz w:val="13"/>
                <w:szCs w:val="13"/>
                <w:color w:val="auto"/>
              </w:rPr>
            </w:pPr>
          </w:p>
        </w:tc>
      </w:tr>
      <w:tr>
        <w:trPr>
          <w:trHeight w:val="306"/>
        </w:trPr>
        <w:tc>
          <w:tcPr>
            <w:tcW w:w="2560" w:type="dxa"/>
            <w:vAlign w:val="bottom"/>
          </w:tcPr>
          <w:p>
            <w:pPr>
              <w:spacing w:after="0"/>
              <w:rPr>
                <w:sz w:val="20"/>
                <w:szCs w:val="20"/>
                <w:color w:val="auto"/>
              </w:rPr>
            </w:pPr>
            <w:r>
              <w:rPr>
                <w:rFonts w:ascii="Arial" w:cs="Arial" w:eastAsia="Arial" w:hAnsi="Arial"/>
                <w:sz w:val="12"/>
                <w:szCs w:val="12"/>
                <w:color w:val="auto"/>
              </w:rPr>
              <w:t>Nasdaq symbol</w:t>
            </w:r>
          </w:p>
        </w:tc>
        <w:tc>
          <w:tcPr>
            <w:tcW w:w="2300" w:type="dxa"/>
            <w:vAlign w:val="bottom"/>
          </w:tcPr>
          <w:p>
            <w:pPr>
              <w:ind w:left="120"/>
              <w:spacing w:after="0"/>
              <w:rPr>
                <w:sz w:val="20"/>
                <w:szCs w:val="20"/>
                <w:color w:val="auto"/>
              </w:rPr>
            </w:pPr>
            <w:r>
              <w:rPr>
                <w:rFonts w:ascii="Arial" w:cs="Arial" w:eastAsia="Arial" w:hAnsi="Arial"/>
                <w:sz w:val="12"/>
                <w:szCs w:val="12"/>
                <w:color w:val="auto"/>
              </w:rPr>
              <w:t>“SHC”</w:t>
            </w:r>
          </w:p>
        </w:tc>
        <w:tc>
          <w:tcPr>
            <w:tcW w:w="2160" w:type="dxa"/>
            <w:vAlign w:val="bottom"/>
          </w:tcPr>
          <w:p>
            <w:pPr>
              <w:spacing w:after="0"/>
              <w:rPr>
                <w:sz w:val="24"/>
                <w:szCs w:val="24"/>
                <w:color w:val="auto"/>
              </w:rPr>
            </w:pPr>
          </w:p>
        </w:tc>
      </w:tr>
    </w:tbl>
    <w:p>
      <w:pPr>
        <w:spacing w:after="0" w:line="144" w:lineRule="exact"/>
        <w:rPr>
          <w:sz w:val="20"/>
          <w:szCs w:val="20"/>
          <w:color w:val="auto"/>
        </w:rPr>
      </w:pPr>
    </w:p>
    <w:p>
      <w:pPr>
        <w:ind w:left="2100" w:right="1259" w:firstLine="284"/>
        <w:spacing w:after="0" w:line="276" w:lineRule="auto"/>
        <w:rPr>
          <w:sz w:val="20"/>
          <w:szCs w:val="20"/>
          <w:color w:val="auto"/>
        </w:rPr>
      </w:pPr>
      <w:r>
        <w:rPr>
          <w:rFonts w:ascii="Arial" w:cs="Arial" w:eastAsia="Arial" w:hAnsi="Arial"/>
          <w:sz w:val="12"/>
          <w:szCs w:val="12"/>
          <w:color w:val="auto"/>
        </w:rPr>
        <w:t>Except as otherwise noted, the number of shares of common stock to be outstanding after the offering is based on 283,247,950 shares of common stock outstanding as of December 31, 2020 and excludes as of such date:</w:t>
      </w:r>
    </w:p>
    <w:p>
      <w:pPr>
        <w:spacing w:after="0" w:line="52" w:lineRule="exact"/>
        <w:rPr>
          <w:sz w:val="20"/>
          <w:szCs w:val="20"/>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2,389,258 shares issuable upon exercise of outstanding stock options at a weighted average exercise price of $23.00 per share;</w:t>
      </w:r>
    </w:p>
    <w:p>
      <w:pPr>
        <w:spacing w:after="0" w:line="98" w:lineRule="exact"/>
        <w:rPr>
          <w:rFonts w:ascii="Arial" w:cs="Arial" w:eastAsia="Arial" w:hAnsi="Arial"/>
          <w:sz w:val="11"/>
          <w:szCs w:val="11"/>
          <w:color w:val="auto"/>
        </w:rPr>
      </w:pPr>
    </w:p>
    <w:p>
      <w:pPr>
        <w:ind w:left="2720" w:hanging="275"/>
        <w:spacing w:after="0"/>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768,505 shares issuable pursuant to restricted stock units (“RSUs”) outstanding; and</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24,742,237 shares of common stock reserved for future issuance under our 2020 Omnibus Incentive Plan (the “2020 Plan”).</w:t>
      </w: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98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70425" cy="409892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Summary Historical Consolidated Financial and Other Data</w:t>
      </w:r>
    </w:p>
    <w:p>
      <w:pPr>
        <w:spacing w:after="0" w:line="8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The following tables present our summary historical consolidated financial and other data. The summary historical consolidated statements of operations data and statements of cash flows data for the years ended December 31, 2020, 2019 and 2018 and the summary historical balance sheet data as of December 31, 2020, December 31, 2019 and December 31, 2018 have been derived from our audited consolidated financial statements incorporated by reference from Sotera Health’s 2020 10-K.</w:t>
      </w:r>
    </w:p>
    <w:p>
      <w:pPr>
        <w:spacing w:after="0" w:line="124"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following summary consolidated financial data should be read in conjunction with the information contained in “Risk Factors” and “Capitalization” in this prospectus and “Management’s Discussion and Analysis of Financial Condition and Results of Operations” and the consolidated financial statements and related notes thereto incorporated by reference from Sotera Health’s 2020 10-K. Our historical results are not necessarily indicative of our results in any future period.</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Operations Data:</w:t>
      </w:r>
    </w:p>
    <w:p>
      <w:pPr>
        <w:spacing w:after="0" w:line="165" w:lineRule="exact"/>
        <w:rPr>
          <w:sz w:val="20"/>
          <w:szCs w:val="20"/>
          <w:color w:val="auto"/>
        </w:rPr>
      </w:pPr>
    </w:p>
    <w:tbl>
      <w:tblPr>
        <w:tblLayout w:type="fixed"/>
        <w:tblInd w:w="1960" w:type="dxa"/>
        <w:tblCellMar>
          <w:top w:w="0" w:type="dxa"/>
          <w:left w:w="0" w:type="dxa"/>
          <w:bottom w:w="0" w:type="dxa"/>
          <w:right w:w="0" w:type="dxa"/>
        </w:tblCellMar>
      </w:tblPr>
      <w:tr>
        <w:trPr>
          <w:trHeight w:val="115"/>
        </w:trPr>
        <w:tc>
          <w:tcPr>
            <w:tcW w:w="3480" w:type="dxa"/>
            <w:vAlign w:val="bottom"/>
            <w:gridSpan w:val="2"/>
            <w:vMerge w:val="restart"/>
          </w:tcPr>
          <w:p>
            <w:pPr>
              <w:ind w:left="140"/>
              <w:spacing w:after="0"/>
              <w:rPr>
                <w:sz w:val="20"/>
                <w:szCs w:val="20"/>
                <w:color w:val="auto"/>
              </w:rPr>
            </w:pPr>
            <w:r>
              <w:rPr>
                <w:rFonts w:ascii="Arial" w:cs="Arial" w:eastAsia="Arial" w:hAnsi="Arial"/>
                <w:sz w:val="10"/>
                <w:szCs w:val="10"/>
                <w:i w:val="1"/>
                <w:iCs w:val="1"/>
                <w:color w:val="auto"/>
              </w:rPr>
              <w:t>(in thousands, except per share amounts)</w:t>
            </w:r>
          </w:p>
        </w:tc>
        <w:tc>
          <w:tcPr>
            <w:tcW w:w="1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gridSpan w:val="7"/>
          </w:tcPr>
          <w:p>
            <w:pPr>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88"/>
        </w:trPr>
        <w:tc>
          <w:tcPr>
            <w:tcW w:w="348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760" w:type="dxa"/>
            <w:vAlign w:val="bottom"/>
            <w:tcBorders>
              <w:top w:val="single" w:sz="8" w:color="auto"/>
            </w:tcBorders>
            <w:gridSpan w:val="3"/>
          </w:tcPr>
          <w:p>
            <w:pPr>
              <w:jc w:val="right"/>
              <w:ind w:right="80"/>
              <w:spacing w:after="0" w:line="88"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rPr>
              <w:t>2018</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40" w:type="dxa"/>
            <w:vAlign w:val="bottom"/>
          </w:tcPr>
          <w:p>
            <w:pPr>
              <w:spacing w:after="0"/>
              <w:rPr>
                <w:sz w:val="10"/>
                <w:szCs w:val="10"/>
                <w:color w:val="auto"/>
              </w:rPr>
            </w:pPr>
          </w:p>
        </w:tc>
        <w:tc>
          <w:tcPr>
            <w:tcW w:w="33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Revenues:</w:t>
            </w:r>
          </w:p>
        </w:tc>
        <w:tc>
          <w:tcPr>
            <w:tcW w:w="19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0" w:type="dxa"/>
            <w:vAlign w:val="bottom"/>
            <w:tcBorders>
              <w:left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Service</w:t>
            </w:r>
          </w:p>
        </w:tc>
        <w:tc>
          <w:tcPr>
            <w:tcW w:w="2260" w:type="dxa"/>
            <w:vAlign w:val="bottom"/>
            <w:gridSpan w:val="2"/>
          </w:tcPr>
          <w:p>
            <w:pPr>
              <w:jc w:val="right"/>
              <w:ind w:right="232"/>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$673,037</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615,510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Product</w:t>
            </w:r>
          </w:p>
        </w:tc>
        <w:tc>
          <w:tcPr>
            <w:tcW w:w="1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105,290</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130,639</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 net revenues</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778,327</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746,149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 of revenues:</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Service</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333,290</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326,559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Product</w:t>
            </w:r>
          </w:p>
        </w:tc>
        <w:tc>
          <w:tcPr>
            <w:tcW w:w="1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49,606</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62,338</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 cost of revenues</w:t>
            </w:r>
          </w:p>
        </w:tc>
        <w:tc>
          <w:tcPr>
            <w:tcW w:w="19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382,896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388,897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395,431</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357,252</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general and administrative expenses</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147,480</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133,363</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Amortization of intangible assets</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58,562</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57,975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Impairment of long-lived assets</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5,792</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34,981</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Impairment of GA-MURR intangible assets</w:t>
            </w:r>
          </w:p>
        </w:tc>
        <w:tc>
          <w:tcPr>
            <w:tcW w:w="19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50,086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1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211,834</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276,405</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ind w:left="140"/>
              <w:spacing w:after="0"/>
              <w:rPr>
                <w:sz w:val="20"/>
                <w:szCs w:val="20"/>
                <w:color w:val="auto"/>
              </w:rPr>
            </w:pPr>
            <w:r>
              <w:rPr>
                <w:rFonts w:ascii="Arial" w:cs="Arial" w:eastAsia="Arial" w:hAnsi="Arial"/>
                <w:sz w:val="12"/>
                <w:szCs w:val="12"/>
                <w:b w:val="1"/>
                <w:bCs w:val="1"/>
                <w:color w:val="auto"/>
              </w:rPr>
              <w:t>Operating income</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183,597</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80,847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 net</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157,729</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143,326</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Loss on extinguishment of debt</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30,168</w:t>
            </w:r>
          </w:p>
        </w:tc>
        <w:tc>
          <w:tcPr>
            <w:tcW w:w="140" w:type="dxa"/>
            <w:vAlign w:val="bottom"/>
          </w:tcPr>
          <w:p>
            <w:pPr>
              <w:spacing w:after="0"/>
              <w:rPr>
                <w:sz w:val="12"/>
                <w:szCs w:val="12"/>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exchange (gain) loss</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3,862</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13,075</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tcPr>
          <w:p>
            <w:pPr>
              <w:ind w:left="240"/>
              <w:spacing w:after="0"/>
              <w:rPr>
                <w:sz w:val="20"/>
                <w:szCs w:val="20"/>
                <w:color w:val="auto"/>
              </w:rPr>
            </w:pPr>
            <w:r>
              <w:rPr>
                <w:rFonts w:ascii="Arial" w:cs="Arial" w:eastAsia="Arial" w:hAnsi="Arial"/>
                <w:sz w:val="12"/>
                <w:szCs w:val="12"/>
                <w:color w:val="auto"/>
              </w:rPr>
              <w:t>Gain on sale of Medical Isotopes business</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3"/>
              </w:rPr>
              <w:t>(95,910)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 net</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(7,246)</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(3,866)</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Income (loss) before income taxes</w:t>
            </w: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(916)</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24,222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19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19,509</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30,098</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gridSpan w:val="2"/>
          </w:tcPr>
          <w:p>
            <w:pPr>
              <w:ind w:left="140"/>
              <w:spacing w:after="0"/>
              <w:rPr>
                <w:sz w:val="20"/>
                <w:szCs w:val="20"/>
                <w:color w:val="auto"/>
              </w:rPr>
            </w:pPr>
            <w:r>
              <w:rPr>
                <w:rFonts w:ascii="Arial" w:cs="Arial" w:eastAsia="Arial" w:hAnsi="Arial"/>
                <w:sz w:val="12"/>
                <w:szCs w:val="12"/>
                <w:b w:val="1"/>
                <w:bCs w:val="1"/>
                <w:color w:val="auto"/>
              </w:rPr>
              <w:t>Net income (loss)</w:t>
            </w: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2"/>
                <w:szCs w:val="12"/>
                <w:color w:val="auto"/>
              </w:rPr>
              <w:t>(20,425)</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(5,876)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2"/>
              </w:rPr>
              <w:t>Less: Net income (loss) attributable to noncontrolling interests</w:t>
            </w:r>
          </w:p>
        </w:tc>
        <w:tc>
          <w:tcPr>
            <w:tcW w:w="1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Net income (loss) attributable to the company</w:t>
            </w: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 (20,850)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(5,870)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tcPr>
          <w:p>
            <w:pPr>
              <w:jc w:val="right"/>
              <w:ind w:right="1600"/>
              <w:spacing w:after="0"/>
              <w:rPr>
                <w:sz w:val="20"/>
                <w:szCs w:val="20"/>
                <w:color w:val="auto"/>
              </w:rPr>
            </w:pPr>
            <w:r>
              <w:rPr>
                <w:rFonts w:ascii="Arial" w:cs="Arial" w:eastAsia="Arial" w:hAnsi="Arial"/>
                <w:sz w:val="12"/>
                <w:szCs w:val="12"/>
                <w:color w:val="auto"/>
              </w:rPr>
              <w:t>15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18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70425" cy="40189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160" w:type="dxa"/>
            <w:vAlign w:val="bottom"/>
          </w:tcPr>
          <w:p>
            <w:pPr>
              <w:spacing w:after="0"/>
              <w:rPr>
                <w:sz w:val="20"/>
                <w:szCs w:val="20"/>
                <w:color w:val="auto"/>
              </w:rPr>
            </w:pPr>
            <w:r>
              <w:rPr>
                <w:rFonts w:ascii="Arial" w:cs="Arial" w:eastAsia="Arial" w:hAnsi="Arial"/>
                <w:sz w:val="10"/>
                <w:szCs w:val="10"/>
                <w:b w:val="1"/>
                <w:bCs w:val="1"/>
                <w:color w:val="auto"/>
              </w:rPr>
              <w:t>Statement of Operations Data (continued):</w:t>
            </w:r>
          </w:p>
        </w:tc>
        <w:tc>
          <w:tcPr>
            <w:tcW w:w="8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84"/>
              </w:rPr>
              <w:t>Year Ended December 31,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160" w:type="dxa"/>
            <w:vAlign w:val="bottom"/>
            <w:tcBorders>
              <w:bottom w:val="single" w:sz="8" w:color="CCEEFF"/>
            </w:tcBorders>
          </w:tcPr>
          <w:p>
            <w:pPr>
              <w:spacing w:after="0" w:line="88" w:lineRule="exact"/>
              <w:rPr>
                <w:sz w:val="20"/>
                <w:szCs w:val="20"/>
                <w:color w:val="auto"/>
              </w:rPr>
            </w:pPr>
            <w:r>
              <w:rPr>
                <w:rFonts w:ascii="Arial" w:cs="Arial" w:eastAsia="Arial" w:hAnsi="Arial"/>
                <w:sz w:val="10"/>
                <w:szCs w:val="10"/>
                <w:i w:val="1"/>
                <w:iCs w:val="1"/>
                <w:color w:val="auto"/>
              </w:rPr>
              <w:t>(in thousands, except per share amounts)</w:t>
            </w:r>
          </w:p>
        </w:tc>
        <w:tc>
          <w:tcPr>
            <w:tcW w:w="88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jc w:val="right"/>
              <w:ind w:right="72"/>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rPr>
              <w:t>2018</w:t>
            </w:r>
          </w:p>
        </w:tc>
        <w:tc>
          <w:tcPr>
            <w:tcW w:w="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1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Other comprehensive (loss) income, net of tax:</w:t>
            </w:r>
          </w:p>
        </w:tc>
        <w:tc>
          <w:tcPr>
            <w:tcW w:w="8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160" w:type="dxa"/>
            <w:vAlign w:val="bottom"/>
          </w:tcPr>
          <w:p>
            <w:pPr>
              <w:ind w:left="240"/>
              <w:spacing w:after="0"/>
              <w:rPr>
                <w:sz w:val="20"/>
                <w:szCs w:val="20"/>
                <w:color w:val="auto"/>
              </w:rPr>
            </w:pPr>
            <w:r>
              <w:rPr>
                <w:rFonts w:ascii="Arial" w:cs="Arial" w:eastAsia="Arial" w:hAnsi="Arial"/>
                <w:sz w:val="12"/>
                <w:szCs w:val="12"/>
                <w:color w:val="auto"/>
              </w:rPr>
              <w:t>Pension and post-retirement benefits</w:t>
            </w:r>
          </w:p>
        </w:tc>
        <w:tc>
          <w:tcPr>
            <w:tcW w:w="1340" w:type="dxa"/>
            <w:vAlign w:val="bottom"/>
            <w:gridSpan w:val="2"/>
          </w:tcPr>
          <w:p>
            <w:pPr>
              <w:jc w:val="right"/>
              <w:ind w:right="352"/>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w w:val="98"/>
              </w:rPr>
              <w:t>(12,126)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873</w:t>
            </w: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rate swaps</w:t>
            </w:r>
          </w:p>
        </w:tc>
        <w:tc>
          <w:tcPr>
            <w:tcW w:w="8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179</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160" w:type="dxa"/>
            <w:vAlign w:val="bottom"/>
          </w:tcPr>
          <w:p>
            <w:pPr>
              <w:ind w:left="240"/>
              <w:spacing w:after="0"/>
              <w:rPr>
                <w:sz w:val="20"/>
                <w:szCs w:val="20"/>
                <w:color w:val="auto"/>
              </w:rPr>
            </w:pPr>
            <w:r>
              <w:rPr>
                <w:rFonts w:ascii="Arial" w:cs="Arial" w:eastAsia="Arial" w:hAnsi="Arial"/>
                <w:sz w:val="12"/>
                <w:szCs w:val="12"/>
                <w:color w:val="auto"/>
              </w:rPr>
              <w:t>Foreign currency translation</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27,402</w:t>
            </w:r>
          </w:p>
        </w:tc>
        <w:tc>
          <w:tcPr>
            <w:tcW w:w="1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(67,917)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income (loss)</w:t>
            </w:r>
          </w:p>
        </w:tc>
        <w:tc>
          <w:tcPr>
            <w:tcW w:w="8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(4,970)</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(72,920)</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2"/>
                <w:szCs w:val="12"/>
                <w:color w:val="auto"/>
              </w:rPr>
              <w:t>Less: comprehensive income attributable to noncontrolling interests</w:t>
            </w:r>
          </w:p>
        </w:tc>
        <w:tc>
          <w:tcPr>
            <w:tcW w:w="8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310</w:t>
            </w:r>
          </w:p>
        </w:tc>
        <w:tc>
          <w:tcPr>
            <w:tcW w:w="1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Comprehensive income (loss) attributable to the company</w:t>
            </w:r>
          </w:p>
        </w:tc>
        <w:tc>
          <w:tcPr>
            <w:tcW w:w="8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(5,280)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(72,734)</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Earnings (loss) per share:</w:t>
            </w:r>
          </w:p>
        </w:tc>
        <w:tc>
          <w:tcPr>
            <w:tcW w:w="8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 and Diluted</w:t>
            </w:r>
          </w:p>
        </w:tc>
        <w:tc>
          <w:tcPr>
            <w:tcW w:w="1340" w:type="dxa"/>
            <w:vAlign w:val="bottom"/>
            <w:tcBorders>
              <w:right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(0.03)</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color w:val="auto"/>
              </w:rPr>
              <w:t>Weighted-average shares used to compute earnings (loss) per share:</w:t>
            </w:r>
          </w:p>
        </w:tc>
        <w:tc>
          <w:tcPr>
            <w:tcW w:w="8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Basic and Diluted</w:t>
            </w:r>
          </w:p>
        </w:tc>
        <w:tc>
          <w:tcPr>
            <w:tcW w:w="8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2"/>
              </w:rPr>
              <w:t>232,400</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6"/>
              </w:rPr>
              <w:t>232,400</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b w:val="1"/>
                <w:bCs w:val="1"/>
                <w:color w:val="auto"/>
              </w:rPr>
              <w:t>Selected cash flow data:</w:t>
            </w:r>
          </w:p>
        </w:tc>
        <w:tc>
          <w:tcPr>
            <w:tcW w:w="8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1340" w:type="dxa"/>
            <w:vAlign w:val="bottom"/>
            <w:tcBorders>
              <w:right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2"/>
              </w:rPr>
              <w:t>149,041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6"/>
              </w:rPr>
              <w:t>119,563</w:t>
            </w:r>
          </w:p>
        </w:tc>
        <w:tc>
          <w:tcPr>
            <w:tcW w:w="0" w:type="dxa"/>
            <w:vAlign w:val="bottom"/>
          </w:tcPr>
          <w:p>
            <w:pPr>
              <w:spacing w:after="0"/>
              <w:rPr>
                <w:sz w:val="1"/>
                <w:szCs w:val="1"/>
                <w:color w:val="auto"/>
              </w:rPr>
            </w:pPr>
          </w:p>
        </w:tc>
      </w:tr>
      <w:tr>
        <w:trPr>
          <w:trHeight w:val="144"/>
        </w:trPr>
        <w:tc>
          <w:tcPr>
            <w:tcW w:w="416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r>
              <w:rPr>
                <w:rFonts w:ascii="Arial" w:cs="Arial" w:eastAsia="Arial" w:hAnsi="Arial"/>
                <w:sz w:val="10"/>
                <w:szCs w:val="10"/>
                <w:color w:val="auto"/>
              </w:rPr>
              <w:t>(a)</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w w:val="98"/>
              </w:rPr>
              <w:t>(57,257)</w:t>
            </w:r>
          </w:p>
        </w:tc>
        <w:tc>
          <w:tcPr>
            <w:tcW w:w="1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96,638</w:t>
            </w: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88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5"/>
              </w:rPr>
              <w:t>(126,030)</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9"/>
              </w:rPr>
              <w:t>(191,857)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2"/>
                <w:szCs w:val="12"/>
                <w:b w:val="1"/>
                <w:bCs w:val="1"/>
                <w:color w:val="auto"/>
              </w:rPr>
              <w:t>Other data:</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Adjusted Net Income</w:t>
            </w:r>
            <w:r>
              <w:rPr>
                <w:rFonts w:ascii="Arial" w:cs="Arial" w:eastAsia="Arial" w:hAnsi="Arial"/>
                <w:sz w:val="10"/>
                <w:szCs w:val="10"/>
                <w:color w:val="auto"/>
              </w:rPr>
              <w:t>(b)</w:t>
            </w:r>
          </w:p>
        </w:tc>
        <w:tc>
          <w:tcPr>
            <w:tcW w:w="1340" w:type="dxa"/>
            <w:vAlign w:val="bottom"/>
            <w:tcBorders>
              <w:right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2"/>
              </w:rPr>
              <w:t>100,386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75,315</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Adjusted EBITDA</w:t>
            </w:r>
            <w:r>
              <w:rPr>
                <w:rFonts w:ascii="Arial" w:cs="Arial" w:eastAsia="Arial" w:hAnsi="Arial"/>
                <w:sz w:val="10"/>
                <w:szCs w:val="10"/>
                <w:color w:val="auto"/>
              </w:rPr>
              <w:t>(b)</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w w:val="92"/>
              </w:rPr>
              <w:t>379,932</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340,637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380" w:right="1299" w:hanging="286"/>
        <w:spacing w:after="0" w:line="258" w:lineRule="auto"/>
        <w:tabs>
          <w:tab w:leader="none" w:pos="2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purchases of property, plant and equipment of $ , $57,257 and 72,613, respectively (which includes Co-60 held at gamma irradiation sites).</w:t>
      </w:r>
    </w:p>
    <w:p>
      <w:pPr>
        <w:ind w:left="2380" w:right="1279" w:hanging="286"/>
        <w:spacing w:after="0" w:line="260" w:lineRule="auto"/>
        <w:tabs>
          <w:tab w:leader="none" w:pos="23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Adjusted Net Income and Adjusted EBITDA are non-GAAP financial measures. For a definition of Adjusted Net Income and Adjusted EBITDA and a reconciliation to net income (loss), see “—Non-GAAP Financial Measures.”</w:t>
      </w:r>
    </w:p>
    <w:p>
      <w:pPr>
        <w:spacing w:after="0" w:line="121"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As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8"/>
        </w:trPr>
        <w:tc>
          <w:tcPr>
            <w:tcW w:w="4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jc w:val="right"/>
              <w:ind w:right="72"/>
              <w:spacing w:after="0" w:line="88" w:lineRule="exact"/>
              <w:rPr>
                <w:sz w:val="20"/>
                <w:szCs w:val="20"/>
                <w:color w:val="auto"/>
              </w:rPr>
            </w:pPr>
            <w:r>
              <w:rPr>
                <w:rFonts w:ascii="Arial" w:cs="Arial" w:eastAsia="Arial" w:hAnsi="Arial"/>
                <w:sz w:val="10"/>
                <w:szCs w:val="10"/>
                <w:b w:val="1"/>
                <w:bCs w:val="1"/>
                <w:color w:val="auto"/>
              </w:rPr>
              <w:t>2020</w:t>
            </w:r>
          </w:p>
        </w:tc>
        <w:tc>
          <w:tcPr>
            <w:tcW w:w="860" w:type="dxa"/>
            <w:vAlign w:val="bottom"/>
            <w:gridSpan w:val="2"/>
          </w:tcPr>
          <w:p>
            <w:pPr>
              <w:jc w:val="right"/>
              <w:ind w:right="132"/>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7"/>
                <w:szCs w:val="7"/>
                <w:color w:val="auto"/>
              </w:rPr>
            </w:pPr>
          </w:p>
        </w:tc>
        <w:tc>
          <w:tcPr>
            <w:tcW w:w="6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7"/>
                <w:szCs w:val="7"/>
                <w:color w:val="auto"/>
              </w:rPr>
            </w:pPr>
          </w:p>
        </w:tc>
      </w:tr>
      <w:tr>
        <w:trPr>
          <w:trHeight w:val="124"/>
        </w:trPr>
        <w:tc>
          <w:tcPr>
            <w:tcW w:w="46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Balance Sheet Data (as of period end):</w:t>
            </w:r>
          </w:p>
        </w:tc>
        <w:tc>
          <w:tcPr>
            <w:tcW w:w="1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640" w:type="dxa"/>
            <w:vAlign w:val="bottom"/>
            <w:gridSpan w:val="2"/>
            <w:shd w:val="clear" w:color="auto" w:fill="CCEEFF"/>
          </w:tcPr>
          <w:p>
            <w:pPr>
              <w:jc w:val="right"/>
              <w:ind w:right="352"/>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   62,863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   96,272</w:t>
            </w:r>
          </w:p>
        </w:tc>
      </w:tr>
      <w:tr>
        <w:trPr>
          <w:trHeight w:val="144"/>
        </w:trPr>
        <w:tc>
          <w:tcPr>
            <w:tcW w:w="4680" w:type="dxa"/>
            <w:vAlign w:val="bottom"/>
          </w:tcPr>
          <w:p>
            <w:pPr>
              <w:spacing w:after="0"/>
              <w:rPr>
                <w:sz w:val="20"/>
                <w:szCs w:val="20"/>
                <w:color w:val="auto"/>
              </w:rPr>
            </w:pPr>
            <w:r>
              <w:rPr>
                <w:rFonts w:ascii="Arial" w:cs="Arial" w:eastAsia="Arial" w:hAnsi="Arial"/>
                <w:sz w:val="12"/>
                <w:szCs w:val="12"/>
                <w:color w:val="auto"/>
              </w:rPr>
              <w:t>Working capital</w:t>
            </w:r>
            <w:r>
              <w:rPr>
                <w:rFonts w:ascii="Arial" w:cs="Arial" w:eastAsia="Arial" w:hAnsi="Arial"/>
                <w:sz w:val="10"/>
                <w:szCs w:val="10"/>
                <w:color w:val="auto"/>
              </w:rPr>
              <w:t>(a)</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2"/>
                <w:szCs w:val="12"/>
                <w:color w:val="auto"/>
              </w:rPr>
              <w:t>128,364</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169,488</w:t>
            </w: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2,580,674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2,708,584</w:t>
            </w:r>
          </w:p>
        </w:tc>
        <w:tc>
          <w:tcPr>
            <w:tcW w:w="20" w:type="dxa"/>
            <w:vAlign w:val="bottom"/>
            <w:shd w:val="clear" w:color="auto" w:fill="CCEEFF"/>
          </w:tcPr>
          <w:p>
            <w:pPr>
              <w:spacing w:after="0"/>
              <w:rPr>
                <w:sz w:val="12"/>
                <w:szCs w:val="12"/>
                <w:color w:val="auto"/>
              </w:rPr>
            </w:pPr>
          </w:p>
        </w:tc>
      </w:tr>
      <w:tr>
        <w:trPr>
          <w:trHeight w:val="135"/>
        </w:trPr>
        <w:tc>
          <w:tcPr>
            <w:tcW w:w="4680" w:type="dxa"/>
            <w:vAlign w:val="bottom"/>
          </w:tcPr>
          <w:p>
            <w:pPr>
              <w:spacing w:after="0" w:line="135" w:lineRule="exact"/>
              <w:rPr>
                <w:sz w:val="20"/>
                <w:szCs w:val="20"/>
                <w:color w:val="auto"/>
              </w:rPr>
            </w:pPr>
            <w:r>
              <w:rPr>
                <w:rFonts w:ascii="Arial" w:cs="Arial" w:eastAsia="Arial" w:hAnsi="Arial"/>
                <w:sz w:val="12"/>
                <w:szCs w:val="12"/>
                <w:color w:val="auto"/>
                <w:w w:val="93"/>
              </w:rPr>
              <w:t>Total long-term debt (including current portion, less unamortized debt issuance costs and debt</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4680" w:type="dxa"/>
            <w:vAlign w:val="bottom"/>
          </w:tcPr>
          <w:p>
            <w:pPr>
              <w:ind w:left="120"/>
              <w:spacing w:after="0"/>
              <w:rPr>
                <w:sz w:val="20"/>
                <w:szCs w:val="20"/>
                <w:color w:val="auto"/>
              </w:rPr>
            </w:pPr>
            <w:r>
              <w:rPr>
                <w:rFonts w:ascii="Arial" w:cs="Arial" w:eastAsia="Arial" w:hAnsi="Arial"/>
                <w:sz w:val="12"/>
                <w:szCs w:val="12"/>
                <w:color w:val="auto"/>
              </w:rPr>
              <w:t>discounts)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2,817,204</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2,204,906</w:t>
            </w:r>
          </w:p>
        </w:tc>
        <w:tc>
          <w:tcPr>
            <w:tcW w:w="20" w:type="dxa"/>
            <w:vAlign w:val="bottom"/>
          </w:tcPr>
          <w:p>
            <w:pPr>
              <w:spacing w:after="0"/>
              <w:rPr>
                <w:sz w:val="13"/>
                <w:szCs w:val="13"/>
                <w:color w:val="auto"/>
              </w:rPr>
            </w:pP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3,221,806</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2,663,093</w:t>
            </w:r>
          </w:p>
        </w:tc>
        <w:tc>
          <w:tcPr>
            <w:tcW w:w="20" w:type="dxa"/>
            <w:vAlign w:val="bottom"/>
            <w:shd w:val="clear" w:color="auto" w:fill="CCEEFF"/>
          </w:tcPr>
          <w:p>
            <w:pPr>
              <w:spacing w:after="0"/>
              <w:rPr>
                <w:sz w:val="12"/>
                <w:szCs w:val="12"/>
                <w:color w:val="auto"/>
              </w:rPr>
            </w:pPr>
          </w:p>
        </w:tc>
      </w:tr>
      <w:tr>
        <w:trPr>
          <w:trHeight w:val="144"/>
        </w:trPr>
        <w:tc>
          <w:tcPr>
            <w:tcW w:w="4680" w:type="dxa"/>
            <w:vAlign w:val="bottom"/>
          </w:tcPr>
          <w:p>
            <w:pPr>
              <w:spacing w:after="0"/>
              <w:rPr>
                <w:sz w:val="20"/>
                <w:szCs w:val="20"/>
                <w:color w:val="auto"/>
              </w:rPr>
            </w:pPr>
            <w:r>
              <w:rPr>
                <w:rFonts w:ascii="Arial" w:cs="Arial" w:eastAsia="Arial" w:hAnsi="Arial"/>
                <w:sz w:val="12"/>
                <w:szCs w:val="12"/>
                <w:color w:val="auto"/>
              </w:rPr>
              <w:t>Total equity (deficit) attributable to the company</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2"/>
                <w:szCs w:val="12"/>
                <w:color w:val="auto"/>
              </w:rPr>
              <w:t>(642,574)</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44,359</w:t>
            </w:r>
          </w:p>
        </w:tc>
      </w:tr>
      <w:tr>
        <w:trPr>
          <w:trHeight w:val="144"/>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interests</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1,442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1,132</w:t>
            </w: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Total equity (deficit)</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2"/>
                <w:szCs w:val="12"/>
                <w:color w:val="auto"/>
              </w:rPr>
              <w:t>(641,132)</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45,491</w:t>
            </w:r>
          </w:p>
        </w:tc>
      </w:tr>
    </w:tbl>
    <w:p>
      <w:pPr>
        <w:spacing w:after="0" w:line="99" w:lineRule="exact"/>
        <w:rPr>
          <w:sz w:val="20"/>
          <w:szCs w:val="20"/>
          <w:color w:val="auto"/>
        </w:rPr>
      </w:pPr>
    </w:p>
    <w:p>
      <w:pPr>
        <w:ind w:left="2100"/>
        <w:spacing w:after="0"/>
        <w:tabs>
          <w:tab w:leader="none" w:pos="2360" w:val="left"/>
        </w:tabs>
        <w:rPr>
          <w:sz w:val="20"/>
          <w:szCs w:val="20"/>
          <w:color w:val="auto"/>
        </w:rPr>
      </w:pPr>
      <w:r>
        <w:rPr>
          <w:rFonts w:ascii="Arial" w:cs="Arial" w:eastAsia="Arial" w:hAnsi="Arial"/>
          <w:sz w:val="12"/>
          <w:szCs w:val="12"/>
          <w:color w:val="auto"/>
        </w:rPr>
        <w:t>(a)</w:t>
        <w:tab/>
        <w:t>Working capital represents current assets less current liabilities.</w:t>
      </w:r>
    </w:p>
    <w:p>
      <w:pPr>
        <w:spacing w:after="0" w:line="200" w:lineRule="exact"/>
        <w:rPr>
          <w:sz w:val="20"/>
          <w:szCs w:val="20"/>
          <w:color w:val="auto"/>
        </w:rPr>
      </w:pP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3658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70425" cy="36588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Non-GAAP Financial Measures</w:t>
      </w:r>
    </w:p>
    <w:p>
      <w:pPr>
        <w:spacing w:after="0" w:line="78" w:lineRule="exact"/>
        <w:rPr>
          <w:sz w:val="20"/>
          <w:szCs w:val="20"/>
          <w:color w:val="auto"/>
        </w:rPr>
      </w:pPr>
    </w:p>
    <w:p>
      <w:pPr>
        <w:ind w:left="2100" w:right="1139" w:firstLine="284"/>
        <w:spacing w:after="0" w:line="276" w:lineRule="auto"/>
        <w:rPr>
          <w:sz w:val="20"/>
          <w:szCs w:val="20"/>
          <w:color w:val="auto"/>
        </w:rPr>
      </w:pPr>
      <w:r>
        <w:rPr>
          <w:rFonts w:ascii="Arial" w:cs="Arial" w:eastAsia="Arial" w:hAnsi="Arial"/>
          <w:sz w:val="12"/>
          <w:szCs w:val="12"/>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115"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24"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it provides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19" w:lineRule="exact"/>
        <w:rPr>
          <w:sz w:val="20"/>
          <w:szCs w:val="20"/>
          <w:color w:val="auto"/>
        </w:rPr>
      </w:pPr>
    </w:p>
    <w:p>
      <w:pPr>
        <w:ind w:left="2100" w:right="1019" w:firstLine="284"/>
        <w:spacing w:after="0" w:line="298" w:lineRule="auto"/>
        <w:rPr>
          <w:sz w:val="20"/>
          <w:szCs w:val="20"/>
          <w:color w:val="auto"/>
        </w:rPr>
      </w:pPr>
      <w:r>
        <w:rPr>
          <w:rFonts w:ascii="Arial" w:cs="Arial" w:eastAsia="Arial" w:hAnsi="Arial"/>
          <w:sz w:val="11"/>
          <w:szCs w:val="11"/>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42" w:lineRule="exact"/>
        <w:rPr>
          <w:sz w:val="20"/>
          <w:szCs w:val="20"/>
          <w:color w:val="auto"/>
        </w:rPr>
      </w:pPr>
    </w:p>
    <w:p>
      <w:pPr>
        <w:ind w:left="2720" w:right="1039" w:hanging="275"/>
        <w:spacing w:after="0" w:line="276" w:lineRule="auto"/>
        <w:tabs>
          <w:tab w:leader="none" w:pos="2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costs of acquiring and integrating businesses, which will continue to be a part of our growth strategy;</w:t>
      </w:r>
    </w:p>
    <w:p>
      <w:pPr>
        <w:spacing w:after="0" w:line="87" w:lineRule="exact"/>
        <w:rPr>
          <w:rFonts w:ascii="Arial" w:cs="Arial" w:eastAsia="Arial" w:hAnsi="Arial"/>
          <w:sz w:val="12"/>
          <w:szCs w:val="12"/>
          <w:color w:val="auto"/>
        </w:rPr>
      </w:pPr>
    </w:p>
    <w:p>
      <w:pPr>
        <w:jc w:val="both"/>
        <w:ind w:left="2720" w:right="1159" w:hanging="275"/>
        <w:spacing w:after="0" w:line="263" w:lineRule="auto"/>
        <w:tabs>
          <w:tab w:leader="none" w:pos="2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59" w:lineRule="exact"/>
        <w:rPr>
          <w:rFonts w:ascii="Arial" w:cs="Arial" w:eastAsia="Arial" w:hAnsi="Arial"/>
          <w:sz w:val="12"/>
          <w:szCs w:val="12"/>
          <w:color w:val="auto"/>
        </w:rPr>
      </w:pPr>
    </w:p>
    <w:p>
      <w:pPr>
        <w:ind w:left="2720" w:hanging="275"/>
        <w:spacing w:after="0"/>
        <w:tabs>
          <w:tab w:leader="none" w:pos="2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impairment charges on long-lived assets and intangible assets;</w:t>
      </w:r>
    </w:p>
    <w:p>
      <w:pPr>
        <w:spacing w:after="0" w:line="87" w:lineRule="exact"/>
        <w:rPr>
          <w:rFonts w:ascii="Arial" w:cs="Arial" w:eastAsia="Arial" w:hAnsi="Arial"/>
          <w:sz w:val="12"/>
          <w:szCs w:val="12"/>
          <w:color w:val="auto"/>
        </w:rPr>
      </w:pPr>
    </w:p>
    <w:p>
      <w:pPr>
        <w:ind w:left="2720" w:right="1499" w:hanging="275"/>
        <w:spacing w:after="0" w:line="323" w:lineRule="auto"/>
        <w:tabs>
          <w:tab w:leader="none" w:pos="27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expenses and charges related to the litigation and other activities associated with our ethylene oxide sterilization facilities in Willowbrook, Illinois, Atlanta, Georgia and Santa Teresa, New Mexico, even though that litigation remains ongoing;</w:t>
      </w:r>
    </w:p>
    <w:p>
      <w:pPr>
        <w:spacing w:after="0" w:line="28" w:lineRule="exact"/>
        <w:rPr>
          <w:rFonts w:ascii="Arial" w:cs="Arial" w:eastAsia="Arial" w:hAnsi="Arial"/>
          <w:sz w:val="11"/>
          <w:szCs w:val="11"/>
          <w:color w:val="auto"/>
        </w:rPr>
      </w:pPr>
    </w:p>
    <w:p>
      <w:pPr>
        <w:ind w:left="2720" w:right="1059" w:hanging="275"/>
        <w:spacing w:after="0" w:line="276" w:lineRule="auto"/>
        <w:tabs>
          <w:tab w:leader="none" w:pos="2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the case of Adjusted EBITDA, interest expense or the cash requirements necessary to service interest or principal payments on our indebtedness; and</w:t>
      </w: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4047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720" w:right="1039" w:hanging="275"/>
        <w:spacing w:after="0" w:line="276" w:lineRule="auto"/>
        <w:tabs>
          <w:tab w:leader="none" w:pos="2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share-based compensation expense, which has been, and will continue to be for the foreseeable future, a significant recurring expense and an important part of our compensation strategy.</w:t>
      </w:r>
    </w:p>
    <w:p>
      <w:pPr>
        <w:spacing w:after="0" w:line="115" w:lineRule="exact"/>
        <w:rPr>
          <w:sz w:val="20"/>
          <w:szCs w:val="20"/>
          <w:color w:val="auto"/>
        </w:rPr>
      </w:pPr>
    </w:p>
    <w:p>
      <w:pPr>
        <w:ind w:left="2100" w:right="1079" w:firstLine="284"/>
        <w:spacing w:after="0" w:line="256" w:lineRule="auto"/>
        <w:rPr>
          <w:sz w:val="20"/>
          <w:szCs w:val="20"/>
          <w:color w:val="auto"/>
        </w:rPr>
      </w:pPr>
      <w:r>
        <w:rPr>
          <w:rFonts w:ascii="Arial" w:cs="Arial" w:eastAsia="Arial" w:hAnsi="Arial"/>
          <w:sz w:val="12"/>
          <w:szCs w:val="12"/>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128" w:lineRule="exact"/>
        <w:rPr>
          <w:sz w:val="20"/>
          <w:szCs w:val="20"/>
          <w:color w:val="auto"/>
        </w:rPr>
      </w:pPr>
    </w:p>
    <w:p>
      <w:pPr>
        <w:ind w:left="2100" w:right="979" w:firstLine="284"/>
        <w:spacing w:after="0" w:line="276" w:lineRule="auto"/>
        <w:rPr>
          <w:sz w:val="20"/>
          <w:szCs w:val="20"/>
          <w:color w:val="auto"/>
        </w:rPr>
      </w:pPr>
      <w:r>
        <w:rPr>
          <w:rFonts w:ascii="Arial" w:cs="Arial" w:eastAsia="Arial" w:hAnsi="Arial"/>
          <w:sz w:val="12"/>
          <w:szCs w:val="12"/>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2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4480" w:type="dxa"/>
            <w:vAlign w:val="bottom"/>
            <w:vMerge w:val="restart"/>
          </w:tcPr>
          <w:p>
            <w:pPr>
              <w:ind w:left="1500"/>
              <w:spacing w:after="0"/>
              <w:rPr>
                <w:sz w:val="20"/>
                <w:szCs w:val="20"/>
                <w:color w:val="auto"/>
              </w:rPr>
            </w:pPr>
            <w:r>
              <w:rPr>
                <w:rFonts w:ascii="Arial" w:cs="Arial" w:eastAsia="Arial" w:hAnsi="Arial"/>
                <w:sz w:val="10"/>
                <w:szCs w:val="10"/>
                <w:b w:val="1"/>
                <w:bCs w:val="1"/>
                <w:color w:val="auto"/>
              </w:rPr>
              <w:t>(in thousands)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0"/>
                <w:szCs w:val="10"/>
                <w:b w:val="1"/>
                <w:bCs w:val="1"/>
                <w:color w:val="auto"/>
                <w:w w:val="86"/>
              </w:rPr>
              <w:t>Year Ended December 31,</w:t>
            </w: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44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760" w:type="dxa"/>
            <w:vAlign w:val="bottom"/>
            <w:tcBorders>
              <w:top w:val="single" w:sz="8" w:color="auto"/>
            </w:tcBorders>
            <w:gridSpan w:val="3"/>
          </w:tcPr>
          <w:p>
            <w:pPr>
              <w:jc w:val="right"/>
              <w:ind w:right="80"/>
              <w:spacing w:after="0" w:line="88"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rPr>
              <w:t>2018</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60" w:type="dxa"/>
            <w:vAlign w:val="bottom"/>
            <w:tcBorders>
              <w:top w:val="single" w:sz="8" w:color="CCEEFF"/>
            </w:tcBorders>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Net income (loss)</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5"/>
                <w:szCs w:val="5"/>
                <w:color w:val="auto"/>
                <w:w w:val="70"/>
              </w:rPr>
              <w:t>$</w:t>
            </w:r>
          </w:p>
        </w:tc>
        <w:tc>
          <w:tcPr>
            <w:tcW w:w="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0"/>
              </w:rPr>
              <w:t>$ (20,425)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(5,876)</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Amortization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80,048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79,906</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Impairment of long-lived assets and intangible assets</w:t>
            </w:r>
            <w:r>
              <w:rPr>
                <w:rFonts w:ascii="Arial" w:cs="Arial" w:eastAsia="Arial" w:hAnsi="Arial"/>
                <w:sz w:val="10"/>
                <w:szCs w:val="10"/>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5,792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85,067</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Gain on sale of Medical Isotopes business</w:t>
            </w:r>
            <w:r>
              <w:rPr>
                <w:rFonts w:ascii="Arial" w:cs="Arial" w:eastAsia="Arial" w:hAnsi="Arial"/>
                <w:sz w:val="10"/>
                <w:szCs w:val="10"/>
                <w:color w:val="auto"/>
              </w:rPr>
              <w:t>(b)</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(95,910)</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r>
              <w:rPr>
                <w:rFonts w:ascii="Arial" w:cs="Arial" w:eastAsia="Arial" w:hAnsi="Arial"/>
                <w:sz w:val="10"/>
                <w:szCs w:val="10"/>
                <w:color w:val="auto"/>
              </w:rPr>
              <w:t>(c)</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16,882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6,943</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Capital restructuring bonuses</w:t>
            </w:r>
            <w:r>
              <w:rPr>
                <w:rFonts w:ascii="Arial" w:cs="Arial" w:eastAsia="Arial" w:hAnsi="Arial"/>
                <w:sz w:val="10"/>
                <w:szCs w:val="10"/>
                <w:color w:val="auto"/>
              </w:rPr>
              <w:t>(d)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2,040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(Gain) loss on foreign currency and embedded derivatives</w:t>
            </w:r>
            <w:r>
              <w:rPr>
                <w:rFonts w:ascii="Arial" w:cs="Arial" w:eastAsia="Arial" w:hAnsi="Arial"/>
                <w:sz w:val="10"/>
                <w:szCs w:val="10"/>
                <w:color w:val="auto"/>
              </w:rPr>
              <w:t>(e)</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2,662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14,095</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Acquisition and divestiture related charges, net</w:t>
            </w:r>
            <w:r>
              <w:rPr>
                <w:rFonts w:ascii="Arial" w:cs="Arial" w:eastAsia="Arial" w:hAnsi="Arial"/>
                <w:sz w:val="10"/>
                <w:szCs w:val="10"/>
                <w:color w:val="auto"/>
              </w:rPr>
              <w:t>(f)</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2"/>
                <w:szCs w:val="12"/>
                <w:color w:val="auto"/>
              </w:rPr>
              <w:t>(318)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1,168</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Business optimization project expenses</w:t>
            </w:r>
            <w:r>
              <w:rPr>
                <w:rFonts w:ascii="Arial" w:cs="Arial" w:eastAsia="Arial" w:hAnsi="Arial"/>
                <w:sz w:val="10"/>
                <w:szCs w:val="10"/>
                <w:color w:val="auto"/>
              </w:rPr>
              <w:t>(g)</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4,195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8,805</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Plant closure expense</w:t>
            </w:r>
            <w:r>
              <w:rPr>
                <w:rFonts w:ascii="Arial" w:cs="Arial" w:eastAsia="Arial" w:hAnsi="Arial"/>
                <w:sz w:val="10"/>
                <w:szCs w:val="10"/>
                <w:color w:val="auto"/>
              </w:rPr>
              <w:t>(h)</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1,712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 on extinguishment of debt</w:t>
            </w:r>
            <w:r>
              <w:rPr>
                <w:rFonts w:ascii="Arial" w:cs="Arial" w:eastAsia="Arial" w:hAnsi="Arial"/>
                <w:sz w:val="10"/>
                <w:szCs w:val="10"/>
                <w:color w:val="auto"/>
              </w:rPr>
              <w:t>(i)</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30,168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Professional services relating to EO sterilization facilities</w:t>
            </w:r>
            <w:r>
              <w:rPr>
                <w:rFonts w:ascii="Arial" w:cs="Arial" w:eastAsia="Arial" w:hAnsi="Arial"/>
                <w:sz w:val="10"/>
                <w:szCs w:val="10"/>
                <w:color w:val="auto"/>
              </w:rPr>
              <w:t>(j)</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11,216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4,739</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Accretion of asset retirement obligation</w:t>
            </w:r>
            <w:r>
              <w:rPr>
                <w:rFonts w:ascii="Arial" w:cs="Arial" w:eastAsia="Arial" w:hAnsi="Arial"/>
                <w:sz w:val="10"/>
                <w:szCs w:val="10"/>
                <w:color w:val="auto"/>
              </w:rPr>
              <w:t>(k)</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2,051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1,366</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COVID-19 expenses</w:t>
            </w:r>
            <w:r>
              <w:rPr>
                <w:rFonts w:ascii="Arial" w:cs="Arial" w:eastAsia="Arial" w:hAnsi="Arial"/>
                <w:sz w:val="10"/>
                <w:szCs w:val="10"/>
                <w:color w:val="auto"/>
              </w:rPr>
              <w:t>(l)</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Income tax benefit associated with pre-tax adjustments</w:t>
            </w:r>
            <w:r>
              <w:rPr>
                <w:rFonts w:ascii="Arial" w:cs="Arial" w:eastAsia="Arial" w:hAnsi="Arial"/>
                <w:sz w:val="10"/>
                <w:szCs w:val="10"/>
                <w:color w:val="auto"/>
              </w:rPr>
              <w:t>(m)</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3"/>
              </w:rPr>
              <w:t>(24,988)</w:t>
            </w:r>
          </w:p>
        </w:tc>
        <w:tc>
          <w:tcPr>
            <w:tcW w:w="0" w:type="dxa"/>
            <w:vAlign w:val="bottom"/>
          </w:tcPr>
          <w:p>
            <w:pPr>
              <w:spacing w:after="0"/>
              <w:rPr>
                <w:sz w:val="1"/>
                <w:szCs w:val="1"/>
                <w:color w:val="auto"/>
              </w:rPr>
            </w:pPr>
          </w:p>
        </w:tc>
      </w:tr>
      <w:tr>
        <w:trPr>
          <w:trHeight w:val="142"/>
        </w:trPr>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Adjusted Net Income</w:t>
            </w: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100,386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75,315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Interest expense, net</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157,729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143,326</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Depreciation</w:t>
            </w:r>
            <w:r>
              <w:rPr>
                <w:rFonts w:ascii="Arial" w:cs="Arial" w:eastAsia="Arial" w:hAnsi="Arial"/>
                <w:sz w:val="10"/>
                <w:szCs w:val="10"/>
                <w:color w:val="auto"/>
              </w:rPr>
              <w:t>(n)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2"/>
                <w:szCs w:val="12"/>
                <w:color w:val="auto"/>
              </w:rPr>
              <w:t>66,671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66,910</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Income tax provision applicable to Adjusted Net Income</w:t>
            </w:r>
            <w:r>
              <w:rPr>
                <w:rFonts w:ascii="Arial" w:cs="Arial" w:eastAsia="Arial" w:hAnsi="Arial"/>
                <w:sz w:val="10"/>
                <w:szCs w:val="10"/>
                <w:color w:val="auto"/>
              </w:rPr>
              <w:t>(o)</w:t>
            </w:r>
          </w:p>
        </w:tc>
        <w:tc>
          <w:tcPr>
            <w:tcW w:w="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Adjusted EBITDA</w:t>
            </w:r>
          </w:p>
        </w:tc>
        <w:tc>
          <w:tcPr>
            <w:tcW w:w="340" w:type="dxa"/>
            <w:vAlign w:val="bottom"/>
            <w:gridSpan w:val="2"/>
          </w:tcPr>
          <w:p>
            <w:pPr>
              <w:jc w:val="right"/>
              <w:ind w:right="244"/>
              <w:spacing w:after="0"/>
              <w:rPr>
                <w:sz w:val="20"/>
                <w:szCs w:val="20"/>
                <w:color w:val="auto"/>
              </w:rPr>
            </w:pPr>
            <w:r>
              <w:rPr>
                <w:rFonts w:ascii="Arial" w:cs="Arial" w:eastAsia="Arial" w:hAnsi="Arial"/>
                <w:sz w:val="10"/>
                <w:szCs w:val="10"/>
                <w:color w:val="auto"/>
                <w:w w:val="71"/>
              </w:rPr>
              <w:t>$</w:t>
            </w:r>
          </w:p>
        </w:tc>
        <w:tc>
          <w:tcPr>
            <w:tcW w:w="880" w:type="dxa"/>
            <w:vAlign w:val="bottom"/>
            <w:gridSpan w:val="4"/>
          </w:tcPr>
          <w:p>
            <w:pPr>
              <w:jc w:val="right"/>
              <w:ind w:right="12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379,932</w:t>
            </w:r>
          </w:p>
        </w:tc>
        <w:tc>
          <w:tcPr>
            <w:tcW w:w="14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340,637</w:t>
            </w:r>
          </w:p>
        </w:tc>
        <w:tc>
          <w:tcPr>
            <w:tcW w:w="0" w:type="dxa"/>
            <w:vAlign w:val="bottom"/>
          </w:tcPr>
          <w:p>
            <w:pPr>
              <w:spacing w:after="0"/>
              <w:rPr>
                <w:sz w:val="1"/>
                <w:szCs w:val="1"/>
                <w:color w:val="auto"/>
              </w:rPr>
            </w:pPr>
          </w:p>
        </w:tc>
      </w:tr>
      <w:tr>
        <w:trPr>
          <w:trHeight w:val="99"/>
        </w:trPr>
        <w:tc>
          <w:tcPr>
            <w:tcW w:w="78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380" w:right="1339" w:hanging="286"/>
        <w:spacing w:after="0" w:line="258" w:lineRule="auto"/>
        <w:tabs>
          <w:tab w:leader="none" w:pos="23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impairment charges related to the decision to not reopen the Willowbrook facility in September 2019. For 2018, represents impairment charges associated with the withdrawal of the GA-MURR project.</w:t>
      </w:r>
    </w:p>
    <w:p>
      <w:pPr>
        <w:ind w:left="2380" w:hanging="286"/>
        <w:spacing w:after="0"/>
        <w:tabs>
          <w:tab w:leader="none" w:pos="23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the gain on the divestiture of the Medical Isotopes business in July 2018.</w:t>
      </w:r>
    </w:p>
    <w:p>
      <w:pPr>
        <w:spacing w:after="0" w:line="6" w:lineRule="exact"/>
        <w:rPr>
          <w:rFonts w:ascii="Arial" w:cs="Arial" w:eastAsia="Arial" w:hAnsi="Arial"/>
          <w:sz w:val="12"/>
          <w:szCs w:val="12"/>
          <w:color w:val="auto"/>
        </w:rPr>
      </w:pPr>
    </w:p>
    <w:p>
      <w:pPr>
        <w:ind w:left="2380" w:right="1039" w:hanging="286"/>
        <w:spacing w:after="0" w:line="273" w:lineRule="auto"/>
        <w:tabs>
          <w:tab w:leader="none" w:pos="23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non-cash share-based compensation expense. 2019 also includes $10.0 million of one-time cash share-based compensation expense related to the pre-IPO Class C Units, which vested in the third quarter of 2019. See Note 16. Share-Based Compensation in the notes to our consolidated financial statements incorporated by reference from Sotera Health’s 2020 10-K.</w:t>
      </w:r>
    </w:p>
    <w:p>
      <w:pPr>
        <w:ind w:left="2380" w:hanging="286"/>
        <w:spacing w:after="0"/>
        <w:tabs>
          <w:tab w:leader="none" w:pos="23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Represents cash bonuses for members of management relating to the November 2020 IPO and the December 2019 refinancing.</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229235</wp:posOffset>
            </wp:positionV>
            <wp:extent cx="4670425" cy="2938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70425" cy="2938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2380" w:right="1319" w:hanging="286"/>
        <w:spacing w:after="0" w:line="255"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2"/>
          <w:szCs w:val="12"/>
          <w:color w:val="auto"/>
        </w:rPr>
      </w:pPr>
    </w:p>
    <w:p>
      <w:pPr>
        <w:ind w:left="2380" w:right="109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(i) certain direct and incremental costs related to the acquisitions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2"/>
          <w:szCs w:val="12"/>
          <w:color w:val="auto"/>
        </w:rPr>
      </w:pPr>
    </w:p>
    <w:p>
      <w:pPr>
        <w:ind w:left="2380" w:right="101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w:t>
      </w:r>
    </w:p>
    <w:p>
      <w:pPr>
        <w:spacing w:after="0" w:line="1" w:lineRule="exact"/>
        <w:rPr>
          <w:rFonts w:ascii="Arial" w:cs="Arial" w:eastAsia="Arial" w:hAnsi="Arial"/>
          <w:sz w:val="12"/>
          <w:szCs w:val="12"/>
          <w:color w:val="auto"/>
        </w:rPr>
      </w:pPr>
    </w:p>
    <w:p>
      <w:pPr>
        <w:ind w:left="2380" w:right="105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professional fees, severance and other payroll costs, and other costs including ongoing lease and utility expenses associated with the closure of the Willowbrook, Illinois facility.</w:t>
      </w:r>
    </w:p>
    <w:p>
      <w:pPr>
        <w:jc w:val="both"/>
        <w:ind w:left="2380" w:right="1119" w:hanging="286"/>
        <w:spacing w:after="0" w:line="273" w:lineRule="auto"/>
        <w:tabs>
          <w:tab w:leader="none" w:pos="23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Represents expenses incurred in connection with the refinancing of our debt capital structure in December 2019 and paydown of debt with the proceeds from our IPO, including accelerated amortization of prior debt issuance and discount costs, premiums paid in connection with early extinguishment and debt issuance and discount costs incurred for the new debt.</w:t>
      </w:r>
    </w:p>
    <w:p>
      <w:pPr>
        <w:ind w:left="2380" w:right="113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professional fees related to litigation associated with our EO sterilization facilities and other related professional fees. See Item 3.” Legal Proceedings” incorporated by reference from Sotera Health’s 2020 10-K.</w:t>
      </w:r>
    </w:p>
    <w:p>
      <w:pPr>
        <w:jc w:val="both"/>
        <w:ind w:left="2380" w:right="999" w:hanging="286"/>
        <w:spacing w:after="0" w:line="273" w:lineRule="auto"/>
        <w:tabs>
          <w:tab w:leader="none" w:pos="23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2380" w:right="97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non-recurring costs associated with the COVID-19 pandemic, including donations to related charitable causes and special bonuses for front-line personnel working on-site during lockdown periods.</w:t>
      </w:r>
    </w:p>
    <w:p>
      <w:pPr>
        <w:ind w:left="2380" w:right="1079" w:hanging="286"/>
        <w:spacing w:after="0" w:line="25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ind w:left="2380" w:hanging="286"/>
        <w:spacing w:after="0"/>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depreciation of Co-60 held at gamma irradiation sites.</w:t>
      </w:r>
    </w:p>
    <w:p>
      <w:pPr>
        <w:spacing w:after="0" w:line="6" w:lineRule="exact"/>
        <w:rPr>
          <w:rFonts w:ascii="Arial" w:cs="Arial" w:eastAsia="Arial" w:hAnsi="Arial"/>
          <w:sz w:val="12"/>
          <w:szCs w:val="12"/>
          <w:color w:val="auto"/>
        </w:rPr>
      </w:pPr>
    </w:p>
    <w:p>
      <w:pPr>
        <w:ind w:left="2380" w:right="999" w:hanging="286"/>
        <w:spacing w:after="0" w:line="260" w:lineRule="auto"/>
        <w:tabs>
          <w:tab w:leader="none" w:pos="23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i w:val="1"/>
          <w:iCs w:val="1"/>
          <w:color w:val="auto"/>
        </w:rPr>
        <w:t>Investing in our common stock involves a high degree of risk. You should carefully consider the following risks together will the other information included or incorporated by reference in this prospectus before deciding to invest in our common stock, including the risks described under “Risk Factors” in Part I, Item. 1A of Sotera Health’s 2020 10-K.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Company</w:t>
      </w:r>
    </w:p>
    <w:p>
      <w:pPr>
        <w:spacing w:after="0" w:line="82" w:lineRule="exact"/>
        <w:rPr>
          <w:sz w:val="20"/>
          <w:szCs w:val="20"/>
          <w:color w:val="auto"/>
        </w:rPr>
      </w:pPr>
    </w:p>
    <w:p>
      <w:pPr>
        <w:ind w:left="1980" w:right="1019"/>
        <w:spacing w:after="0" w:line="340" w:lineRule="auto"/>
        <w:rPr>
          <w:sz w:val="20"/>
          <w:szCs w:val="20"/>
          <w:color w:val="auto"/>
        </w:rPr>
      </w:pPr>
      <w:r>
        <w:rPr>
          <w:rFonts w:ascii="Arial" w:cs="Arial" w:eastAsia="Arial" w:hAnsi="Arial"/>
          <w:sz w:val="10"/>
          <w:szCs w:val="10"/>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5"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15"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We source a substantial portion of our Co-60 supply from three nuclear reactor operators in Canada and Russia under contracts that extend to between 2024 and 2064. See Item 1. “Business—Our Businesses—Nordion—Nuclear Reactor Operators” in Sotera Health’s 2020 10-K, which is incorporated herein by reference.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17"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 business with Russian entities. Any sanctions or countermeasures could have a material adverse effect on our business, prospects, financial condition or results of operations.</w:t>
      </w:r>
    </w:p>
    <w:p>
      <w:pPr>
        <w:spacing w:after="0" w:line="113"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i w:val="1"/>
          <w:iCs w:val="1"/>
          <w:color w:val="auto"/>
        </w:rPr>
        <w:t>Industry trends could impact the demand for our products and services and could have a material adverse effect on our business.</w:t>
      </w:r>
    </w:p>
    <w:p>
      <w:pPr>
        <w:spacing w:after="0" w:line="7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19" w:lineRule="exact"/>
        <w:rPr>
          <w:sz w:val="20"/>
          <w:szCs w:val="20"/>
          <w:color w:val="auto"/>
        </w:rPr>
      </w:pPr>
    </w:p>
    <w:p>
      <w:pPr>
        <w:ind w:left="1980" w:right="859" w:firstLine="294"/>
        <w:spacing w:after="0" w:line="310" w:lineRule="auto"/>
        <w:rPr>
          <w:sz w:val="20"/>
          <w:szCs w:val="20"/>
          <w:color w:val="auto"/>
        </w:rPr>
      </w:pPr>
      <w:r>
        <w:rPr>
          <w:rFonts w:ascii="Arial" w:cs="Arial" w:eastAsia="Arial" w:hAnsi="Arial"/>
          <w:sz w:val="10"/>
          <w:szCs w:val="10"/>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Changes in environmental, health and safety regulations or preferences may negatively impact our business.</w:t>
      </w:r>
    </w:p>
    <w:p>
      <w:pPr>
        <w:spacing w:after="0" w:line="78"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Reconfiguring a gamma irradiation or EO processing plant so that it is suitable for a different sterilization technology, in response to changes in demand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18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43"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11"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2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Potentially hazardous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Any incident at any of our EO or gamma facilities that causes harm to workers or others or the interruption of normal operations at such facility could result in substantial liability to us. We are currently the subject of lawsuits alleging that purported EO emissions from certain of our current and former facilities have resulted in</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toxicological or health-related impacts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 We are currently defending certain litigation, and we are likely to be subject to additional litigation in the future” and “—Potential health risks associated with the use of EO and Co-60 may subject us to future liability claims.”</w:t>
      </w:r>
    </w:p>
    <w:p>
      <w:pPr>
        <w:spacing w:after="0" w:line="113"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3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impacts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189"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4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13"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Potential health risks associated with the use of EO may subject us to future liability claims and other adverse effects.</w:t>
      </w:r>
    </w:p>
    <w:p>
      <w:pPr>
        <w:spacing w:after="0" w:line="78"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19" w:lineRule="exact"/>
        <w:rPr>
          <w:sz w:val="20"/>
          <w:szCs w:val="20"/>
          <w:color w:val="auto"/>
        </w:rPr>
      </w:pPr>
    </w:p>
    <w:p>
      <w:pPr>
        <w:ind w:left="1980" w:right="899" w:firstLine="294"/>
        <w:spacing w:after="0" w:line="306" w:lineRule="auto"/>
        <w:rPr>
          <w:sz w:val="20"/>
          <w:szCs w:val="20"/>
          <w:color w:val="auto"/>
        </w:rPr>
      </w:pPr>
      <w:r>
        <w:rPr>
          <w:rFonts w:ascii="Arial" w:cs="Arial" w:eastAsia="Arial" w:hAnsi="Arial"/>
          <w:sz w:val="10"/>
          <w:szCs w:val="10"/>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these claims. See related Risk Factors“—We are currently defending certain litigation, and we are likely to be subject to additional litigation in the future,” Item 3. “Legal Proceedings,” and Note 20. “Commitments and Contingencies” to our consolidated financial statements in Sotera Health’s 2020 10-K, which is incorporated herein by reference. It is likely that we will be subject to other claims by or on behalf of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251"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are currently defending certain litigation, and we are likely to be subject to additional litigation in the future.</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are currently the subject of tort lawsuits alleging personal injury by purported exposure to emissions and releases of EO from our facilities in Willowbrook and Atlanta. Additionally, we are defendants in a lawsuit by certain employees of a contract sterilization customer in Georgia who allege personal injury by purported workplace exposure to EO. We are also defendants in lawsuits alleging that our Atlanta facility has devalued and harmed plaintiffs’ use of real properties they own in Smyrna, Georgia and caused other damages. Additional personal injury and property devaluation claims have been threatened. We are also defendants in a lawsuit brought by the State of New Mexico, ex rel. Hector Balderas, Attorney General alleging that emissions of EO from our Santa Teresa facility constitute a public nuisance, have materially contributed to increased health risks suffered by residents in the area, and that injunctive relief should be awarded requiring us to cease any and all uncontrolled emissions or releases of EO from the Santa Teresa facility, including by making certain modifications to sterilization processes at the facility.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Item 3. “Legal Proceedings” and Note 20, “Commitments and Contingencies” to our consolidated financial statements in Sotera Health’s 2020 10-K, which is incorporated herein by reference, for more detail on our pending litigation.</w:t>
      </w:r>
    </w:p>
    <w:p>
      <w:pPr>
        <w:spacing w:after="0" w:line="116"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 by or on behalf of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0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Our business is highly competitive, and if we fail to compete successfully, our business, prospects, financial condition or results of operations may be adversely affected.</w:t>
      </w:r>
    </w:p>
    <w:p>
      <w:pPr>
        <w:spacing w:after="0" w:line="4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1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15" w:lineRule="exact"/>
        <w:rPr>
          <w:sz w:val="20"/>
          <w:szCs w:val="20"/>
          <w:color w:val="auto"/>
        </w:rPr>
      </w:pPr>
    </w:p>
    <w:p>
      <w:pPr>
        <w:jc w:val="both"/>
        <w:ind w:left="1980" w:right="859" w:firstLine="294"/>
        <w:spacing w:after="0" w:line="340" w:lineRule="auto"/>
        <w:rPr>
          <w:sz w:val="20"/>
          <w:szCs w:val="20"/>
          <w:color w:val="auto"/>
        </w:rPr>
      </w:pPr>
      <w:r>
        <w:rPr>
          <w:rFonts w:ascii="Arial" w:cs="Arial" w:eastAsia="Arial" w:hAnsi="Arial"/>
          <w:sz w:val="10"/>
          <w:szCs w:val="10"/>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59"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Certain of our long-term contracts include variable price clauses and are subject to market changes, which could have a material adverse effect on our business.</w:t>
      </w:r>
    </w:p>
    <w:p>
      <w:pPr>
        <w:spacing w:after="0" w:line="43"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187"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43" w:lineRule="exact"/>
        <w:rPr>
          <w:sz w:val="20"/>
          <w:szCs w:val="20"/>
          <w:color w:val="auto"/>
        </w:rPr>
      </w:pPr>
    </w:p>
    <w:p>
      <w:pPr>
        <w:ind w:left="1980" w:right="859" w:firstLine="294"/>
        <w:spacing w:after="0" w:line="275" w:lineRule="auto"/>
        <w:rPr>
          <w:sz w:val="20"/>
          <w:szCs w:val="20"/>
          <w:color w:val="auto"/>
        </w:rPr>
      </w:pPr>
      <w:r>
        <w:rPr>
          <w:rFonts w:ascii="Arial" w:cs="Arial" w:eastAsia="Arial" w:hAnsi="Arial"/>
          <w:sz w:val="11"/>
          <w:szCs w:val="11"/>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23"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1019"/>
        <w:spacing w:after="0" w:line="323" w:lineRule="auto"/>
        <w:rPr>
          <w:sz w:val="20"/>
          <w:szCs w:val="20"/>
          <w:color w:val="auto"/>
        </w:rPr>
      </w:pPr>
      <w:r>
        <w:rPr>
          <w:rFonts w:ascii="Arial" w:cs="Arial" w:eastAsia="Arial" w:hAnsi="Arial"/>
          <w:sz w:val="11"/>
          <w:szCs w:val="11"/>
          <w:color w:val="auto"/>
        </w:rPr>
        <w:t>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164" w:lineRule="exact"/>
        <w:rPr>
          <w:sz w:val="20"/>
          <w:szCs w:val="20"/>
          <w:color w:val="auto"/>
        </w:rPr>
      </w:pPr>
    </w:p>
    <w:p>
      <w:pPr>
        <w:ind w:left="1980" w:right="879"/>
        <w:spacing w:after="0" w:line="340" w:lineRule="auto"/>
        <w:rPr>
          <w:sz w:val="20"/>
          <w:szCs w:val="20"/>
          <w:color w:val="auto"/>
        </w:rPr>
      </w:pPr>
      <w:r>
        <w:rPr>
          <w:rFonts w:ascii="Arial" w:cs="Arial" w:eastAsia="Arial" w:hAnsi="Arial"/>
          <w:sz w:val="10"/>
          <w:szCs w:val="10"/>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15"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Our supplier maintains a FIFRA registration for the EO they sell in the United States that is used to sterilize or reduce the viable microorganisms on a listed group of products, including medical devices, pharmaceutical products, cosmetics, and spice products. The USEPA is in the process of reviewing EO’s FIFRA re-registration eligibility in accordance with the provisions of FIFRA. In November 2020, the USEPA released a draft risk assessment for public comment regarding the re-registration review, stating that mitigation measures are necessary to protect the health of workers at facilities that use EO and surrounding communities. The next step in the FIFRA re-registration process would be to issue a proposed interim decision, which is used to outline the potential risk management options to address any potential risks of concern. As a condition of continued registration, the USEPA is likely to require enhancements to the processes and equipment for use of EO used for the listed applications.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25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22"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13"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28"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See Item 1. “Business—Government Regulation and Environmental Matters” for more information on the regulatory requirements of our businesses.</w:t>
      </w:r>
    </w:p>
    <w:p>
      <w:pPr>
        <w:spacing w:after="0" w:line="115"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17"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included in Sotera Health’s 2020 10-K, which is incorporated herein by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1980" w:right="1099"/>
        <w:spacing w:after="0" w:line="263" w:lineRule="auto"/>
        <w:rPr>
          <w:sz w:val="20"/>
          <w:szCs w:val="20"/>
          <w:color w:val="auto"/>
        </w:rPr>
      </w:pPr>
      <w:r>
        <w:rPr>
          <w:rFonts w:ascii="Arial" w:cs="Arial" w:eastAsia="Arial" w:hAnsi="Arial"/>
          <w:sz w:val="12"/>
          <w:szCs w:val="12"/>
          <w:color w:val="auto"/>
        </w:rPr>
        <w:t>reference, and related Risk Factor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94" w:lineRule="exact"/>
        <w:rPr>
          <w:sz w:val="20"/>
          <w:szCs w:val="20"/>
          <w:color w:val="auto"/>
        </w:rPr>
      </w:pPr>
    </w:p>
    <w:p>
      <w:pPr>
        <w:ind w:left="1980" w:right="919"/>
        <w:spacing w:after="0" w:line="375" w:lineRule="auto"/>
        <w:rPr>
          <w:sz w:val="20"/>
          <w:szCs w:val="20"/>
          <w:color w:val="auto"/>
        </w:rPr>
      </w:pPr>
      <w:r>
        <w:rPr>
          <w:rFonts w:ascii="Arial" w:cs="Arial" w:eastAsia="Arial" w:hAnsi="Arial"/>
          <w:sz w:val="10"/>
          <w:szCs w:val="10"/>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In addition to the other risks described or incorporated by reference herein,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1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19"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related Risk Factor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28"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3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While we maintain insurance policies covering, among other things, physical damage, business interruptions and liability resulting from our services in amounts that we believe are customary for our industries, our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insurance coverage may be inadequate or unavailable and we could incur uninsured losses and liabilities arising from such events.</w:t>
      </w:r>
    </w:p>
    <w:p>
      <w:pPr>
        <w:spacing w:after="0" w:line="222"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The COVID-19 pandemic has had and could continue to have adverse effects on our business, financial condition and results of operations, which could be material.</w:t>
      </w:r>
    </w:p>
    <w:p>
      <w:pPr>
        <w:spacing w:after="0" w:line="4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including vaccination efforts,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related Risk Factor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88" w:lineRule="exact"/>
        <w:rPr>
          <w:sz w:val="20"/>
          <w:szCs w:val="20"/>
          <w:color w:val="auto"/>
        </w:rPr>
      </w:pPr>
    </w:p>
    <w:p>
      <w:pPr>
        <w:ind w:left="1980" w:right="1139"/>
        <w:spacing w:after="0" w:line="323" w:lineRule="auto"/>
        <w:rPr>
          <w:sz w:val="20"/>
          <w:szCs w:val="20"/>
          <w:color w:val="auto"/>
        </w:rPr>
      </w:pPr>
      <w:r>
        <w:rPr>
          <w:rFonts w:ascii="Arial" w:cs="Arial" w:eastAsia="Arial" w:hAnsi="Arial"/>
          <w:sz w:val="11"/>
          <w:szCs w:val="11"/>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20"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i w:val="1"/>
          <w:iCs w:val="1"/>
          <w:color w:val="auto"/>
        </w:rPr>
        <w:t>We occupy many of our facilities under long-term leases, and we may be unable to renew our leases at the end of their terms.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facilities, including many of our EO facilities and some of our gamma facilities, are located on leased premises. The terms of leases for our facilities vary in length and expire over a period ranging from 2021 to 2040, most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189"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b w:val="1"/>
          <w:bCs w:val="1"/>
          <w:i w:val="1"/>
          <w:iCs w:val="1"/>
          <w:color w:val="auto"/>
        </w:rPr>
        <w:t>We conduct sales and distribution operations on a worldwide basis and are subject to a variety of risks associated with doing business outside the United States.</w:t>
      </w:r>
    </w:p>
    <w:p>
      <w:pPr>
        <w:spacing w:after="0" w:line="43"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59" w:lineRule="exact"/>
        <w:rPr>
          <w:sz w:val="20"/>
          <w:szCs w:val="20"/>
          <w:color w:val="auto"/>
        </w:rPr>
      </w:pPr>
    </w:p>
    <w:p>
      <w:pPr>
        <w:ind w:left="2620" w:right="979" w:hanging="288"/>
        <w:spacing w:after="0" w:line="263"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59" w:lineRule="exact"/>
        <w:rPr>
          <w:rFonts w:ascii="Arial" w:cs="Arial" w:eastAsia="Arial" w:hAnsi="Arial"/>
          <w:sz w:val="12"/>
          <w:szCs w:val="12"/>
          <w:color w:val="auto"/>
        </w:rPr>
      </w:pPr>
    </w:p>
    <w:p>
      <w:pPr>
        <w:ind w:left="2620" w:right="125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general economic, social and political conditions in countries where we operate, including international and U.S. trade policies and currency exchange rate fluctuations;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tax and other laws that restrict our ability to use tax credits, offset gains or repatriate funds;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0"/>
          <w:szCs w:val="10"/>
          <w:color w:val="auto"/>
        </w:rPr>
      </w:pPr>
      <w:r>
        <w:rPr>
          <w:rFonts w:ascii="Arial" w:cs="Arial" w:eastAsia="Arial" w:hAnsi="Arial"/>
          <w:sz w:val="10"/>
          <w:szCs w:val="10"/>
          <w:color w:val="auto"/>
        </w:rPr>
        <w:t>currency restrictions, transfer pricing regulations and adverse tax consequences, which may affect our ability to transfer capital and profits;</w:t>
      </w:r>
    </w:p>
    <w:p>
      <w:pPr>
        <w:spacing w:after="0" w:line="110" w:lineRule="exact"/>
        <w:rPr>
          <w:rFonts w:ascii="Arial" w:cs="Arial" w:eastAsia="Arial" w:hAnsi="Arial"/>
          <w:sz w:val="10"/>
          <w:szCs w:val="1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inflation, deflation and stagflation in any country in which we have a manufacturing facility;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foreign customers with longer payment cycles than customers in the United States;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imposition of or increases in customs duties and other tariffs.</w:t>
      </w:r>
    </w:p>
    <w:p>
      <w:pPr>
        <w:spacing w:after="0" w:line="150"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16"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28"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adversely affected by global and regional economic and political instability.</w:t>
      </w:r>
    </w:p>
    <w:p>
      <w:pPr>
        <w:spacing w:after="0" w:line="78"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43"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We are subject to significant regulatory oversight of our import and export operations due to the nature of some of our product offerings.</w:t>
      </w:r>
    </w:p>
    <w:p>
      <w:pPr>
        <w:spacing w:after="0" w:line="9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which could harm our business, financial condition or results of operations.</w:t>
      </w:r>
    </w:p>
    <w:p>
      <w:pPr>
        <w:spacing w:after="0" w:line="115"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business may be subject to system interruptions, cyber security breaches and unauthorized data disclosures.</w:t>
      </w:r>
    </w:p>
    <w:p>
      <w:pPr>
        <w:spacing w:after="0" w:line="7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187" w:lineRule="exact"/>
        <w:rPr>
          <w:sz w:val="20"/>
          <w:szCs w:val="20"/>
          <w:color w:val="auto"/>
        </w:rPr>
      </w:pPr>
    </w:p>
    <w:p>
      <w:pPr>
        <w:ind w:left="1980" w:right="999"/>
        <w:spacing w:after="0" w:line="375" w:lineRule="auto"/>
        <w:rPr>
          <w:sz w:val="20"/>
          <w:szCs w:val="20"/>
          <w:color w:val="auto"/>
        </w:rPr>
      </w:pPr>
      <w:r>
        <w:rPr>
          <w:rFonts w:ascii="Arial" w:cs="Arial" w:eastAsia="Arial" w:hAnsi="Arial"/>
          <w:sz w:val="10"/>
          <w:szCs w:val="10"/>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11"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29" w:lineRule="exact"/>
        <w:rPr>
          <w:sz w:val="20"/>
          <w:szCs w:val="20"/>
          <w:color w:val="auto"/>
        </w:rPr>
      </w:pPr>
    </w:p>
    <w:p>
      <w:pPr>
        <w:ind w:left="2620" w:right="979" w:hanging="288"/>
        <w:spacing w:after="0" w:line="276"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successfully integrate acquired facilities, companies, products, systems or personnel into our existing business, especially with respect to businesses or operations that are outside of the United States;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minimize any potential interruption to our ongoing business;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successfully enter categories and markets in which we may have limited or no prior experience;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achieve expected synergies and obtain the desired financial or strategic benefits;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detect and address any financial or control deficiencies of the acquired company;</w:t>
      </w:r>
    </w:p>
    <w:p>
      <w:pPr>
        <w:spacing w:after="0" w:line="87" w:lineRule="exact"/>
        <w:rPr>
          <w:rFonts w:ascii="Arial" w:cs="Arial" w:eastAsia="Arial" w:hAnsi="Arial"/>
          <w:sz w:val="12"/>
          <w:szCs w:val="12"/>
          <w:color w:val="auto"/>
        </w:rPr>
      </w:pPr>
    </w:p>
    <w:p>
      <w:pPr>
        <w:ind w:left="2620" w:right="1359" w:hanging="288"/>
        <w:spacing w:after="0" w:line="276"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retain key relationships with employees, customers, partners and suppliers of acquired companies as well as our own employees, customers, partners and suppliers;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maintain uniform compliance standards, controls, procedures and policies throughout acquired companies.</w:t>
      </w:r>
    </w:p>
    <w:p>
      <w:pPr>
        <w:spacing w:after="0" w:line="150"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97"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0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24" w:lineRule="exact"/>
        <w:rPr>
          <w:sz w:val="20"/>
          <w:szCs w:val="20"/>
          <w:color w:val="auto"/>
        </w:rPr>
      </w:pPr>
    </w:p>
    <w:p>
      <w:pPr>
        <w:ind w:left="1980" w:right="1039" w:firstLine="294"/>
        <w:spacing w:after="0" w:line="256" w:lineRule="auto"/>
        <w:rPr>
          <w:sz w:val="20"/>
          <w:szCs w:val="20"/>
          <w:color w:val="auto"/>
        </w:rPr>
      </w:pPr>
      <w:r>
        <w:rPr>
          <w:rFonts w:ascii="Arial" w:cs="Arial" w:eastAsia="Arial" w:hAnsi="Arial"/>
          <w:sz w:val="12"/>
          <w:szCs w:val="12"/>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00"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2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Pursuant to the Sarbanes-Oxley Act, we will be required to furnish a report by our management on the effectiveness of our internal control over financial reporting beginning with our filing of an Annual Report on Form 10-K with the SEC for the year ending December 31, 2021. This assessment will need to include disclosure of any material weaknesses identified by our management in our internal control over financial reporting. It is expected that our independent registered public accounting firm will attest to the effectiveness of our internal controls for our annual report for the year ending December 31, 2021. At such time, if we then have a material weakness, we could receive an adverse opinion regarding our internal control over financial reporting from our independent registered accounting firm.</w:t>
      </w:r>
    </w:p>
    <w:p>
      <w:pPr>
        <w:spacing w:after="0" w:line="128" w:lineRule="exact"/>
        <w:rPr>
          <w:sz w:val="20"/>
          <w:szCs w:val="20"/>
          <w:color w:val="auto"/>
        </w:rPr>
      </w:pPr>
    </w:p>
    <w:p>
      <w:pPr>
        <w:ind w:left="1980" w:right="1119" w:firstLine="294"/>
        <w:spacing w:after="0" w:line="309" w:lineRule="auto"/>
        <w:rPr>
          <w:sz w:val="20"/>
          <w:szCs w:val="20"/>
          <w:color w:val="auto"/>
        </w:rPr>
      </w:pPr>
      <w:r>
        <w:rPr>
          <w:rFonts w:ascii="Arial" w:cs="Arial" w:eastAsia="Arial" w:hAnsi="Arial"/>
          <w:sz w:val="10"/>
          <w:szCs w:val="10"/>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spacing w:after="0" w:line="1" w:lineRule="exact"/>
        <w:rPr>
          <w:sz w:val="20"/>
          <w:szCs w:val="20"/>
          <w:color w:val="auto"/>
        </w:rPr>
      </w:pPr>
    </w:p>
    <w:p>
      <w:pPr>
        <w:ind w:left="1980" w:right="1139" w:hanging="8"/>
        <w:spacing w:after="0" w:line="281" w:lineRule="auto"/>
        <w:tabs>
          <w:tab w:leader="none" w:pos="2123" w:val="left"/>
        </w:tabs>
        <w:numPr>
          <w:ilvl w:val="0"/>
          <w:numId w:val="21"/>
        </w:numPr>
        <w:rPr>
          <w:rFonts w:ascii="Arial" w:cs="Arial" w:eastAsia="Arial" w:hAnsi="Arial"/>
          <w:sz w:val="11"/>
          <w:szCs w:val="11"/>
          <w:color w:val="auto"/>
        </w:rPr>
      </w:pPr>
      <w:r>
        <w:rPr>
          <w:rFonts w:ascii="Arial" w:cs="Arial" w:eastAsia="Arial" w:hAnsi="Arial"/>
          <w:sz w:val="11"/>
          <w:szCs w:val="11"/>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If we identify a material weakness in connection with this ongoing assessment and we fail to remediate these identified material weaknesses within the prescribed period, we will be unable to assert that our internal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controls over financial reporting are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We rely on intellectual property rights to maintain our competitive position and third parties may claim that we infringe or misappropriate their intellectual property rights.</w:t>
      </w:r>
    </w:p>
    <w:p>
      <w:pPr>
        <w:spacing w:after="0" w:line="4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1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17"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43" w:lineRule="exact"/>
        <w:rPr>
          <w:sz w:val="20"/>
          <w:szCs w:val="20"/>
          <w:color w:val="auto"/>
        </w:rPr>
      </w:pPr>
    </w:p>
    <w:p>
      <w:pPr>
        <w:ind w:left="1980" w:right="859" w:firstLine="294"/>
        <w:spacing w:after="0" w:line="275" w:lineRule="auto"/>
        <w:rPr>
          <w:sz w:val="20"/>
          <w:szCs w:val="20"/>
          <w:color w:val="auto"/>
        </w:rPr>
      </w:pPr>
      <w:r>
        <w:rPr>
          <w:rFonts w:ascii="Arial" w:cs="Arial" w:eastAsia="Arial" w:hAnsi="Arial"/>
          <w:sz w:val="11"/>
          <w:szCs w:val="11"/>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a history of net losses and may not achieve or maintain profitability in the future.</w:t>
      </w:r>
    </w:p>
    <w:p>
      <w:pPr>
        <w:spacing w:after="0" w:line="78" w:lineRule="exact"/>
        <w:rPr>
          <w:sz w:val="20"/>
          <w:szCs w:val="20"/>
          <w:color w:val="auto"/>
        </w:rPr>
      </w:pPr>
    </w:p>
    <w:p>
      <w:pPr>
        <w:ind w:left="1980" w:right="939" w:firstLine="294"/>
        <w:spacing w:after="0" w:line="313" w:lineRule="auto"/>
        <w:rPr>
          <w:sz w:val="20"/>
          <w:szCs w:val="20"/>
          <w:color w:val="auto"/>
        </w:rPr>
      </w:pPr>
      <w:r>
        <w:rPr>
          <w:rFonts w:ascii="Arial" w:cs="Arial" w:eastAsia="Arial" w:hAnsi="Arial"/>
          <w:sz w:val="10"/>
          <w:szCs w:val="10"/>
          <w:color w:val="auto"/>
        </w:rPr>
        <w:t>We have a history of net operating losses, including a net loss of $ million and $20.9 million for the years ended December 31, 2020 and 2019,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or incorporated by reference herein, and we may encounter unforeseen expenses, difficulties, complications and delays and other unknown events. As a result, our operations may not achieve profitability in the future and, even if we do achieve profitability, we may not be able to maintain or increase it.</w:t>
      </w:r>
    </w:p>
    <w:p>
      <w:pPr>
        <w:spacing w:after="0" w:line="17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43"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We are subject to Accounting Standards Codification Topic 350, Intangibles—Goodwill and Other, which requires that goodwill and other intangible assets that have an indefinite useful life be evaluated at least annually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Unionization efforts and labor regulations in certain countries in which we operate could materially increase our costs or limit our flexibility.</w:t>
      </w:r>
    </w:p>
    <w:p>
      <w:pPr>
        <w:spacing w:after="0" w:line="90"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were postponed during the COVID-19 pandemic and began in December 2020. Failure to renew the agreements on similar terms could result in labor disruptions and/or increased labor costs, which could negatively affect our business and operations.</w:t>
      </w:r>
    </w:p>
    <w:p>
      <w:pPr>
        <w:spacing w:after="0" w:line="191"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43"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 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i w:val="1"/>
          <w:iCs w:val="1"/>
          <w:color w:val="auto"/>
        </w:rPr>
        <w:t>Government or private civil antitrust actions could harm our business, results of operations, financial condition and cash flows.</w:t>
      </w:r>
    </w:p>
    <w:p>
      <w:pPr>
        <w:spacing w:after="0" w:line="78"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have greater than anticipated tax liabilities, which could harm our business, revenue and financial results.</w:t>
      </w:r>
    </w:p>
    <w:p>
      <w:pPr>
        <w:spacing w:after="0" w:line="78"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13"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2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In particular, certain changes established by the Tax Cuts &amp; Jobs Act (“TCJA”), enacted on December 22, 2017, increased our effective tax rate in prior years, including a new income inclusion item for global intangible low-taxed income (“GILTI”) and the transition tax on deemed repatriated earnings of foreign subsidiaries.</w:t>
      </w:r>
    </w:p>
    <w:p>
      <w:pPr>
        <w:spacing w:after="0" w:line="122"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Additionally, the Coronavirus Aid, Relief, and Economic Security Act (the “CARES Act”), enacted on March 27, 2020 in response to the outbreak of COVID-19 and its consequences, introduced substantial changes to the U.S. tax code, the overall impact of which on our business is uncertain. For example, among other changes, the CARES Act increased interest expense deductibility limitations and waived certain limitations on the use of net operating losses, in each case, for certain years prior to 2021.</w:t>
      </w:r>
    </w:p>
    <w:p>
      <w:pPr>
        <w:spacing w:after="0" w:line="124"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Finally, on July 23, 2020, final regulations were published that exempt certain income subject to a high rate of foreign tax from inclusion under GILTI for tax years beginning after December 31, 2017.</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cumulative impact of these and other changes in tax law is uncertain and our business and financial condition could be adversely affected.</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Indebtedness and Liquidity</w:t>
      </w:r>
    </w:p>
    <w:p>
      <w:pPr>
        <w:spacing w:after="0" w:line="82"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50"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As of December 31, 2020, our total indebtedness was approximately $ million, all of which is indebtedness of Sotera Health Holdings, LLC (“SHH”) that is guaranteed by the Company and certain of our other subsidiaries. We also had an additional $ million of unutilized capacity under our Revolving Credit Facility (as defined herein) at that date (without giving effect to $ million of letters of credit that were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outstanding). See Item 7. Management’s Discussion and Analysis of Financial Condition and Results of Operations – Liquidity and Capital Resources” in Sotera Health’s 2020 10-K, which is incorporated herein by reference.</w:t>
      </w:r>
    </w:p>
    <w:p>
      <w:pPr>
        <w:spacing w:after="0" w:line="115" w:lineRule="exact"/>
        <w:rPr>
          <w:sz w:val="20"/>
          <w:szCs w:val="20"/>
          <w:color w:val="auto"/>
        </w:rPr>
      </w:pPr>
    </w:p>
    <w:p>
      <w:pPr>
        <w:ind w:left="1980" w:right="1019" w:firstLine="294"/>
        <w:spacing w:after="0" w:line="278" w:lineRule="auto"/>
        <w:rPr>
          <w:sz w:val="20"/>
          <w:szCs w:val="20"/>
          <w:color w:val="auto"/>
        </w:rPr>
      </w:pPr>
      <w:r>
        <w:rPr>
          <w:rFonts w:ascii="Arial" w:cs="Arial" w:eastAsia="Arial" w:hAnsi="Arial"/>
          <w:sz w:val="11"/>
          <w:szCs w:val="11"/>
          <w:color w:val="auto"/>
        </w:rPr>
        <w:t>Our estimated debt service obligations for the next 12 months are $ million, based on the outstanding principal amount of indebtedness of $ million as of December 31, 2020. For the year ended December 31, 2020, our cash flow used for debt service totaled $ million, which includes principal payments of the Term Loan (as defined herein) of $ million and interest payments on our debt of $ million. In November</w:t>
      </w:r>
    </w:p>
    <w:p>
      <w:pPr>
        <w:spacing w:after="0" w:line="1" w:lineRule="exact"/>
        <w:rPr>
          <w:sz w:val="20"/>
          <w:szCs w:val="20"/>
          <w:color w:val="auto"/>
        </w:rPr>
      </w:pPr>
    </w:p>
    <w:p>
      <w:pPr>
        <w:ind w:left="1980" w:right="879"/>
        <w:spacing w:after="0" w:line="300" w:lineRule="auto"/>
        <w:rPr>
          <w:sz w:val="20"/>
          <w:szCs w:val="20"/>
          <w:color w:val="auto"/>
        </w:rPr>
      </w:pPr>
      <w:r>
        <w:rPr>
          <w:rFonts w:ascii="Arial" w:cs="Arial" w:eastAsia="Arial" w:hAnsi="Arial"/>
          <w:sz w:val="10"/>
          <w:szCs w:val="10"/>
          <w:color w:val="auto"/>
        </w:rPr>
        <w:t>and December 2020, we repaid $341.0 million aggregate principal amount of the Term Loan and redeemed in full all of the $770.0 million aggregate principal amount of outstanding senior secured second-lien notes (“Second Lien Notes”) of SHH. In connection with the redemption of the Second Lien Notes, we paid a $15.4 million early redemption premium. For the year ended December 31, 2020, our cash flows from operating activities totaled</w:t>
      </w:r>
    </w:p>
    <w:p>
      <w:pPr>
        <w:spacing w:after="0" w:line="1" w:lineRule="exact"/>
        <w:rPr>
          <w:sz w:val="20"/>
          <w:szCs w:val="20"/>
          <w:color w:val="auto"/>
        </w:rPr>
      </w:pPr>
    </w:p>
    <w:p>
      <w:pPr>
        <w:ind w:left="2300" w:hanging="328"/>
        <w:spacing w:after="0"/>
        <w:tabs>
          <w:tab w:leader="none" w:pos="2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million, which includes interest paid of $</w:t>
      </w:r>
      <w:r>
        <w:rPr>
          <w:rFonts w:ascii="Arial" w:cs="Arial" w:eastAsia="Arial" w:hAnsi="Arial"/>
          <w:sz w:val="11"/>
          <w:szCs w:val="11"/>
          <w:color w:val="auto"/>
        </w:rPr>
        <w:t>million. As such, our cash flows from operating activities (before giving effect to the payment of</w:t>
      </w:r>
    </w:p>
    <w:p>
      <w:pPr>
        <w:spacing w:after="0" w:line="6" w:lineRule="exact"/>
        <w:rPr>
          <w:sz w:val="20"/>
          <w:szCs w:val="20"/>
          <w:color w:val="auto"/>
        </w:rPr>
      </w:pPr>
    </w:p>
    <w:p>
      <w:pPr>
        <w:ind w:left="1980" w:right="919"/>
        <w:spacing w:after="0" w:line="260" w:lineRule="auto"/>
        <w:rPr>
          <w:sz w:val="20"/>
          <w:szCs w:val="20"/>
          <w:color w:val="auto"/>
        </w:rPr>
      </w:pPr>
      <w:r>
        <w:rPr>
          <w:rFonts w:ascii="Arial" w:cs="Arial" w:eastAsia="Arial" w:hAnsi="Arial"/>
          <w:sz w:val="12"/>
          <w:szCs w:val="12"/>
          <w:color w:val="auto"/>
        </w:rPr>
        <w:t>interest) amounted to $ million. For the year ended December 31, 2020, cash payments used to service our debt represented approximately % of our net cash flows from operating activities (before giving effect to the payment of interest).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high degree of leverage could have important consequences, including:</w:t>
      </w:r>
    </w:p>
    <w:p>
      <w:pPr>
        <w:spacing w:after="0" w:line="87" w:lineRule="exact"/>
        <w:rPr>
          <w:sz w:val="20"/>
          <w:szCs w:val="20"/>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making it more difficult for us to satisfy our obligations;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increasing our vulnerability to general economic and industry conditions;</w:t>
      </w:r>
    </w:p>
    <w:p>
      <w:pPr>
        <w:spacing w:after="0" w:line="87" w:lineRule="exact"/>
        <w:rPr>
          <w:rFonts w:ascii="Arial" w:cs="Arial" w:eastAsia="Arial" w:hAnsi="Arial"/>
          <w:sz w:val="12"/>
          <w:szCs w:val="12"/>
          <w:color w:val="auto"/>
        </w:rPr>
      </w:pPr>
    </w:p>
    <w:p>
      <w:pPr>
        <w:ind w:left="2620" w:right="1219" w:hanging="288"/>
        <w:spacing w:after="0" w:line="323" w:lineRule="auto"/>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our indebtedness is at variable interest rates;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restricting us from making strategic acquisitions or causing us to make non-strategic divestitures;</w:t>
      </w:r>
    </w:p>
    <w:p>
      <w:pPr>
        <w:spacing w:after="0" w:line="87" w:lineRule="exact"/>
        <w:rPr>
          <w:rFonts w:ascii="Arial" w:cs="Arial" w:eastAsia="Arial" w:hAnsi="Arial"/>
          <w:sz w:val="12"/>
          <w:szCs w:val="12"/>
          <w:color w:val="auto"/>
        </w:rPr>
      </w:pPr>
    </w:p>
    <w:p>
      <w:pPr>
        <w:ind w:left="2620" w:right="14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 for working capital, capital expenditures, product development, debt service requirements, acquisitions and general corporate or other purposes;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limiting our ability to adjust to changing market conditions and placing us at a disadvantage compared to our competitors that are less highly leveraged;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causing us to pay higher rates if we need to refinance our indebtedness at a time when prevailing market interest rates are unfavorable.</w:t>
      </w:r>
    </w:p>
    <w:p>
      <w:pPr>
        <w:spacing w:after="0" w:line="16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our subsidiaries may obtain substantial additional indebtedness in the future, subject to the restrictions contained in SHH’s senior secured credit facilities (the “Senior Secured Credit Facilities”) and the indenture governing SHH’s senior secured first-lien notes (the “First Lien Notes”). If new indebtedness is added to our current debt levels, the related risks that we now face could intensify.</w:t>
      </w:r>
    </w:p>
    <w:p>
      <w:pPr>
        <w:spacing w:after="0" w:line="12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(loss) and cash flows, including cash available for servicing our indebtedness, will correspondingly decrease. Based on our indebtedness outstanding as of December 31, 2020, and the interest rate under our Term Loan that went into effect on January 21, 2021, a 1% increase in the London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Interbank Offering Rate (“LIBOR”) benchmark interest rate would result in an approximately $ million increase in total annual interest expense under our outstanding debt obligations. Refer to Note 10. “Long-Term Debt” to our consolidated financial statements in Sotera Health’s 2020 10-K, which is incorporated herein by reference.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debt agreements contain restrictions that limit our flexibility in operating our business.</w:t>
      </w:r>
    </w:p>
    <w:p>
      <w:pPr>
        <w:spacing w:after="0" w:line="78"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The Senior Secured Credit Facilities and the indentures governing the First Lien Notes contain various covenants that limit our ability to engage in specified types of transactions. These covenants limit our ability and our restricted subsidiaries’ ability to, among other things:</w:t>
      </w:r>
    </w:p>
    <w:p>
      <w:pPr>
        <w:spacing w:after="0" w:line="29" w:lineRule="exact"/>
        <w:rPr>
          <w:sz w:val="20"/>
          <w:szCs w:val="20"/>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incur additional indebtedness or issue certain shares of preferred stock;</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pay dividends on, repurchase or make distributions in respect of our capital stock or make other restricted payments;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make certain investments and acquisitions;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sell or transfer assets;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grant liens on our assets;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consolidate, merge, sell or otherwise dispose of all or substantially all of our assets;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enter into certain transactions with our affiliates.</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addition, under certain circumstances we are required to satisfy and maintain specified financial ratios and other financial condition tests under certain covenants in our Senior Secured Credit Facilities and indenture governing the First Lien Notes. See Item 7. “Management’s Discussion and Analysis of Financial Condition and Results of Operations – Liquidity and Capital Resources” in Sotera Health’s 2020 10-K, which is incorporated herein by reference.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A breach of any of these covenants could result in a default under each of our Senior Secured Credit Facilities and/or the indenture governing the First Lien Notes. Upon the occurrence of an event of default, the lenders and/or noteholders, as applicable, could elect to declare all amounts outstanding under the Senior Secured Credit Facilities and the First Lien Notes to be immediately due and payable and terminate all commitments to extend further credit. If we were unable to repay those amounts, the lenders under the Senior Secured Credit Facilities or the indentures governing the First Lien Notes could foreclose on the collateral granted to them to secure each such indebtedness. We have pledged substantially all of our assets as collateral under the Senior Secured Credit Facilities and the indentures governing the First Lien Notes.</w:t>
      </w:r>
    </w:p>
    <w:p>
      <w:pPr>
        <w:spacing w:after="0" w:line="18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43"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Our ability to make timely payments of principal and interest on our debt obligations, including our obligations under the Senior Secured Credit Facilities and the First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87"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A lowering or withdrawal of the ratings assigned to our debt by rating agencies may increase our future borrowing costs and reduce our access to capital.</w:t>
      </w:r>
    </w:p>
    <w:p>
      <w:pPr>
        <w:spacing w:after="0" w:line="43"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00" w:lineRule="exact"/>
        <w:rPr>
          <w:sz w:val="20"/>
          <w:szCs w:val="20"/>
          <w:color w:val="auto"/>
        </w:rPr>
      </w:pPr>
    </w:p>
    <w:p>
      <w:pPr>
        <w:ind w:left="1980" w:right="1119"/>
        <w:spacing w:after="0" w:line="323" w:lineRule="auto"/>
        <w:rPr>
          <w:sz w:val="20"/>
          <w:szCs w:val="20"/>
          <w:color w:val="auto"/>
        </w:rPr>
      </w:pPr>
      <w:r>
        <w:rPr>
          <w:rFonts w:ascii="Arial" w:cs="Arial" w:eastAsia="Arial" w:hAnsi="Arial"/>
          <w:sz w:val="11"/>
          <w:szCs w:val="11"/>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20"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Because our Senior Secured Credit Facilities and First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13"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However, the ICE Benchmark Administration, in its capacity as administrator of LIBOR, has published a consultation regarding its intention to continue publication of certain LIBOR tenors by 18 months to June 2023. Notwithstanding this possible extension, a joint statement by key regulatory authorities called on banks to cease entering into new contracts that use LIBOR as a reference rate by no later than December 31, 2021, and it is impossible to predict whether LIBOR rates will continue to be published or supported after the end of 2021. If LIBOR ceases to exist or if the methods of calculating LIBOR change from their current form, interest rates on our current or future debt obligations may be adversely affected.</w:t>
      </w:r>
    </w:p>
    <w:p>
      <w:pPr>
        <w:spacing w:after="0" w:line="117"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If a published U.S. dollar LIBOR rate is unavailable, we may be required to substitute an alternative reference rate, such as a different benchmark interest rate or the Secured Overnight Financing Rate (“SOFR”),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1980" w:right="939"/>
        <w:spacing w:after="0" w:line="306" w:lineRule="auto"/>
        <w:rPr>
          <w:sz w:val="20"/>
          <w:szCs w:val="20"/>
          <w:color w:val="auto"/>
        </w:rPr>
      </w:pPr>
      <w:r>
        <w:rPr>
          <w:rFonts w:ascii="Arial" w:cs="Arial" w:eastAsia="Arial" w:hAnsi="Arial"/>
          <w:sz w:val="10"/>
          <w:szCs w:val="10"/>
          <w:color w:val="auto"/>
        </w:rPr>
        <w:t>lieu of LIBOR under our Senior Secured Credit Facilities and First Lien Notes.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w:t>
      </w:r>
    </w:p>
    <w:p>
      <w:pPr>
        <w:spacing w:after="0" w:line="1"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Treasury repo financing rate that represents overnight secured funding transactions, it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is no assurance that SOFR will perform in the same way as LIBOR would have performed at any time, and there is no guarantee that it is a comparable substitute for LIBOR. SOFR may fail to gain market acceptance. As of January 2021, we amended our Senior Secured Credit Facilities to provide that, under certain circumstances, our benchmark interest rate will automatically shift to be calculated based on SOFR. The interest rates on our First Lien Notes indexed to LIBOR will be determined in a manner that gives due consideration to the then prevailing market convention for determining a rate of interest for high yield notes in the United States at such time. A change from LIBOR to any of the proposed alternative reference rates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19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43" w:lineRule="exact"/>
        <w:rPr>
          <w:sz w:val="20"/>
          <w:szCs w:val="20"/>
          <w:color w:val="auto"/>
        </w:rPr>
      </w:pPr>
    </w:p>
    <w:p>
      <w:pPr>
        <w:ind w:left="1980" w:right="879"/>
        <w:spacing w:after="0" w:line="316" w:lineRule="auto"/>
        <w:rPr>
          <w:sz w:val="20"/>
          <w:szCs w:val="20"/>
          <w:color w:val="auto"/>
        </w:rPr>
      </w:pPr>
      <w:r>
        <w:rPr>
          <w:rFonts w:ascii="Arial" w:cs="Arial" w:eastAsia="Arial" w:hAnsi="Arial"/>
          <w:sz w:val="10"/>
          <w:szCs w:val="10"/>
          <w:color w:val="auto"/>
        </w:rPr>
        <w:t>SHH, the borrower under our Senior Secured Credit Facilities and the issuer of our First Lien Notes,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and our First Lien Notes.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this Offering and Ownership of Our Common Stock</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market and trading volume of our common stock may be volatile, and you could lose all or part of your investment.</w:t>
      </w:r>
    </w:p>
    <w:p>
      <w:pPr>
        <w:spacing w:after="0" w:line="78"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48" w:lineRule="exact"/>
        <w:rPr>
          <w:sz w:val="20"/>
          <w:szCs w:val="20"/>
          <w:color w:val="auto"/>
        </w:rPr>
      </w:pPr>
    </w:p>
    <w:p>
      <w:pPr>
        <w:ind w:left="2620" w:right="899" w:hanging="288"/>
        <w:spacing w:after="0" w:line="379" w:lineRule="auto"/>
        <w:tabs>
          <w:tab w:leader="none" w:pos="26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5" w:lineRule="exact"/>
        <w:rPr>
          <w:rFonts w:ascii="Arial" w:cs="Arial" w:eastAsia="Arial" w:hAnsi="Arial"/>
          <w:sz w:val="10"/>
          <w:szCs w:val="10"/>
          <w:color w:val="auto"/>
        </w:rPr>
      </w:pPr>
    </w:p>
    <w:p>
      <w:pPr>
        <w:ind w:left="2620" w:right="101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developments in our litigation matters and governmental investigations or additional significant lawsuits or governmental investigations relating to our services or facilities;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regulatory or legal developments in the jurisdictions in which we operate;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adverse publicity about us or the industries in which we participate;</w:t>
      </w:r>
    </w:p>
    <w:p>
      <w:pPr>
        <w:spacing w:after="0" w:line="87" w:lineRule="exact"/>
        <w:rPr>
          <w:rFonts w:ascii="Arial" w:cs="Arial" w:eastAsia="Arial" w:hAnsi="Arial"/>
          <w:sz w:val="12"/>
          <w:szCs w:val="12"/>
          <w:color w:val="auto"/>
        </w:rPr>
      </w:pPr>
    </w:p>
    <w:p>
      <w:pPr>
        <w:ind w:left="2620" w:right="12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variations in our quarterly or annual results of operations, or in those of our competitors or of companies in the medical device and pharmaceutical industries;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financial projections we may provide to the public, any changes in these projections or our failure to meet these projections;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 in the future or the perception that such sales may occur;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publication of research reports about the industries in which we participate;</w:t>
      </w:r>
    </w:p>
    <w:p>
      <w:pPr>
        <w:spacing w:after="0" w:line="87"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analysts’ estimates, investors’ perceptions, recommendations by securities analysts, our failure to achieve analysts’ estimates or failure of analysts to maintain coverage of us;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volatility in the trading prices and trading volumes of companies similar to us;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companies in our industry;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changes in accounting principles, policies, guidance, interpretations or standards;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general market conditions and other factors unrelated to our operating performance or the operating performance of our competitors.</w:t>
      </w:r>
    </w:p>
    <w:p>
      <w:pPr>
        <w:spacing w:after="0" w:line="16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43" w:lineRule="exact"/>
        <w:rPr>
          <w:sz w:val="20"/>
          <w:szCs w:val="20"/>
          <w:color w:val="auto"/>
        </w:rPr>
      </w:pPr>
    </w:p>
    <w:p>
      <w:pPr>
        <w:ind w:left="1980" w:right="999" w:firstLine="294"/>
        <w:spacing w:after="0" w:line="326" w:lineRule="auto"/>
        <w:rPr>
          <w:sz w:val="20"/>
          <w:szCs w:val="20"/>
          <w:color w:val="auto"/>
        </w:rPr>
      </w:pPr>
      <w:r>
        <w:rPr>
          <w:rFonts w:ascii="Arial" w:cs="Arial" w:eastAsia="Arial" w:hAnsi="Arial"/>
          <w:sz w:val="10"/>
          <w:szCs w:val="10"/>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future issuance of additional common stock in connection with our incentive plans, acquisitions or otherwise will dilute all other stockholdings.</w:t>
      </w:r>
    </w:p>
    <w:p>
      <w:pPr>
        <w:spacing w:after="0" w:line="101"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As of December 31, 2020, we had an aggregate of 886,109,800 shares of common stock authorized but unissued that are not currently reserved for issuance under our 2020 Omnibus Incentive Plan, as well as 2,742,250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Future offerings of debt or equity securities by us may adversely affect the market price of our common stock.</w:t>
      </w:r>
    </w:p>
    <w:p>
      <w:pPr>
        <w:spacing w:after="0" w:line="7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24"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89"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A sale of a substantial number of shares of our common stock, or the perception that such sales might occur, may cause the price of our common stock to decline.</w:t>
      </w:r>
    </w:p>
    <w:p>
      <w:pPr>
        <w:spacing w:after="0" w:line="43"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Future sales of substantial amounts of our common stock in the public market after the lapse of the lock-up agreements and other legal or contractual restrictions on resale discussed herein,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In connection with our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Relationships and Related Transactions, and Director Independence—Stockholders’ Agreement” in Part III, Item. 13 of Sotera Health’s 2020 10-K, which is incorporated herein by reference.</w:t>
      </w:r>
    </w:p>
    <w:p>
      <w:pPr>
        <w:spacing w:after="0" w:line="113" w:lineRule="exact"/>
        <w:rPr>
          <w:sz w:val="20"/>
          <w:szCs w:val="20"/>
          <w:color w:val="auto"/>
        </w:rPr>
      </w:pPr>
    </w:p>
    <w:p>
      <w:pPr>
        <w:ind w:left="1980" w:right="1039" w:firstLine="294"/>
        <w:spacing w:after="0" w:line="298" w:lineRule="auto"/>
        <w:rPr>
          <w:sz w:val="20"/>
          <w:szCs w:val="20"/>
          <w:color w:val="auto"/>
        </w:rPr>
      </w:pPr>
      <w:r>
        <w:rPr>
          <w:rFonts w:ascii="Arial" w:cs="Arial" w:eastAsia="Arial" w:hAnsi="Arial"/>
          <w:sz w:val="11"/>
          <w:szCs w:val="11"/>
          <w:color w:val="auto"/>
        </w:rPr>
        <w:t>As of December 31, 2020, we had 283,247,950 shares of common stock outstanding. Of these shares the 53,590,000 shares sold in our IPO are freely tradable without restriction or further registration under the Securities Act, except for any shares held by our affiliates, as that term is defined under Rule 144 of the Securities Act (“Rule 144”), including our directors, executive officers and other affiliates (including the Sponsors).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Sponsors, our directors and certain of our officers have entered into lock-up agreements with the underwriters in connection with this offering</w:t>
      </w:r>
    </w:p>
    <w:p>
      <w:pPr>
        <w:spacing w:after="0" w:line="38" w:lineRule="exact"/>
        <w:rPr>
          <w:sz w:val="20"/>
          <w:szCs w:val="20"/>
          <w:color w:val="auto"/>
        </w:rPr>
      </w:pPr>
    </w:p>
    <w:p>
      <w:pPr>
        <w:ind w:left="1980" w:right="959"/>
        <w:spacing w:after="0" w:line="260" w:lineRule="auto"/>
        <w:rPr>
          <w:sz w:val="20"/>
          <w:szCs w:val="20"/>
          <w:color w:val="auto"/>
        </w:rPr>
      </w:pPr>
      <w:r>
        <w:rPr>
          <w:rFonts w:ascii="Arial" w:cs="Arial" w:eastAsia="Arial" w:hAnsi="Arial"/>
          <w:sz w:val="12"/>
          <w:szCs w:val="12"/>
          <w:color w:val="auto"/>
        </w:rPr>
        <w:t>that restrict their ability to sell or transfer their shares. The lock-up agreements pertaining to this offering will expire days from the date of this prospectus. , however, may, in its sole discretion, waive the contractual lock-up prior to the expiration of the lock-up agreements. In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304" w:lineRule="auto"/>
        <w:rPr>
          <w:sz w:val="20"/>
          <w:szCs w:val="20"/>
          <w:color w:val="auto"/>
        </w:rPr>
      </w:pPr>
      <w:r>
        <w:rPr>
          <w:rFonts w:ascii="Arial" w:cs="Arial" w:eastAsia="Arial" w:hAnsi="Arial"/>
          <w:sz w:val="10"/>
          <w:szCs w:val="10"/>
          <w:color w:val="auto"/>
        </w:rPr>
        <w:t>addition, holders of 223,329,557 shares of our common stock as of December 31, 2020, including each of our directors and officers, entered into lock-up agreements with the underwriters in connection with our IPO that restrict their ability to sell or transfer their shares until the expiration of the IPO lock-up agreements on May 18, 2021. J.P. Morgan Securities LLC, however, may, in its sole discretion, waive the contractual lock-up prior to the expiration of the IPO lock-up agreements. In connection with this offering, J.P. Morgan Securities LLC has waived certain lock-up restrictions applicable to the selling stockholders. Based on the number of shares outstanding as of December 31, 2020, after the lock-up agreements in connection</w:t>
      </w:r>
    </w:p>
    <w:p>
      <w:pPr>
        <w:spacing w:after="0" w:line="1" w:lineRule="exact"/>
        <w:rPr>
          <w:sz w:val="20"/>
          <w:szCs w:val="20"/>
          <w:color w:val="auto"/>
        </w:rPr>
      </w:pPr>
    </w:p>
    <w:p>
      <w:pPr>
        <w:ind w:left="1980" w:right="839"/>
        <w:spacing w:after="0" w:line="273" w:lineRule="auto"/>
        <w:rPr>
          <w:sz w:val="20"/>
          <w:szCs w:val="20"/>
          <w:color w:val="auto"/>
        </w:rPr>
      </w:pPr>
      <w:r>
        <w:rPr>
          <w:rFonts w:ascii="Arial" w:cs="Arial" w:eastAsia="Arial" w:hAnsi="Arial"/>
          <w:sz w:val="11"/>
          <w:szCs w:val="11"/>
          <w:color w:val="auto"/>
        </w:rPr>
        <w:t>with the IPO and this offering expire, an additional shares of common stock will be eligible for sale in the public market, of which shares are subject to vesting requirements and the transfer restrictions contained in the Stockholders’ Agreement, unless such transfer restrictions are waived by</w:t>
      </w:r>
    </w:p>
    <w:p>
      <w:pPr>
        <w:ind w:left="2340" w:right="919" w:hanging="359"/>
        <w:spacing w:after="0" w:line="250" w:lineRule="auto"/>
        <w:rPr>
          <w:sz w:val="20"/>
          <w:szCs w:val="20"/>
          <w:color w:val="auto"/>
        </w:rPr>
      </w:pPr>
      <w:r>
        <w:rPr>
          <w:rFonts w:ascii="Arial" w:cs="Arial" w:eastAsia="Arial" w:hAnsi="Arial"/>
          <w:sz w:val="12"/>
          <w:szCs w:val="12"/>
          <w:color w:val="auto"/>
        </w:rPr>
        <w:t>a majority of the members of the compensation committee of the board of directors, as described below. In addition to the</w:t>
      </w:r>
      <w:r>
        <w:rPr>
          <w:sz w:val="20"/>
          <w:szCs w:val="20"/>
          <w:color w:val="auto"/>
        </w:rPr>
        <w:t xml:space="preserve"> </w:t>
      </w:r>
      <w:r>
        <w:rPr>
          <w:rFonts w:ascii="Arial" w:cs="Arial" w:eastAsia="Arial" w:hAnsi="Arial"/>
          <w:sz w:val="12"/>
          <w:szCs w:val="12"/>
          <w:color w:val="auto"/>
        </w:rPr>
        <w:t>shares, an additional shares of our outstanding common stock as of December 31, 2020, are not subject to lock-up agreements but are subject to vesting requirements</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contractual restrictions on transfer under the terms of our Stockholders’ Agreement.</w:t>
      </w:r>
    </w:p>
    <w:p>
      <w:pPr>
        <w:spacing w:after="0" w:line="141"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Further, as of December 31, 2020, 212,622,727 shares of our outstanding common stock (excluding the shares of common stock being sold in this offering) are held by directors, executive officers and other affiliates and are subject to volume limitations under Rule 144 under the Securities Act. All of such holders have rights to require us to file registration statements covering their shares or to include their shares in registration statements that we may file for ourselves or our stockholders.</w:t>
      </w:r>
    </w:p>
    <w:p>
      <w:pPr>
        <w:spacing w:after="0" w:line="124"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We have filed a registration statement on Form S-8 under the Securities Act to register all of the shares of common stock issued or issuable under our 2020 Plan. The shares covered by this registration statement will be eligible for sale in the public markets, subject to Rule 144 limitations applicable to affiliates and any applicable contractual restrictions described above.</w:t>
      </w:r>
    </w:p>
    <w:p>
      <w:pPr>
        <w:spacing w:after="0" w:line="122" w:lineRule="exact"/>
        <w:rPr>
          <w:sz w:val="20"/>
          <w:szCs w:val="20"/>
          <w:color w:val="auto"/>
        </w:rPr>
      </w:pPr>
    </w:p>
    <w:p>
      <w:pPr>
        <w:jc w:val="both"/>
        <w:ind w:left="1980" w:right="879" w:firstLine="294"/>
        <w:spacing w:after="0" w:line="276" w:lineRule="auto"/>
        <w:rPr>
          <w:sz w:val="20"/>
          <w:szCs w:val="20"/>
          <w:color w:val="auto"/>
        </w:rPr>
      </w:pPr>
      <w:r>
        <w:rPr>
          <w:rFonts w:ascii="Arial" w:cs="Arial" w:eastAsia="Arial" w:hAnsi="Arial"/>
          <w:sz w:val="12"/>
          <w:szCs w:val="12"/>
          <w:color w:val="auto"/>
        </w:rPr>
        <w:t>The sale of shares of common stock being offered hereby and any future sales of securities by any of our stockholders described above could have a material adverse effect on the market price of our common stock.</w:t>
      </w:r>
    </w:p>
    <w:p>
      <w:pPr>
        <w:spacing w:after="0" w:line="115"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77"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b w:val="1"/>
          <w:bCs w:val="1"/>
          <w:i w:val="1"/>
          <w:iCs w:val="1"/>
          <w:color w:val="auto"/>
        </w:rPr>
        <w:t>Although we do not currently rely on the “controlled company” exemption, if we are a “controlled company” within the meaning of the Nasdaq corporate governance standards we would qualify for exemptions from certain corporate governance requirements.</w:t>
      </w:r>
    </w:p>
    <w:p>
      <w:pPr>
        <w:spacing w:after="0" w:line="20"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Because the Sponsors will own a majority of our outstanding common stock following the completion of this offering, we may be considered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61" w:lineRule="exact"/>
        <w:rPr>
          <w:sz w:val="20"/>
          <w:szCs w:val="20"/>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requirement that a majority of our board of directors consist of independent directors;</w:t>
      </w:r>
    </w:p>
    <w:p>
      <w:pPr>
        <w:spacing w:after="0" w:line="87"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59"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requirement that our compensation committee be composed entirely of independent directors with a written charter addressing the committee’s purpose and responsibilities;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620" w:right="127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requirement that we conduct an annual performance evaluation of the nominating and corporate governance and compensation committees.</w:t>
      </w:r>
    </w:p>
    <w:p>
      <w:pPr>
        <w:spacing w:after="0" w:line="115"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These requirements would not apply to us as long as we remain a “controlled company.” Although we may qualify as a “controlled company” upon completion of this offering, we are not currently relying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 See “Description of Capital Stock—Anti-Takeover Effects of Provisions of Our Amended and Restated Certification of Incorporation, Our Amended and Restated Bylaws and Delaware Law.”</w:t>
      </w:r>
    </w:p>
    <w:p>
      <w:pPr>
        <w:spacing w:after="0" w:line="185"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4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Following the completion of this offering, the Sponsors will own approximately % of our outstanding common stock, or % if the underwriters’ option to purchase additional shares is fully exercised. As a result, the Sponsors will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22"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Certain of our stockholders have the right to engage or invest in the same or similar businesses as us.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Sponsors have other investments and business activities in addition to their ownership of us. The Sponsors have the right, and have no duty to abstain from exercising such right, to engage or invest in the same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28"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167"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b w:val="1"/>
          <w:bCs w:val="1"/>
          <w:i w:val="1"/>
          <w:iCs w:val="1"/>
          <w:color w:val="auto"/>
        </w:rPr>
        <w:t>The requirements of being a public company, including compliance with the reporting requirements of the Exchange Act and the requirements of the Sarbanes-Oxley Act have increased and are expected to continue to increase our costs and occupy management, and we may be unable to comply with these requirements in a timely or cost-effective manner.</w:t>
      </w:r>
    </w:p>
    <w:p>
      <w:pPr>
        <w:spacing w:after="0" w:line="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As a public company with shares listed on a U.S. exchange, we need to comply with new laws, regulations and requirements, certain corporate governance provisions of the Sarbanes-Oxley Act, the Dodd-Frank Act, related regulations of the SEC, the requirements of the Nasdaq and other applicable rules and regulations, with which we were not required to comply with as a private company. Complying with these statutes, regulations and requirements will occupy a significant amount of time of our board of directors and management and will significantly increase our legal and financial compliance costs and expenses. We have or are in the process of:</w:t>
      </w:r>
    </w:p>
    <w:p>
      <w:pPr>
        <w:spacing w:after="0" w:line="50" w:lineRule="exact"/>
        <w:rPr>
          <w:sz w:val="20"/>
          <w:szCs w:val="20"/>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instituting a more comprehensive compliance function;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complying with rules promulgated by the Nasdaq;</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preparing and distributing periodic public reports in compliance with our obligations under the federal securities laws;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establishing new internal policies, such as those relating to insider trading;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involving and retaining, to a greater degree, outside counsel and accountants in the above activities.</w:t>
      </w:r>
    </w:p>
    <w:p>
      <w:pPr>
        <w:spacing w:after="0" w:line="22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The reduced disclosure requirements applicable to us as an “emerging growth company” under the JOBS Act may make our common stock less attractive to investors.</w:t>
      </w:r>
    </w:p>
    <w:p>
      <w:pPr>
        <w:spacing w:after="0" w:line="43" w:lineRule="exact"/>
        <w:rPr>
          <w:sz w:val="20"/>
          <w:szCs w:val="20"/>
          <w:color w:val="auto"/>
        </w:rPr>
      </w:pPr>
    </w:p>
    <w:p>
      <w:pPr>
        <w:ind w:left="1980" w:right="859" w:firstLine="294"/>
        <w:spacing w:after="0" w:line="306" w:lineRule="auto"/>
        <w:rPr>
          <w:sz w:val="20"/>
          <w:szCs w:val="20"/>
          <w:color w:val="auto"/>
        </w:rPr>
      </w:pPr>
      <w:r>
        <w:rPr>
          <w:rFonts w:ascii="Arial" w:cs="Arial" w:eastAsia="Arial" w:hAnsi="Arial"/>
          <w:sz w:val="10"/>
          <w:szCs w:val="10"/>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1" w:lineRule="exact"/>
        <w:rPr>
          <w:sz w:val="20"/>
          <w:szCs w:val="20"/>
          <w:color w:val="auto"/>
        </w:rPr>
      </w:pPr>
    </w:p>
    <w:p>
      <w:pPr>
        <w:ind w:left="1980" w:right="939" w:hanging="8"/>
        <w:spacing w:after="0" w:line="252" w:lineRule="auto"/>
        <w:tabs>
          <w:tab w:leader="none" w:pos="215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the JOBS Act, emerging growth companies can also delay adopting new or revised accounting standards until such time as those standards apply to private companies. We chose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200" w:lineRule="exact"/>
        <w:rPr>
          <w:sz w:val="20"/>
          <w:szCs w:val="20"/>
          <w:color w:val="auto"/>
        </w:rPr>
      </w:pPr>
    </w:p>
    <w:p>
      <w:pPr>
        <w:ind w:left="1980" w:right="939"/>
        <w:spacing w:after="0" w:line="323" w:lineRule="auto"/>
        <w:rPr>
          <w:sz w:val="20"/>
          <w:szCs w:val="20"/>
          <w:color w:val="auto"/>
        </w:rPr>
      </w:pPr>
      <w:r>
        <w:rPr>
          <w:rFonts w:ascii="Arial" w:cs="Arial" w:eastAsia="Arial" w:hAnsi="Arial"/>
          <w:sz w:val="11"/>
          <w:szCs w:val="11"/>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2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48" w:lineRule="exact"/>
        <w:rPr>
          <w:sz w:val="20"/>
          <w:szCs w:val="20"/>
          <w:color w:val="auto"/>
        </w:rPr>
      </w:pPr>
    </w:p>
    <w:p>
      <w:pPr>
        <w:ind w:left="2620" w:hanging="288"/>
        <w:spacing w:after="0"/>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limiting the liability of, and providing indemnification to, our directors and officers;</w:t>
      </w:r>
    </w:p>
    <w:p>
      <w:pPr>
        <w:spacing w:after="0" w:line="87"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establishing a classified board of directors with three-year staggered terms, which could delay the ability of stockholders to change the membership of a majority of our board of directors;</w:t>
      </w:r>
    </w:p>
    <w:p>
      <w:pPr>
        <w:spacing w:after="0" w:line="51" w:lineRule="exact"/>
        <w:rPr>
          <w:rFonts w:ascii="Arial" w:cs="Arial" w:eastAsia="Arial" w:hAnsi="Arial"/>
          <w:sz w:val="12"/>
          <w:szCs w:val="12"/>
          <w:color w:val="auto"/>
        </w:rPr>
      </w:pPr>
    </w:p>
    <w:p>
      <w:pPr>
        <w:ind w:left="2620" w:right="919" w:hanging="288"/>
        <w:spacing w:after="0" w:line="255"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65" w:lineRule="exact"/>
        <w:rPr>
          <w:rFonts w:ascii="Arial" w:cs="Arial" w:eastAsia="Arial" w:hAnsi="Arial"/>
          <w:sz w:val="12"/>
          <w:szCs w:val="12"/>
          <w:color w:val="auto"/>
        </w:rPr>
      </w:pPr>
    </w:p>
    <w:p>
      <w:pPr>
        <w:ind w:left="2620" w:right="1039" w:hanging="288"/>
        <w:spacing w:after="0" w:line="25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65" w:lineRule="exact"/>
        <w:rPr>
          <w:rFonts w:ascii="Arial" w:cs="Arial" w:eastAsia="Arial" w:hAnsi="Arial"/>
          <w:sz w:val="12"/>
          <w:szCs w:val="12"/>
          <w:color w:val="auto"/>
        </w:rPr>
      </w:pPr>
    </w:p>
    <w:p>
      <w:pPr>
        <w:ind w:left="2620" w:right="859" w:hanging="288"/>
        <w:spacing w:after="0" w:line="263"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59" w:lineRule="exact"/>
        <w:rPr>
          <w:rFonts w:ascii="Arial" w:cs="Arial" w:eastAsia="Arial" w:hAnsi="Arial"/>
          <w:sz w:val="12"/>
          <w:szCs w:val="12"/>
          <w:color w:val="auto"/>
        </w:rPr>
      </w:pPr>
    </w:p>
    <w:p>
      <w:pPr>
        <w:jc w:val="both"/>
        <w:ind w:left="2620" w:right="899" w:hanging="288"/>
        <w:spacing w:after="0" w:line="263"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620" w:right="859"/>
        <w:spacing w:after="0" w:line="276" w:lineRule="auto"/>
        <w:rPr>
          <w:sz w:val="20"/>
          <w:szCs w:val="20"/>
          <w:color w:val="auto"/>
        </w:rPr>
      </w:pPr>
      <w:r>
        <w:rPr>
          <w:rFonts w:ascii="Arial" w:cs="Arial" w:eastAsia="Arial" w:hAnsi="Arial"/>
          <w:sz w:val="12"/>
          <w:szCs w:val="12"/>
          <w:color w:val="auto"/>
        </w:rPr>
        <w:t>Pincus or GTCR, collectively, hold at least a majority of our outstanding capital stock, only a majority stockholder vote requirement would apply to such matters;</w:t>
      </w:r>
    </w:p>
    <w:p>
      <w:pPr>
        <w:spacing w:after="0" w:line="52" w:lineRule="exact"/>
        <w:rPr>
          <w:sz w:val="20"/>
          <w:szCs w:val="20"/>
          <w:color w:val="auto"/>
        </w:rPr>
      </w:pPr>
    </w:p>
    <w:p>
      <w:pPr>
        <w:ind w:left="2620" w:right="919" w:hanging="288"/>
        <w:spacing w:after="0" w:line="285" w:lineRule="auto"/>
        <w:tabs>
          <w:tab w:leader="none" w:pos="26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50" w:lineRule="exact"/>
        <w:rPr>
          <w:rFonts w:ascii="Arial" w:cs="Arial" w:eastAsia="Arial" w:hAnsi="Arial"/>
          <w:sz w:val="11"/>
          <w:szCs w:val="11"/>
          <w:color w:val="auto"/>
        </w:rPr>
      </w:pPr>
    </w:p>
    <w:p>
      <w:pPr>
        <w:ind w:left="2620" w:right="859" w:hanging="288"/>
        <w:spacing w:after="0" w:line="280" w:lineRule="auto"/>
        <w:tabs>
          <w:tab w:leader="none" w:pos="26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52" w:lineRule="exact"/>
        <w:rPr>
          <w:rFonts w:ascii="Arial" w:cs="Arial" w:eastAsia="Arial" w:hAnsi="Arial"/>
          <w:sz w:val="11"/>
          <w:szCs w:val="11"/>
          <w:color w:val="auto"/>
        </w:rPr>
      </w:pPr>
    </w:p>
    <w:p>
      <w:pPr>
        <w:ind w:left="2620" w:right="1279" w:hanging="288"/>
        <w:spacing w:after="0" w:line="276" w:lineRule="auto"/>
        <w:tabs>
          <w:tab w:leader="none" w:pos="2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right to issue blank check preferred stock without stockholder approval, which could be used to dilute the stock ownership of a potential hostile acquirer or adopt a stockholder rights plan;</w:t>
      </w:r>
    </w:p>
    <w:p>
      <w:pPr>
        <w:spacing w:after="0" w:line="51" w:lineRule="exact"/>
        <w:rPr>
          <w:rFonts w:ascii="Arial" w:cs="Arial" w:eastAsia="Arial" w:hAnsi="Arial"/>
          <w:sz w:val="12"/>
          <w:szCs w:val="12"/>
          <w:color w:val="auto"/>
        </w:rPr>
      </w:pPr>
    </w:p>
    <w:p>
      <w:pPr>
        <w:ind w:left="2620" w:right="839" w:hanging="288"/>
        <w:spacing w:after="0" w:line="320" w:lineRule="auto"/>
        <w:tabs>
          <w:tab w:leader="none" w:pos="2620" w:val="left"/>
        </w:tabs>
        <w:numPr>
          <w:ilvl w:val="0"/>
          <w:numId w:val="32"/>
        </w:numPr>
        <w:rPr>
          <w:rFonts w:ascii="Arial" w:cs="Arial" w:eastAsia="Arial" w:hAnsi="Arial"/>
          <w:sz w:val="10"/>
          <w:szCs w:val="10"/>
          <w:color w:val="auto"/>
        </w:rPr>
      </w:pPr>
      <w:r>
        <w:rPr>
          <w:rFonts w:ascii="Arial" w:cs="Arial" w:eastAsia="Arial" w:hAnsi="Arial"/>
          <w:sz w:val="10"/>
          <w:szCs w:val="10"/>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34" w:lineRule="exact"/>
        <w:rPr>
          <w:rFonts w:ascii="Arial" w:cs="Arial" w:eastAsia="Arial" w:hAnsi="Arial"/>
          <w:sz w:val="10"/>
          <w:szCs w:val="10"/>
          <w:color w:val="auto"/>
        </w:rPr>
      </w:pPr>
    </w:p>
    <w:p>
      <w:pPr>
        <w:ind w:left="2620" w:right="979" w:hanging="288"/>
        <w:spacing w:after="0" w:line="298" w:lineRule="auto"/>
        <w:tabs>
          <w:tab w:leader="none" w:pos="26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41" w:lineRule="exact"/>
        <w:rPr>
          <w:rFonts w:ascii="Arial" w:cs="Arial" w:eastAsia="Arial" w:hAnsi="Arial"/>
          <w:sz w:val="11"/>
          <w:szCs w:val="11"/>
          <w:color w:val="auto"/>
        </w:rPr>
      </w:pPr>
    </w:p>
    <w:p>
      <w:pPr>
        <w:ind w:left="2620" w:hanging="288"/>
        <w:spacing w:after="0"/>
        <w:tabs>
          <w:tab w:leader="none" w:pos="2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limiting the forum to Delaware or Federal Court for certain litigation against us.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w:t>
      </w:r>
    </w:p>
    <w:p>
      <w:pPr>
        <w:spacing w:after="0" w:line="128"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many of our stockholders. The existence of these provisions could adversely affect the voting power of holders of common stock and limit the price that investors might be willing to pay in the future for shares of our common stock.</w:t>
      </w:r>
    </w:p>
    <w:p>
      <w:pPr>
        <w:spacing w:after="0" w:line="187"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50" w:lineRule="exact"/>
        <w:rPr>
          <w:sz w:val="20"/>
          <w:szCs w:val="20"/>
          <w:color w:val="auto"/>
        </w:rPr>
      </w:pPr>
    </w:p>
    <w:p>
      <w:pPr>
        <w:ind w:left="1980" w:right="859" w:firstLine="294"/>
        <w:spacing w:after="0" w:line="306" w:lineRule="auto"/>
        <w:rPr>
          <w:sz w:val="20"/>
          <w:szCs w:val="20"/>
          <w:color w:val="auto"/>
        </w:rPr>
      </w:pPr>
      <w:r>
        <w:rPr>
          <w:rFonts w:ascii="Arial" w:cs="Arial" w:eastAsia="Arial" w:hAnsi="Arial"/>
          <w:sz w:val="10"/>
          <w:szCs w:val="10"/>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1" w:lineRule="exact"/>
        <w:rPr>
          <w:sz w:val="20"/>
          <w:szCs w:val="20"/>
          <w:color w:val="auto"/>
        </w:rPr>
      </w:pPr>
    </w:p>
    <w:p>
      <w:pPr>
        <w:ind w:left="1980" w:right="859" w:hanging="8"/>
        <w:spacing w:after="0" w:line="307" w:lineRule="auto"/>
        <w:tabs>
          <w:tab w:leader="none" w:pos="2150" w:val="left"/>
        </w:tabs>
        <w:numPr>
          <w:ilvl w:val="0"/>
          <w:numId w:val="33"/>
        </w:numPr>
        <w:rPr>
          <w:rFonts w:ascii="Arial" w:cs="Arial" w:eastAsia="Arial" w:hAnsi="Arial"/>
          <w:sz w:val="10"/>
          <w:szCs w:val="10"/>
          <w:color w:val="auto"/>
        </w:rPr>
      </w:pPr>
      <w:r>
        <w:rPr>
          <w:rFonts w:ascii="Arial" w:cs="Arial" w:eastAsia="Arial" w:hAnsi="Arial"/>
          <w:sz w:val="10"/>
          <w:szCs w:val="10"/>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04"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87"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43"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Some of the statements included or incorporated by reference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37" w:lineRule="exact"/>
        <w:rPr>
          <w:sz w:val="20"/>
          <w:szCs w:val="20"/>
          <w:color w:val="auto"/>
        </w:rPr>
      </w:pPr>
    </w:p>
    <w:p>
      <w:pPr>
        <w:ind w:left="2620" w:right="859" w:hanging="288"/>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adverse changes in industry trends;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adverse changes in environmental, health and safety regulations;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accidents resulting from the safety risks associated with the use and disposal of potentially hazardous materials such as EO and Co-60;</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accidents resulting from the safety risks associated with the transportation of potentially hazardous materials such as EO and Co-60;</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liability claims relating to health risks associated with the use of EO and Co-60;</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current and future legal proceedings;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intensity of competition we face;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any market changes that impact our long-term supply contracts with variable price clauses;</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allegations of our failure to properly perform our services and any potential product liability claims, recalls, penalties and reputational harm;</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regulatory requirements to which we are subject, and any failures to receive or maintain, or delays in receiving, required clearance or approvals;</w:t>
      </w:r>
    </w:p>
    <w:p>
      <w:pPr>
        <w:spacing w:after="0" w:line="51"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business continuity hazards and other risks associated with our operations, including our reliance on the use and sale of products and services from a single location;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impact of the COVID-19 pandemic;</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ability to increase capacity at existing facilities and build new facilities in a timely and cost-effective manner;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ability to renew the long-term leases for our facilities at the end of their terms;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risks of doing business internationally;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instability in global and regional economic and political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failure to retain key personnel and attract talent;</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significant regulatory oversight to which our import and export operations are subject, and any failure to comply with applicable regulations;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cyber security breaches and data leaks as a result of our dependence on information technology systems;</w:t>
      </w:r>
    </w:p>
    <w:p>
      <w:pPr>
        <w:spacing w:after="0" w:line="87"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risks of pursuing strategic transactions, including acquisitions, and our ability to find suitable acquisition targets or integrate strategic acquisitions successfully into our business;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ability to implement effective internal controls over financial reporting;</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reliance on intellectual property to maintain our competitive position and the risk of claims from third parties that we infringe or misappropriate their intellectual property rights;</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data privacy and security laws and regulations to which we are subject, and any ineffective compliance efforts with such laws and regulations;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ability to maintain profitability in the future;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impairment charges on our goodwill and other intangible assets with indefinite lives;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unionization efforts and labor regulations in certain countries in which we operate;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variety of laws involving the cannabis industry to which we are subject, and any failure to comply with those laws;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risk of government or private civil antitrust actions;</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adverse changes to our tax positions in U.S. or non-U.S. jurisdictions, the interpretation and application of recent U.S. tax legislation or other changes in U.S. or non-U.S. taxation of our operations;</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ability to generate sufficient cash flows or access sufficient additional capital to meet our debt obligations or to fund our other liquidity needs; and</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other risks described in the “Risk Factors” section of this prospectus and in Sotera Health’s 2020 10-K, which is incorporated herein by reference.</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selling stockholders, the underwriters or any other person that the future plans, estimates or expectations contemplated by us will be achieved.</w:t>
      </w:r>
    </w:p>
    <w:p>
      <w:pPr>
        <w:spacing w:after="0" w:line="111"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You should carefully consider the “Risk Factors” included or incorporated by reference herein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are filing the registration statement of which this prospectus is a part to permit holders of the shares of our common stock included in the section entitled “Principal and Selling Stockholders” to resell such shares. The selling stockholders will receive all of the net proceeds from the sale of shares of common stock in this offering. We are not selling any shares of common stock under this prospectus and will not receive any proceeds from the sale of shares by the selling stockholders or if the underwriters exercise their option to purchase additional shares.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do not currently expect to pay any dividends on our common stock. Instead, we intend to use any future earnings for the operation and growth of our business and the repayment of indebtedness.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24"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For a discussion of the application of withholding taxes on dividends, see “Material U.S. Federal Income Tax Considerations for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cash and cash equivalents and our capitalization as of December 31, 2020.</w:t>
      </w:r>
    </w:p>
    <w:p>
      <w:pPr>
        <w:spacing w:after="0" w:line="150" w:lineRule="exact"/>
        <w:rPr>
          <w:sz w:val="20"/>
          <w:szCs w:val="20"/>
          <w:color w:val="auto"/>
        </w:rPr>
      </w:pPr>
    </w:p>
    <w:p>
      <w:pPr>
        <w:ind w:left="1980" w:right="999" w:firstLine="294"/>
        <w:spacing w:after="0" w:line="298" w:lineRule="auto"/>
        <w:rPr>
          <w:sz w:val="20"/>
          <w:szCs w:val="20"/>
          <w:color w:val="auto"/>
        </w:rPr>
      </w:pPr>
      <w:r>
        <w:rPr>
          <w:rFonts w:ascii="Arial" w:cs="Arial" w:eastAsia="Arial" w:hAnsi="Arial"/>
          <w:sz w:val="11"/>
          <w:szCs w:val="11"/>
          <w:color w:val="auto"/>
        </w:rPr>
        <w:t>You should read the following table in conjunction with the sections titled “Prospectus Summary—Summary Consolidated Financial Data” and “Use of Proceeds” in this prospectus, as well as “Management’s Discussion and Analysis of Financial Condition and Results of Operations” and our financial statements and related notes included in Sotera Health’s 2020 10-K, which is incorporated herein by reference.</w:t>
      </w:r>
    </w:p>
    <w:p>
      <w:pPr>
        <w:spacing w:after="0" w:line="117" w:lineRule="exact"/>
        <w:rPr>
          <w:sz w:val="20"/>
          <w:szCs w:val="20"/>
          <w:color w:val="auto"/>
        </w:rPr>
      </w:pPr>
    </w:p>
    <w:p>
      <w:pPr>
        <w:jc w:val="center"/>
        <w:ind w:left="5660"/>
        <w:spacing w:after="0"/>
        <w:rPr>
          <w:sz w:val="20"/>
          <w:szCs w:val="20"/>
          <w:color w:val="auto"/>
        </w:rPr>
      </w:pPr>
      <w:r>
        <w:rPr>
          <w:rFonts w:ascii="Arial" w:cs="Arial" w:eastAsia="Arial" w:hAnsi="Arial"/>
          <w:sz w:val="10"/>
          <w:szCs w:val="10"/>
          <w:b w:val="1"/>
          <w:bCs w:val="1"/>
          <w:u w:val="single" w:color="auto"/>
          <w:color w:val="auto"/>
        </w:rPr>
        <w:t>As of December 31, 2020</w:t>
      </w:r>
    </w:p>
    <w:p>
      <w:pPr>
        <w:jc w:val="center"/>
        <w:ind w:left="5660"/>
        <w:spacing w:after="0" w:line="224" w:lineRule="auto"/>
        <w:rPr>
          <w:sz w:val="20"/>
          <w:szCs w:val="20"/>
          <w:color w:val="auto"/>
        </w:rPr>
      </w:pPr>
      <w:r>
        <w:rPr>
          <w:rFonts w:ascii="Arial" w:cs="Arial" w:eastAsia="Arial" w:hAnsi="Arial"/>
          <w:sz w:val="10"/>
          <w:szCs w:val="1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0</wp:posOffset>
            </wp:positionV>
            <wp:extent cx="4286250" cy="914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260"/>
        <w:spacing w:after="0"/>
        <w:tabs>
          <w:tab w:leader="none" w:pos="7960" w:val="left"/>
        </w:tabs>
        <w:rPr>
          <w:sz w:val="20"/>
          <w:szCs w:val="20"/>
          <w:color w:val="auto"/>
        </w:rPr>
      </w:pPr>
      <w:r>
        <w:rPr>
          <w:rFonts w:ascii="Arial" w:cs="Arial" w:eastAsia="Arial" w:hAnsi="Arial"/>
          <w:sz w:val="12"/>
          <w:szCs w:val="12"/>
          <w:color w:val="auto"/>
        </w:rPr>
        <w:t>Cash and cash equivalents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3175</wp:posOffset>
            </wp:positionV>
            <wp:extent cx="6400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0080" cy="571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14605</wp:posOffset>
            </wp:positionV>
            <wp:extent cx="6400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Long-term debt, including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9525</wp:posOffset>
            </wp:positionV>
            <wp:extent cx="4286250" cy="914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2"/>
          <w:szCs w:val="12"/>
          <w:color w:val="auto"/>
        </w:rPr>
        <w:t>Revolving credit facility</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Term Loan,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3810</wp:posOffset>
            </wp:positionV>
            <wp:extent cx="4286250" cy="91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2"/>
          <w:szCs w:val="12"/>
          <w:color w:val="auto"/>
        </w:rPr>
        <w:t>First Lien Notes, due 2026</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Other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3810</wp:posOffset>
            </wp:positionV>
            <wp:extent cx="4286250" cy="91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2"/>
          <w:szCs w:val="12"/>
          <w:color w:val="auto"/>
        </w:rPr>
        <w:t>Unamortized debt issuance costs and debt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3810</wp:posOffset>
            </wp:positionV>
            <wp:extent cx="6400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2"/>
          <w:szCs w:val="12"/>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9525</wp:posOffset>
            </wp:positionV>
            <wp:extent cx="4286250" cy="91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2"/>
          <w:szCs w:val="12"/>
          <w:color w:val="auto"/>
        </w:rPr>
        <w:t>Stockholders’ equity:</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Common stock, with $0.01 par value per share, 1,200,000 shares authorized, 285,990 shares</w:t>
      </w:r>
    </w:p>
    <w:p>
      <w:pPr>
        <w:spacing w:after="0" w:line="6" w:lineRule="exact"/>
        <w:rPr>
          <w:sz w:val="20"/>
          <w:szCs w:val="20"/>
          <w:color w:val="auto"/>
        </w:rPr>
      </w:pPr>
    </w:p>
    <w:p>
      <w:pPr>
        <w:ind w:left="2620"/>
        <w:spacing w:after="0"/>
        <w:rPr>
          <w:sz w:val="20"/>
          <w:szCs w:val="20"/>
          <w:color w:val="auto"/>
        </w:rPr>
      </w:pPr>
      <w:r>
        <w:rPr>
          <w:rFonts w:ascii="Arial" w:cs="Arial" w:eastAsia="Arial" w:hAnsi="Arial"/>
          <w:sz w:val="12"/>
          <w:szCs w:val="12"/>
          <w:color w:val="auto"/>
        </w:rPr>
        <w:t>issued and 283,248 shares outstanding</w:t>
      </w:r>
      <w:r>
        <w:rPr>
          <w:rFonts w:ascii="Arial" w:cs="Arial" w:eastAsia="Arial" w:hAnsi="Arial"/>
          <w:sz w:val="10"/>
          <w:szCs w:val="10"/>
          <w:color w:val="auto"/>
        </w:rPr>
        <w:t>(a)</w:t>
      </w:r>
      <w:r>
        <w:rPr>
          <w:rFonts w:ascii="Arial" w:cs="Arial" w:eastAsia="Arial" w:hAnsi="Arial"/>
          <w:sz w:val="12"/>
          <w:szCs w:val="12"/>
          <w:color w:val="auto"/>
        </w:rPr>
        <w:t>;</w:t>
      </w:r>
    </w:p>
    <w:p>
      <w:pPr>
        <w:spacing w:after="0" w:line="5"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Treasury shares - at cost (2,742 shares)</w:t>
      </w:r>
      <w:r>
        <w:rPr>
          <w:rFonts w:ascii="Arial" w:cs="Arial" w:eastAsia="Arial" w:hAnsi="Arial"/>
          <w:sz w:val="10"/>
          <w:szCs w:val="1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-86360</wp:posOffset>
            </wp:positionV>
            <wp:extent cx="4286250" cy="914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2"/>
          <w:szCs w:val="12"/>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3810</wp:posOffset>
            </wp:positionV>
            <wp:extent cx="4286250" cy="91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86250" cy="91440"/>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2"/>
          <w:szCs w:val="12"/>
          <w:color w:val="auto"/>
        </w:rPr>
        <w:t>Retained earnings (deficit)</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3810</wp:posOffset>
            </wp:positionV>
            <wp:extent cx="6400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2"/>
          <w:szCs w:val="12"/>
          <w:color w:val="auto"/>
        </w:rPr>
        <w:t>Total equity (deficit)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-81280</wp:posOffset>
            </wp:positionV>
            <wp:extent cx="4286250" cy="97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6250" cy="97155"/>
                    </a:xfrm>
                    <a:prstGeom prst="rect">
                      <a:avLst/>
                    </a:prstGeom>
                    <a:noFill/>
                  </pic:spPr>
                </pic:pic>
              </a:graphicData>
            </a:graphic>
          </wp:anchor>
        </w:drawing>
      </w:r>
    </w:p>
    <w:p>
      <w:pPr>
        <w:spacing w:after="0" w:line="4"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9525</wp:posOffset>
            </wp:positionV>
            <wp:extent cx="6400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0080" cy="5715"/>
                    </a:xfrm>
                    <a:prstGeom prst="rect">
                      <a:avLst/>
                    </a:prstGeom>
                    <a:noFill/>
                  </pic:spPr>
                </pic:pic>
              </a:graphicData>
            </a:graphic>
          </wp:anchor>
        </w:drawing>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Total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-81280</wp:posOffset>
            </wp:positionV>
            <wp:extent cx="4286250" cy="97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86250" cy="97155"/>
                    </a:xfrm>
                    <a:prstGeom prst="rect">
                      <a:avLst/>
                    </a:prstGeom>
                    <a:noFill/>
                  </pic:spPr>
                </pic:pic>
              </a:graphicData>
            </a:graphic>
          </wp:anchor>
        </w:drawing>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9525</wp:posOffset>
            </wp:positionV>
            <wp:extent cx="6400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0080" cy="571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20955</wp:posOffset>
            </wp:positionV>
            <wp:extent cx="6400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008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89535</wp:posOffset>
            </wp:positionV>
            <wp:extent cx="5143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4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Numbers in table may not foot, due to rounding.</w:t>
      </w:r>
    </w:p>
    <w:p>
      <w:pPr>
        <w:spacing w:after="0" w:line="87" w:lineRule="exact"/>
        <w:rPr>
          <w:sz w:val="20"/>
          <w:szCs w:val="20"/>
          <w:color w:val="auto"/>
        </w:rPr>
      </w:pPr>
    </w:p>
    <w:p>
      <w:pPr>
        <w:ind w:left="2260" w:right="1199" w:hanging="288"/>
        <w:spacing w:after="0" w:line="276" w:lineRule="auto"/>
        <w:tabs>
          <w:tab w:leader="none" w:pos="22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On January 1, 2021 and February 15, 2021, 323,785 and 21,497 shares of our common stock outstanding, respectively, were forfeited to the Company, resulting in a corresponding increase in treasury shares.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PRINCIPAL AND SELLING STOCKHOLDERS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information regarding the beneficial ownership of our common stock as of December 31, 2020 by:</w:t>
      </w:r>
    </w:p>
    <w:p>
      <w:pPr>
        <w:spacing w:after="0" w:line="87" w:lineRule="exact"/>
        <w:rPr>
          <w:sz w:val="20"/>
          <w:szCs w:val="20"/>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each person or group who is known by us to own beneficially more than 5% of our outstanding shares of common stock;</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each of our named executive officers;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of the executive officers and directors as a group;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all selling stockholders.</w:t>
      </w:r>
    </w:p>
    <w:p>
      <w:pPr>
        <w:spacing w:after="0" w:line="15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283,247,950 shares of common stock outstanding, as of December 31, 2020. For purposes of calculating each person’s percentage ownership, common stock issuable pursuant to options exercisable within 60 days of December 31,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in the table or footnotes below, the address for each beneficial owner is c/o Sotera Health, 9100 South Hills Blvd, Suite 300 Broadview Heights, Ohio 44147.</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300" w:type="dxa"/>
            <w:vAlign w:val="bottom"/>
            <w:gridSpan w:val="4"/>
            <w:vMerge w:val="restart"/>
          </w:tcPr>
          <w:p>
            <w:pPr>
              <w:jc w:val="center"/>
              <w:ind w:right="280"/>
              <w:spacing w:after="0"/>
              <w:rPr>
                <w:sz w:val="20"/>
                <w:szCs w:val="20"/>
                <w:color w:val="auto"/>
              </w:rPr>
            </w:pPr>
            <w:r>
              <w:rPr>
                <w:rFonts w:ascii="Arial" w:cs="Arial" w:eastAsia="Arial" w:hAnsi="Arial"/>
                <w:sz w:val="10"/>
                <w:szCs w:val="10"/>
                <w:b w:val="1"/>
                <w:bCs w:val="1"/>
                <w:color w:val="auto"/>
                <w:w w:val="84"/>
              </w:rPr>
              <w:t>Shares Beneficially</w:t>
            </w:r>
          </w:p>
        </w:tc>
        <w:tc>
          <w:tcPr>
            <w:tcW w:w="3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10"/>
          </w:tcPr>
          <w:p>
            <w:pPr>
              <w:ind w:left="100"/>
              <w:spacing w:after="0"/>
              <w:rPr>
                <w:sz w:val="20"/>
                <w:szCs w:val="20"/>
                <w:color w:val="auto"/>
              </w:rPr>
            </w:pPr>
            <w:r>
              <w:rPr>
                <w:rFonts w:ascii="Arial" w:cs="Arial" w:eastAsia="Arial" w:hAnsi="Arial"/>
                <w:sz w:val="10"/>
                <w:szCs w:val="10"/>
                <w:b w:val="1"/>
                <w:bCs w:val="1"/>
                <w:color w:val="auto"/>
                <w:w w:val="92"/>
              </w:rPr>
              <w:t>Shares Beneficially Owned After the Offering</w:t>
            </w:r>
          </w:p>
        </w:tc>
        <w:tc>
          <w:tcPr>
            <w:tcW w:w="2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1300" w:type="dxa"/>
            <w:vAlign w:val="bottom"/>
            <w:gridSpan w:val="4"/>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Owned Prior to the</w:t>
            </w:r>
          </w:p>
        </w:tc>
        <w:tc>
          <w:tcPr>
            <w:tcW w:w="1420" w:type="dxa"/>
            <w:vAlign w:val="bottom"/>
            <w:gridSpan w:val="7"/>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Assuming No Exercise of</w:t>
            </w:r>
          </w:p>
        </w:tc>
        <w:tc>
          <w:tcPr>
            <w:tcW w:w="1320" w:type="dxa"/>
            <w:vAlign w:val="bottom"/>
            <w:gridSpan w:val="6"/>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Assuming Full Exercise</w:t>
            </w:r>
          </w:p>
        </w:tc>
        <w:tc>
          <w:tcPr>
            <w:tcW w:w="0" w:type="dxa"/>
            <w:vAlign w:val="bottom"/>
          </w:tcPr>
          <w:p>
            <w:pPr>
              <w:spacing w:after="0"/>
              <w:rPr>
                <w:sz w:val="1"/>
                <w:szCs w:val="1"/>
                <w:color w:val="auto"/>
              </w:rPr>
            </w:pPr>
          </w:p>
        </w:tc>
      </w:tr>
      <w:tr>
        <w:trPr>
          <w:trHeight w:val="113"/>
        </w:trPr>
        <w:tc>
          <w:tcPr>
            <w:tcW w:w="3300" w:type="dxa"/>
            <w:vAlign w:val="bottom"/>
          </w:tcPr>
          <w:p>
            <w:pPr>
              <w:spacing w:after="0"/>
              <w:rPr>
                <w:sz w:val="9"/>
                <w:szCs w:val="9"/>
                <w:color w:val="auto"/>
              </w:rPr>
            </w:pPr>
          </w:p>
        </w:tc>
        <w:tc>
          <w:tcPr>
            <w:tcW w:w="780" w:type="dxa"/>
            <w:vAlign w:val="bottom"/>
            <w:gridSpan w:val="2"/>
          </w:tcPr>
          <w:p>
            <w:pPr>
              <w:jc w:val="center"/>
              <w:ind w:left="204"/>
              <w:spacing w:after="0" w:line="114" w:lineRule="exact"/>
              <w:rPr>
                <w:sz w:val="20"/>
                <w:szCs w:val="20"/>
                <w:color w:val="auto"/>
              </w:rPr>
            </w:pPr>
            <w:r>
              <w:rPr>
                <w:rFonts w:ascii="Arial" w:cs="Arial" w:eastAsia="Arial" w:hAnsi="Arial"/>
                <w:sz w:val="10"/>
                <w:szCs w:val="10"/>
                <w:b w:val="1"/>
                <w:bCs w:val="1"/>
                <w:color w:val="auto"/>
                <w:w w:val="92"/>
              </w:rPr>
              <w:t>Offering</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5"/>
          </w:tcPr>
          <w:p>
            <w:pPr>
              <w:jc w:val="center"/>
              <w:ind w:left="133"/>
              <w:spacing w:after="0" w:line="114" w:lineRule="exact"/>
              <w:rPr>
                <w:sz w:val="20"/>
                <w:szCs w:val="20"/>
                <w:color w:val="auto"/>
              </w:rPr>
            </w:pPr>
            <w:r>
              <w:rPr>
                <w:rFonts w:ascii="Arial" w:cs="Arial" w:eastAsia="Arial" w:hAnsi="Arial"/>
                <w:sz w:val="10"/>
                <w:szCs w:val="10"/>
                <w:b w:val="1"/>
                <w:bCs w:val="1"/>
                <w:color w:val="auto"/>
                <w:w w:val="90"/>
              </w:rPr>
              <w:t>Underwriters’ Option</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6"/>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of Underwriters’ Option</w:t>
            </w:r>
          </w:p>
        </w:tc>
        <w:tc>
          <w:tcPr>
            <w:tcW w:w="0" w:type="dxa"/>
            <w:vAlign w:val="bottom"/>
          </w:tcPr>
          <w:p>
            <w:pPr>
              <w:spacing w:after="0"/>
              <w:rPr>
                <w:sz w:val="1"/>
                <w:szCs w:val="1"/>
                <w:color w:val="auto"/>
              </w:rPr>
            </w:pPr>
          </w:p>
        </w:tc>
      </w:tr>
      <w:tr>
        <w:trPr>
          <w:trHeight w:val="74"/>
        </w:trPr>
        <w:tc>
          <w:tcPr>
            <w:tcW w:w="330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Shares</w:t>
            </w: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3"/>
          </w:tcPr>
          <w:p>
            <w:pPr>
              <w:jc w:val="center"/>
              <w:ind w:right="240"/>
              <w:spacing w:after="0" w:line="74" w:lineRule="exact"/>
              <w:rPr>
                <w:sz w:val="20"/>
                <w:szCs w:val="20"/>
                <w:color w:val="auto"/>
              </w:rPr>
            </w:pPr>
            <w:r>
              <w:rPr>
                <w:rFonts w:ascii="Arial" w:cs="Arial" w:eastAsia="Arial" w:hAnsi="Arial"/>
                <w:sz w:val="8"/>
                <w:szCs w:val="8"/>
                <w:b w:val="1"/>
                <w:bCs w:val="1"/>
                <w:color w:val="auto"/>
              </w:rPr>
              <w:t>Number</w:t>
            </w:r>
          </w:p>
        </w:tc>
        <w:tc>
          <w:tcPr>
            <w:tcW w:w="1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gridSpan w:val="2"/>
          </w:tcPr>
          <w:p>
            <w:pPr>
              <w:jc w:val="center"/>
              <w:ind w:right="140"/>
              <w:spacing w:after="0" w:line="74" w:lineRule="exact"/>
              <w:rPr>
                <w:sz w:val="20"/>
                <w:szCs w:val="20"/>
                <w:color w:val="auto"/>
              </w:rPr>
            </w:pPr>
            <w:r>
              <w:rPr>
                <w:rFonts w:ascii="Arial" w:cs="Arial" w:eastAsia="Arial" w:hAnsi="Arial"/>
                <w:sz w:val="8"/>
                <w:szCs w:val="8"/>
                <w:b w:val="1"/>
                <w:bCs w:val="1"/>
                <w:color w:val="auto"/>
              </w:rPr>
              <w:t>Shares</w:t>
            </w:r>
          </w:p>
        </w:tc>
        <w:tc>
          <w:tcPr>
            <w:tcW w:w="540" w:type="dxa"/>
            <w:vAlign w:val="bottom"/>
            <w:tcBorders>
              <w:top w:val="single" w:sz="8" w:color="auto"/>
            </w:tcBorders>
            <w:gridSpan w:val="2"/>
          </w:tcPr>
          <w:p>
            <w:pPr>
              <w:jc w:val="center"/>
              <w:ind w:right="120"/>
              <w:spacing w:after="0" w:line="74" w:lineRule="exact"/>
              <w:rPr>
                <w:sz w:val="20"/>
                <w:szCs w:val="20"/>
                <w:color w:val="auto"/>
              </w:rPr>
            </w:pPr>
            <w:r>
              <w:rPr>
                <w:rFonts w:ascii="Arial" w:cs="Arial" w:eastAsia="Arial" w:hAnsi="Arial"/>
                <w:sz w:val="8"/>
                <w:szCs w:val="8"/>
                <w:b w:val="1"/>
                <w:bCs w:val="1"/>
                <w:color w:val="auto"/>
              </w:rPr>
              <w:t>Number</w:t>
            </w:r>
          </w:p>
        </w:tc>
        <w:tc>
          <w:tcPr>
            <w:tcW w:w="2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7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Number of</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Offered</w:t>
            </w:r>
          </w:p>
        </w:tc>
        <w:tc>
          <w:tcPr>
            <w:tcW w:w="140" w:type="dxa"/>
            <w:vAlign w:val="bottom"/>
          </w:tcPr>
          <w:p>
            <w:pPr>
              <w:spacing w:after="0"/>
              <w:rPr>
                <w:sz w:val="8"/>
                <w:szCs w:val="8"/>
                <w:color w:val="auto"/>
              </w:rPr>
            </w:pPr>
          </w:p>
        </w:tc>
        <w:tc>
          <w:tcPr>
            <w:tcW w:w="62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of Shares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Offered</w:t>
            </w:r>
          </w:p>
        </w:tc>
        <w:tc>
          <w:tcPr>
            <w:tcW w:w="5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3"/>
              </w:rPr>
              <w:t>of Shares</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tcPr>
          <w:p>
            <w:pPr>
              <w:spacing w:after="0" w:line="114" w:lineRule="exact"/>
              <w:rPr>
                <w:sz w:val="20"/>
                <w:szCs w:val="20"/>
                <w:color w:val="auto"/>
              </w:rPr>
            </w:pPr>
            <w:r>
              <w:rPr>
                <w:rFonts w:ascii="Arial" w:cs="Arial" w:eastAsia="Arial" w:hAnsi="Arial"/>
                <w:sz w:val="10"/>
                <w:szCs w:val="10"/>
                <w:b w:val="1"/>
                <w:bCs w:val="1"/>
                <w:color w:val="auto"/>
              </w:rPr>
              <w:t>Name of Beneficial Owner</w:t>
            </w:r>
            <w:r>
              <w:rPr>
                <w:rFonts w:ascii="Arial" w:cs="Arial" w:eastAsia="Arial" w:hAnsi="Arial"/>
                <w:sz w:val="5"/>
                <w:szCs w:val="5"/>
                <w:b w:val="1"/>
                <w:bCs w:val="1"/>
                <w:color w:val="auto"/>
              </w:rPr>
              <w:t>(1)</w:t>
            </w:r>
          </w:p>
        </w:tc>
        <w:tc>
          <w:tcPr>
            <w:tcW w:w="7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6"/>
              </w:rPr>
              <w:t>Shares Held</w:t>
            </w:r>
          </w:p>
        </w:tc>
        <w:tc>
          <w:tcPr>
            <w:tcW w:w="260" w:type="dxa"/>
            <w:vAlign w:val="bottom"/>
          </w:tcPr>
          <w:p>
            <w:pPr>
              <w:jc w:val="right"/>
              <w:ind w:right="21"/>
              <w:spacing w:after="0" w:line="114"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9"/>
                <w:szCs w:val="9"/>
                <w:color w:val="auto"/>
              </w:rPr>
            </w:pPr>
          </w:p>
        </w:tc>
        <w:tc>
          <w:tcPr>
            <w:tcW w:w="3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8"/>
              </w:rPr>
              <w:t>Hereby</w:t>
            </w:r>
          </w:p>
        </w:tc>
        <w:tc>
          <w:tcPr>
            <w:tcW w:w="140" w:type="dxa"/>
            <w:vAlign w:val="bottom"/>
          </w:tcPr>
          <w:p>
            <w:pPr>
              <w:spacing w:after="0"/>
              <w:rPr>
                <w:sz w:val="9"/>
                <w:szCs w:val="9"/>
                <w:color w:val="auto"/>
              </w:rPr>
            </w:pPr>
          </w:p>
        </w:tc>
        <w:tc>
          <w:tcPr>
            <w:tcW w:w="620" w:type="dxa"/>
            <w:vAlign w:val="bottom"/>
            <w:gridSpan w:val="3"/>
          </w:tcPr>
          <w:p>
            <w:pPr>
              <w:jc w:val="center"/>
              <w:ind w:right="220"/>
              <w:spacing w:after="0" w:line="114" w:lineRule="exact"/>
              <w:rPr>
                <w:sz w:val="20"/>
                <w:szCs w:val="20"/>
                <w:color w:val="auto"/>
              </w:rPr>
            </w:pPr>
            <w:r>
              <w:rPr>
                <w:rFonts w:ascii="Arial" w:cs="Arial" w:eastAsia="Arial" w:hAnsi="Arial"/>
                <w:sz w:val="10"/>
                <w:szCs w:val="10"/>
                <w:b w:val="1"/>
                <w:bCs w:val="1"/>
                <w:color w:val="auto"/>
                <w:w w:val="92"/>
              </w:rPr>
              <w:t>Held</w:t>
            </w:r>
          </w:p>
        </w:tc>
        <w:tc>
          <w:tcPr>
            <w:tcW w:w="180" w:type="dxa"/>
            <w:vAlign w:val="bottom"/>
          </w:tcPr>
          <w:p>
            <w:pPr>
              <w:jc w:val="right"/>
              <w:ind w:right="32"/>
              <w:spacing w:after="0" w:line="114" w:lineRule="exact"/>
              <w:rPr>
                <w:sz w:val="20"/>
                <w:szCs w:val="20"/>
                <w:color w:val="auto"/>
              </w:rPr>
            </w:pPr>
            <w:r>
              <w:rPr>
                <w:rFonts w:ascii="Arial" w:cs="Arial" w:eastAsia="Arial" w:hAnsi="Arial"/>
                <w:sz w:val="10"/>
                <w:szCs w:val="10"/>
                <w:b w:val="1"/>
                <w:bCs w:val="1"/>
                <w:color w:val="auto"/>
                <w:w w:val="89"/>
              </w:rPr>
              <w:t>%</w:t>
            </w:r>
          </w:p>
        </w:tc>
        <w:tc>
          <w:tcPr>
            <w:tcW w:w="160" w:type="dxa"/>
            <w:vAlign w:val="bottom"/>
          </w:tcPr>
          <w:p>
            <w:pPr>
              <w:spacing w:after="0"/>
              <w:rPr>
                <w:sz w:val="9"/>
                <w:szCs w:val="9"/>
                <w:color w:val="auto"/>
              </w:rPr>
            </w:pPr>
          </w:p>
        </w:tc>
        <w:tc>
          <w:tcPr>
            <w:tcW w:w="4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Hereby</w:t>
            </w:r>
          </w:p>
        </w:tc>
        <w:tc>
          <w:tcPr>
            <w:tcW w:w="54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2"/>
              </w:rPr>
              <w:t>Held</w:t>
            </w:r>
          </w:p>
        </w:tc>
        <w:tc>
          <w:tcPr>
            <w:tcW w:w="280" w:type="dxa"/>
            <w:vAlign w:val="bottom"/>
          </w:tcPr>
          <w:p>
            <w:pPr>
              <w:jc w:val="right"/>
              <w:ind w:right="52"/>
              <w:spacing w:after="0" w:line="114" w:lineRule="exact"/>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3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5% Stockholders:</w:t>
            </w: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ind w:left="240"/>
              <w:spacing w:after="0" w:line="135" w:lineRule="exact"/>
              <w:rPr>
                <w:sz w:val="20"/>
                <w:szCs w:val="20"/>
                <w:color w:val="auto"/>
              </w:rPr>
            </w:pPr>
            <w:r>
              <w:rPr>
                <w:rFonts w:ascii="Arial" w:cs="Arial" w:eastAsia="Arial" w:hAnsi="Arial"/>
                <w:sz w:val="12"/>
                <w:szCs w:val="12"/>
                <w:color w:val="auto"/>
              </w:rPr>
              <w:t>Investment funds and entities affiliated with Warburg</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360"/>
              <w:spacing w:after="0"/>
              <w:rPr>
                <w:sz w:val="20"/>
                <w:szCs w:val="20"/>
                <w:color w:val="auto"/>
              </w:rPr>
            </w:pPr>
            <w:r>
              <w:rPr>
                <w:rFonts w:ascii="Arial" w:cs="Arial" w:eastAsia="Arial" w:hAnsi="Arial"/>
                <w:sz w:val="12"/>
                <w:szCs w:val="12"/>
                <w:color w:val="auto"/>
              </w:rPr>
              <w:t>Pincus</w:t>
            </w:r>
            <w:r>
              <w:rPr>
                <w:rFonts w:ascii="Arial" w:cs="Arial" w:eastAsia="Arial" w:hAnsi="Arial"/>
                <w:sz w:val="10"/>
                <w:szCs w:val="10"/>
                <w:color w:val="auto"/>
              </w:rPr>
              <w:t>(2)</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w w:val="92"/>
              </w:rPr>
              <w:t>118,929,897</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42.0%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Investment funds and entities affiliated with GTCR</w:t>
            </w:r>
            <w:r>
              <w:rPr>
                <w:rFonts w:ascii="Arial" w:cs="Arial" w:eastAsia="Arial" w:hAnsi="Arial"/>
                <w:sz w:val="10"/>
                <w:szCs w:val="10"/>
                <w:color w:val="auto"/>
              </w:rPr>
              <w:t>(3)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79,286,597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28.0%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20"/>
                <w:szCs w:val="20"/>
                <w:color w:val="auto"/>
              </w:rPr>
            </w:pPr>
            <w:r>
              <w:rPr>
                <w:rFonts w:ascii="Arial" w:cs="Arial" w:eastAsia="Arial" w:hAnsi="Arial"/>
                <w:sz w:val="12"/>
                <w:szCs w:val="12"/>
                <w:b w:val="1"/>
                <w:bCs w:val="1"/>
                <w:color w:val="auto"/>
              </w:rPr>
              <w:t>Named Executive Officers and Directors: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Michael B. Petras, Jr.</w:t>
            </w:r>
            <w:r>
              <w:rPr>
                <w:rFonts w:ascii="Arial" w:cs="Arial" w:eastAsia="Arial" w:hAnsi="Arial"/>
                <w:sz w:val="10"/>
                <w:szCs w:val="10"/>
                <w:color w:val="auto"/>
              </w:rPr>
              <w:t>(4)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7,194,624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40"/>
              <w:spacing w:after="0"/>
              <w:rPr>
                <w:sz w:val="20"/>
                <w:szCs w:val="20"/>
                <w:color w:val="auto"/>
              </w:rPr>
            </w:pPr>
            <w:r>
              <w:rPr>
                <w:rFonts w:ascii="Arial" w:cs="Arial" w:eastAsia="Arial" w:hAnsi="Arial"/>
                <w:sz w:val="12"/>
                <w:szCs w:val="12"/>
                <w:color w:val="auto"/>
              </w:rPr>
              <w:t>Scott J. Leffler</w:t>
            </w:r>
            <w:r>
              <w:rPr>
                <w:rFonts w:ascii="Arial" w:cs="Arial" w:eastAsia="Arial" w:hAnsi="Arial"/>
                <w:sz w:val="10"/>
                <w:szCs w:val="10"/>
                <w:color w:val="auto"/>
              </w:rPr>
              <w:t>(5)</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652,927</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Michael P. Rutz</w:t>
            </w:r>
            <w:r>
              <w:rPr>
                <w:rFonts w:ascii="Arial" w:cs="Arial" w:eastAsia="Arial" w:hAnsi="Arial"/>
                <w:sz w:val="10"/>
                <w:szCs w:val="10"/>
                <w:color w:val="auto"/>
              </w:rPr>
              <w:t>(6)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594,957</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40"/>
              <w:spacing w:after="0"/>
              <w:rPr>
                <w:sz w:val="20"/>
                <w:szCs w:val="20"/>
                <w:color w:val="auto"/>
              </w:rPr>
            </w:pPr>
            <w:r>
              <w:rPr>
                <w:rFonts w:ascii="Arial" w:cs="Arial" w:eastAsia="Arial" w:hAnsi="Arial"/>
                <w:sz w:val="12"/>
                <w:szCs w:val="12"/>
                <w:color w:val="auto"/>
              </w:rPr>
              <w:t>Ruoxi Chen</w:t>
            </w:r>
            <w:r>
              <w:rPr>
                <w:rFonts w:ascii="Arial" w:cs="Arial" w:eastAsia="Arial" w:hAnsi="Arial"/>
                <w:sz w:val="10"/>
                <w:szCs w:val="10"/>
                <w:color w:val="auto"/>
              </w:rPr>
              <w:t>(7)</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w w:val="92"/>
              </w:rPr>
              <w:t>118,929,897</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42.0%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Sean L. Cunningham</w:t>
            </w:r>
            <w:r>
              <w:rPr>
                <w:rFonts w:ascii="Arial" w:cs="Arial" w:eastAsia="Arial" w:hAnsi="Arial"/>
                <w:sz w:val="10"/>
                <w:szCs w:val="10"/>
                <w:color w:val="auto"/>
              </w:rPr>
              <w:t>(3)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79,286,597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28.0%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40"/>
              <w:spacing w:after="0"/>
              <w:rPr>
                <w:sz w:val="20"/>
                <w:szCs w:val="20"/>
                <w:color w:val="auto"/>
              </w:rPr>
            </w:pPr>
            <w:r>
              <w:rPr>
                <w:rFonts w:ascii="Arial" w:cs="Arial" w:eastAsia="Arial" w:hAnsi="Arial"/>
                <w:sz w:val="12"/>
                <w:szCs w:val="12"/>
                <w:color w:val="auto"/>
              </w:rPr>
              <w:t>David A. Donnini</w:t>
            </w:r>
            <w:r>
              <w:rPr>
                <w:rFonts w:ascii="Arial" w:cs="Arial" w:eastAsia="Arial" w:hAnsi="Arial"/>
                <w:sz w:val="10"/>
                <w:szCs w:val="10"/>
                <w:color w:val="auto"/>
              </w:rPr>
              <w:t>(3)</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79,286,597</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28.0%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Stephanie Geveda</w:t>
            </w:r>
            <w:r>
              <w:rPr>
                <w:rFonts w:ascii="Arial" w:cs="Arial" w:eastAsia="Arial" w:hAnsi="Arial"/>
                <w:sz w:val="10"/>
                <w:szCs w:val="10"/>
                <w:color w:val="auto"/>
              </w:rPr>
              <w:t>(7)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2"/>
              </w:rPr>
              <w:t>118,929,897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42.0%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40"/>
              <w:spacing w:after="0"/>
              <w:rPr>
                <w:sz w:val="20"/>
                <w:szCs w:val="20"/>
                <w:color w:val="auto"/>
              </w:rPr>
            </w:pPr>
            <w:r>
              <w:rPr>
                <w:rFonts w:ascii="Arial" w:cs="Arial" w:eastAsia="Arial" w:hAnsi="Arial"/>
                <w:sz w:val="12"/>
                <w:szCs w:val="12"/>
                <w:color w:val="auto"/>
              </w:rPr>
              <w:t>Ann R. Klee</w:t>
            </w:r>
            <w:r>
              <w:rPr>
                <w:rFonts w:ascii="Arial" w:cs="Arial" w:eastAsia="Arial" w:hAnsi="Arial"/>
                <w:sz w:val="10"/>
                <w:szCs w:val="10"/>
                <w:color w:val="auto"/>
              </w:rPr>
              <w:t>(8)</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50,925</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Constantine S. Mihas</w:t>
            </w:r>
            <w:r>
              <w:rPr>
                <w:rFonts w:ascii="Arial" w:cs="Arial" w:eastAsia="Arial" w:hAnsi="Arial"/>
                <w:sz w:val="10"/>
                <w:szCs w:val="10"/>
                <w:color w:val="auto"/>
              </w:rPr>
              <w:t>(3)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79,286,597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28.0%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640" w:type="dxa"/>
            <w:vAlign w:val="bottom"/>
          </w:tcPr>
          <w:p>
            <w:pPr>
              <w:jc w:val="right"/>
              <w:ind w:right="164"/>
              <w:spacing w:after="0"/>
              <w:rPr>
                <w:sz w:val="20"/>
                <w:szCs w:val="20"/>
                <w:color w:val="auto"/>
              </w:rPr>
            </w:pPr>
            <w:r>
              <w:rPr>
                <w:rFonts w:ascii="Arial" w:cs="Arial" w:eastAsia="Arial" w:hAnsi="Arial"/>
                <w:sz w:val="12"/>
                <w:szCs w:val="12"/>
                <w:color w:val="auto"/>
              </w:rPr>
              <w:t>58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8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300" w:type="dxa"/>
            <w:vAlign w:val="bottom"/>
            <w:gridSpan w:val="4"/>
            <w:vMerge w:val="restart"/>
          </w:tcPr>
          <w:p>
            <w:pPr>
              <w:jc w:val="center"/>
              <w:ind w:right="240"/>
              <w:spacing w:after="0"/>
              <w:rPr>
                <w:sz w:val="20"/>
                <w:szCs w:val="20"/>
                <w:color w:val="auto"/>
              </w:rPr>
            </w:pPr>
            <w:r>
              <w:rPr>
                <w:rFonts w:ascii="Arial" w:cs="Arial" w:eastAsia="Arial" w:hAnsi="Arial"/>
                <w:sz w:val="10"/>
                <w:szCs w:val="10"/>
                <w:b w:val="1"/>
                <w:bCs w:val="1"/>
                <w:color w:val="auto"/>
                <w:w w:val="84"/>
              </w:rPr>
              <w:t>Shares Beneficially</w:t>
            </w:r>
          </w:p>
        </w:tc>
        <w:tc>
          <w:tcPr>
            <w:tcW w:w="3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10"/>
          </w:tcPr>
          <w:p>
            <w:pPr>
              <w:ind w:left="100"/>
              <w:spacing w:after="0"/>
              <w:rPr>
                <w:sz w:val="20"/>
                <w:szCs w:val="20"/>
                <w:color w:val="auto"/>
              </w:rPr>
            </w:pPr>
            <w:r>
              <w:rPr>
                <w:rFonts w:ascii="Arial" w:cs="Arial" w:eastAsia="Arial" w:hAnsi="Arial"/>
                <w:sz w:val="10"/>
                <w:szCs w:val="10"/>
                <w:b w:val="1"/>
                <w:bCs w:val="1"/>
                <w:color w:val="auto"/>
                <w:w w:val="93"/>
              </w:rPr>
              <w:t>Shares Beneficially Owned After the Offering</w:t>
            </w:r>
          </w:p>
        </w:tc>
        <w:tc>
          <w:tcPr>
            <w:tcW w:w="2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328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1300" w:type="dxa"/>
            <w:vAlign w:val="bottom"/>
            <w:gridSpan w:val="4"/>
          </w:tcPr>
          <w:p>
            <w:pPr>
              <w:jc w:val="center"/>
              <w:ind w:right="240"/>
              <w:spacing w:after="0" w:line="99" w:lineRule="exact"/>
              <w:rPr>
                <w:sz w:val="20"/>
                <w:szCs w:val="20"/>
                <w:color w:val="auto"/>
              </w:rPr>
            </w:pPr>
            <w:r>
              <w:rPr>
                <w:rFonts w:ascii="Arial" w:cs="Arial" w:eastAsia="Arial" w:hAnsi="Arial"/>
                <w:sz w:val="10"/>
                <w:szCs w:val="10"/>
                <w:b w:val="1"/>
                <w:bCs w:val="1"/>
                <w:color w:val="auto"/>
                <w:w w:val="87"/>
              </w:rPr>
              <w:t>Owned Prior to the</w:t>
            </w:r>
          </w:p>
        </w:tc>
        <w:tc>
          <w:tcPr>
            <w:tcW w:w="1440" w:type="dxa"/>
            <w:vAlign w:val="bottom"/>
            <w:gridSpan w:val="7"/>
          </w:tcPr>
          <w:p>
            <w:pPr>
              <w:jc w:val="center"/>
              <w:ind w:right="140"/>
              <w:spacing w:after="0" w:line="99" w:lineRule="exact"/>
              <w:rPr>
                <w:sz w:val="20"/>
                <w:szCs w:val="20"/>
                <w:color w:val="auto"/>
              </w:rPr>
            </w:pPr>
            <w:r>
              <w:rPr>
                <w:rFonts w:ascii="Arial" w:cs="Arial" w:eastAsia="Arial" w:hAnsi="Arial"/>
                <w:sz w:val="10"/>
                <w:szCs w:val="10"/>
                <w:b w:val="1"/>
                <w:bCs w:val="1"/>
                <w:color w:val="auto"/>
                <w:w w:val="84"/>
              </w:rPr>
              <w:t>Assuming No Exercise of</w:t>
            </w:r>
          </w:p>
        </w:tc>
        <w:tc>
          <w:tcPr>
            <w:tcW w:w="1320" w:type="dxa"/>
            <w:vAlign w:val="bottom"/>
            <w:gridSpan w:val="6"/>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Assuming Full Exercise</w:t>
            </w:r>
          </w:p>
        </w:tc>
        <w:tc>
          <w:tcPr>
            <w:tcW w:w="0" w:type="dxa"/>
            <w:vAlign w:val="bottom"/>
          </w:tcPr>
          <w:p>
            <w:pPr>
              <w:spacing w:after="0"/>
              <w:rPr>
                <w:sz w:val="1"/>
                <w:szCs w:val="1"/>
                <w:color w:val="auto"/>
              </w:rPr>
            </w:pPr>
          </w:p>
        </w:tc>
      </w:tr>
      <w:tr>
        <w:trPr>
          <w:trHeight w:val="113"/>
        </w:trPr>
        <w:tc>
          <w:tcPr>
            <w:tcW w:w="3280" w:type="dxa"/>
            <w:vAlign w:val="bottom"/>
          </w:tcPr>
          <w:p>
            <w:pPr>
              <w:spacing w:after="0"/>
              <w:rPr>
                <w:sz w:val="9"/>
                <w:szCs w:val="9"/>
                <w:color w:val="auto"/>
              </w:rPr>
            </w:pPr>
          </w:p>
        </w:tc>
        <w:tc>
          <w:tcPr>
            <w:tcW w:w="800" w:type="dxa"/>
            <w:vAlign w:val="bottom"/>
            <w:gridSpan w:val="2"/>
          </w:tcPr>
          <w:p>
            <w:pPr>
              <w:jc w:val="center"/>
              <w:ind w:left="208"/>
              <w:spacing w:after="0" w:line="114" w:lineRule="exact"/>
              <w:rPr>
                <w:sz w:val="20"/>
                <w:szCs w:val="20"/>
                <w:color w:val="auto"/>
              </w:rPr>
            </w:pPr>
            <w:r>
              <w:rPr>
                <w:rFonts w:ascii="Arial" w:cs="Arial" w:eastAsia="Arial" w:hAnsi="Arial"/>
                <w:sz w:val="10"/>
                <w:szCs w:val="10"/>
                <w:b w:val="1"/>
                <w:bCs w:val="1"/>
                <w:color w:val="auto"/>
                <w:w w:val="87"/>
              </w:rPr>
              <w:t>Offering</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5"/>
          </w:tcPr>
          <w:p>
            <w:pPr>
              <w:jc w:val="center"/>
              <w:ind w:left="133"/>
              <w:spacing w:after="0" w:line="114" w:lineRule="exact"/>
              <w:rPr>
                <w:sz w:val="20"/>
                <w:szCs w:val="20"/>
                <w:color w:val="auto"/>
              </w:rPr>
            </w:pPr>
            <w:r>
              <w:rPr>
                <w:rFonts w:ascii="Arial" w:cs="Arial" w:eastAsia="Arial" w:hAnsi="Arial"/>
                <w:sz w:val="10"/>
                <w:szCs w:val="10"/>
                <w:b w:val="1"/>
                <w:bCs w:val="1"/>
                <w:color w:val="auto"/>
                <w:w w:val="88"/>
              </w:rPr>
              <w:t>Underwriters’ Option</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6"/>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of Underwriters’ Option</w:t>
            </w:r>
          </w:p>
        </w:tc>
        <w:tc>
          <w:tcPr>
            <w:tcW w:w="0" w:type="dxa"/>
            <w:vAlign w:val="bottom"/>
          </w:tcPr>
          <w:p>
            <w:pPr>
              <w:spacing w:after="0"/>
              <w:rPr>
                <w:sz w:val="1"/>
                <w:szCs w:val="1"/>
                <w:color w:val="auto"/>
              </w:rPr>
            </w:pPr>
          </w:p>
        </w:tc>
      </w:tr>
      <w:tr>
        <w:trPr>
          <w:trHeight w:val="74"/>
        </w:trPr>
        <w:tc>
          <w:tcPr>
            <w:tcW w:w="328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Shares</w:t>
            </w: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gridSpan w:val="3"/>
          </w:tcPr>
          <w:p>
            <w:pPr>
              <w:jc w:val="center"/>
              <w:ind w:right="220"/>
              <w:spacing w:after="0" w:line="74" w:lineRule="exact"/>
              <w:rPr>
                <w:sz w:val="20"/>
                <w:szCs w:val="20"/>
                <w:color w:val="auto"/>
              </w:rPr>
            </w:pPr>
            <w:r>
              <w:rPr>
                <w:rFonts w:ascii="Arial" w:cs="Arial" w:eastAsia="Arial" w:hAnsi="Arial"/>
                <w:sz w:val="8"/>
                <w:szCs w:val="8"/>
                <w:b w:val="1"/>
                <w:bCs w:val="1"/>
                <w:color w:val="auto"/>
              </w:rPr>
              <w:t>Number</w:t>
            </w:r>
          </w:p>
        </w:tc>
        <w:tc>
          <w:tcPr>
            <w:tcW w:w="1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gridSpan w:val="2"/>
          </w:tcPr>
          <w:p>
            <w:pPr>
              <w:jc w:val="center"/>
              <w:ind w:right="140"/>
              <w:spacing w:after="0" w:line="74" w:lineRule="exact"/>
              <w:rPr>
                <w:sz w:val="20"/>
                <w:szCs w:val="20"/>
                <w:color w:val="auto"/>
              </w:rPr>
            </w:pPr>
            <w:r>
              <w:rPr>
                <w:rFonts w:ascii="Arial" w:cs="Arial" w:eastAsia="Arial" w:hAnsi="Arial"/>
                <w:sz w:val="8"/>
                <w:szCs w:val="8"/>
                <w:b w:val="1"/>
                <w:bCs w:val="1"/>
                <w:color w:val="auto"/>
              </w:rPr>
              <w:t>Shares</w:t>
            </w:r>
          </w:p>
        </w:tc>
        <w:tc>
          <w:tcPr>
            <w:tcW w:w="540" w:type="dxa"/>
            <w:vAlign w:val="bottom"/>
            <w:tcBorders>
              <w:top w:val="single" w:sz="8" w:color="auto"/>
            </w:tcBorders>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Number</w:t>
            </w:r>
          </w:p>
        </w:tc>
        <w:tc>
          <w:tcPr>
            <w:tcW w:w="2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8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rPr>
              <w:t>Number of</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Offered</w:t>
            </w:r>
          </w:p>
        </w:tc>
        <w:tc>
          <w:tcPr>
            <w:tcW w:w="140" w:type="dxa"/>
            <w:vAlign w:val="bottom"/>
          </w:tcPr>
          <w:p>
            <w:pPr>
              <w:spacing w:after="0"/>
              <w:rPr>
                <w:sz w:val="8"/>
                <w:szCs w:val="8"/>
                <w:color w:val="auto"/>
              </w:rPr>
            </w:pPr>
          </w:p>
        </w:tc>
        <w:tc>
          <w:tcPr>
            <w:tcW w:w="64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3"/>
              </w:rPr>
              <w:t>of Shares</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Offered</w:t>
            </w:r>
          </w:p>
        </w:tc>
        <w:tc>
          <w:tcPr>
            <w:tcW w:w="5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of Shares</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b w:val="1"/>
                <w:bCs w:val="1"/>
                <w:color w:val="auto"/>
              </w:rPr>
              <w:t>Name of Beneficial Owner</w:t>
            </w:r>
            <w:r>
              <w:rPr>
                <w:rFonts w:ascii="Arial" w:cs="Arial" w:eastAsia="Arial" w:hAnsi="Arial"/>
                <w:sz w:val="5"/>
                <w:szCs w:val="5"/>
                <w:b w:val="1"/>
                <w:bCs w:val="1"/>
                <w:color w:val="auto"/>
              </w:rPr>
              <w:t>(1)</w:t>
            </w:r>
          </w:p>
        </w:tc>
        <w:tc>
          <w:tcPr>
            <w:tcW w:w="640" w:type="dxa"/>
            <w:vAlign w:val="bottom"/>
            <w:tcBorders>
              <w:bottom w:val="single" w:sz="8" w:color="auto"/>
            </w:tcBorders>
          </w:tcPr>
          <w:p>
            <w:pPr>
              <w:jc w:val="right"/>
              <w:ind w:right="8"/>
              <w:spacing w:after="0" w:line="114" w:lineRule="exact"/>
              <w:rPr>
                <w:sz w:val="20"/>
                <w:szCs w:val="20"/>
                <w:color w:val="auto"/>
              </w:rPr>
            </w:pPr>
            <w:r>
              <w:rPr>
                <w:rFonts w:ascii="Arial" w:cs="Arial" w:eastAsia="Arial" w:hAnsi="Arial"/>
                <w:sz w:val="10"/>
                <w:szCs w:val="10"/>
                <w:b w:val="1"/>
                <w:bCs w:val="1"/>
                <w:color w:val="auto"/>
                <w:w w:val="96"/>
              </w:rPr>
              <w:t>Shares Held</w:t>
            </w:r>
          </w:p>
        </w:tc>
        <w:tc>
          <w:tcPr>
            <w:tcW w:w="1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ind w:right="3"/>
              <w:spacing w:after="0" w:line="114" w:lineRule="exact"/>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Hereby</w:t>
            </w:r>
          </w:p>
        </w:tc>
        <w:tc>
          <w:tcPr>
            <w:tcW w:w="1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2"/>
              </w:rPr>
              <w:t>Held</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w w:val="83"/>
              </w:rPr>
              <w:t>%</w:t>
            </w:r>
          </w:p>
        </w:tc>
        <w:tc>
          <w:tcPr>
            <w:tcW w:w="1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Hereby</w:t>
            </w:r>
          </w:p>
        </w:tc>
        <w:tc>
          <w:tcPr>
            <w:tcW w:w="14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2"/>
              </w:rPr>
              <w:t>Held</w:t>
            </w:r>
          </w:p>
        </w:tc>
        <w:tc>
          <w:tcPr>
            <w:tcW w:w="16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jc w:val="right"/>
              <w:ind w:right="52"/>
              <w:spacing w:after="0" w:line="114" w:lineRule="exact"/>
              <w:rPr>
                <w:sz w:val="20"/>
                <w:szCs w:val="20"/>
                <w:color w:val="auto"/>
              </w:rPr>
            </w:pPr>
            <w:r>
              <w:rPr>
                <w:rFonts w:ascii="Arial" w:cs="Arial" w:eastAsia="Arial" w:hAnsi="Arial"/>
                <w:sz w:val="10"/>
                <w:szCs w:val="10"/>
                <w:b w:val="1"/>
                <w:bCs w:val="1"/>
                <w:color w:val="auto"/>
              </w:rPr>
              <w:t>%</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280" w:type="dxa"/>
            <w:vAlign w:val="bottom"/>
            <w:shd w:val="clear" w:color="auto" w:fill="CCEEFF"/>
          </w:tcPr>
          <w:p>
            <w:pPr>
              <w:ind w:left="240"/>
              <w:spacing w:after="0" w:line="133" w:lineRule="exact"/>
              <w:rPr>
                <w:sz w:val="20"/>
                <w:szCs w:val="20"/>
                <w:color w:val="auto"/>
              </w:rPr>
            </w:pPr>
            <w:r>
              <w:rPr>
                <w:rFonts w:ascii="Arial" w:cs="Arial" w:eastAsia="Arial" w:hAnsi="Arial"/>
                <w:sz w:val="12"/>
                <w:szCs w:val="12"/>
                <w:color w:val="auto"/>
              </w:rPr>
              <w:t>James C. Neary</w:t>
            </w:r>
            <w:r>
              <w:rPr>
                <w:rFonts w:ascii="Arial" w:cs="Arial" w:eastAsia="Arial" w:hAnsi="Arial"/>
                <w:sz w:val="10"/>
                <w:szCs w:val="10"/>
                <w:color w:val="auto"/>
              </w:rPr>
              <w:t>(7)</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118,929,897</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w w:val="99"/>
              </w:rPr>
              <w:t>42.0%</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40"/>
              <w:spacing w:after="0"/>
              <w:rPr>
                <w:sz w:val="20"/>
                <w:szCs w:val="20"/>
                <w:color w:val="auto"/>
              </w:rPr>
            </w:pPr>
            <w:r>
              <w:rPr>
                <w:rFonts w:ascii="Arial" w:cs="Arial" w:eastAsia="Arial" w:hAnsi="Arial"/>
                <w:sz w:val="12"/>
                <w:szCs w:val="12"/>
                <w:color w:val="auto"/>
              </w:rPr>
              <w:t>Vincent K. Petrella</w:t>
            </w:r>
          </w:p>
        </w:tc>
        <w:tc>
          <w:tcPr>
            <w:tcW w:w="800" w:type="dxa"/>
            <w:vAlign w:val="bottom"/>
            <w:gridSpan w:val="2"/>
          </w:tcPr>
          <w:p>
            <w:pPr>
              <w:jc w:val="center"/>
              <w:ind w:left="188"/>
              <w:spacing w:after="0"/>
              <w:rPr>
                <w:sz w:val="20"/>
                <w:szCs w:val="20"/>
                <w:color w:val="auto"/>
              </w:rPr>
            </w:pPr>
            <w:r>
              <w:rPr>
                <w:rFonts w:ascii="Arial" w:cs="Arial" w:eastAsia="Arial" w:hAnsi="Arial"/>
                <w:sz w:val="12"/>
                <w:szCs w:val="12"/>
                <w:color w:val="auto"/>
                <w:w w:val="99"/>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4"/>
              </w:rPr>
              <w:t>All Executive Officers and Directors as a group (12 Persons)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2"/>
              </w:rPr>
              <w:t>207,079,165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73.1%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20"/>
                <w:szCs w:val="20"/>
                <w:color w:val="auto"/>
              </w:rPr>
            </w:pPr>
            <w:r>
              <w:rPr>
                <w:rFonts w:ascii="Arial" w:cs="Arial" w:eastAsia="Arial" w:hAnsi="Arial"/>
                <w:sz w:val="12"/>
                <w:szCs w:val="12"/>
                <w:b w:val="1"/>
                <w:bCs w:val="1"/>
                <w:color w:val="auto"/>
              </w:rPr>
              <w:t>Other Selling Stockholders: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All Additional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71" w:lineRule="exact"/>
        <w:rPr>
          <w:sz w:val="20"/>
          <w:szCs w:val="20"/>
          <w:color w:val="auto"/>
        </w:rPr>
      </w:pPr>
    </w:p>
    <w:p>
      <w:pPr>
        <w:ind w:left="2260" w:hanging="288"/>
        <w:spacing w:after="0"/>
        <w:tabs>
          <w:tab w:leader="none" w:pos="22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15" w:lineRule="exact"/>
        <w:rPr>
          <w:sz w:val="20"/>
          <w:szCs w:val="20"/>
          <w:color w:val="auto"/>
        </w:rPr>
      </w:pPr>
    </w:p>
    <w:p>
      <w:pPr>
        <w:ind w:left="2260" w:right="1039" w:hanging="288"/>
        <w:spacing w:after="0" w:line="250" w:lineRule="auto"/>
        <w:tabs>
          <w:tab w:leader="none" w:pos="22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Shares shown in the table above include shares held in the beneficial owner’s name or jointly with others, or in the name of a bank, nominee or trustee for the beneficial owner’s account.</w:t>
      </w:r>
    </w:p>
    <w:p>
      <w:pPr>
        <w:ind w:left="2260" w:right="1239" w:hanging="288"/>
        <w:spacing w:after="0" w:line="260" w:lineRule="auto"/>
        <w:tabs>
          <w:tab w:leader="none" w:pos="22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Consists of (i) 74,276,334 shares held of record by Warburg Pincus Private Equity XI, L.P., a Delaware limited partnership (“WP XI”), (ii) 13,324,816 shares held of record by Warburg Pincus Private Equity XI-B, L.P., a Delaware limited partnership</w:t>
      </w:r>
    </w:p>
    <w:p>
      <w:pPr>
        <w:spacing w:after="0" w:line="52" w:lineRule="exact"/>
        <w:rPr>
          <w:rFonts w:ascii="Arial" w:cs="Arial" w:eastAsia="Arial" w:hAnsi="Arial"/>
          <w:sz w:val="12"/>
          <w:szCs w:val="12"/>
          <w:color w:val="auto"/>
        </w:rPr>
      </w:pPr>
    </w:p>
    <w:p>
      <w:pPr>
        <w:ind w:left="2260" w:right="859"/>
        <w:spacing w:after="0" w:line="259" w:lineRule="auto"/>
        <w:rPr>
          <w:rFonts w:ascii="Arial" w:cs="Arial" w:eastAsia="Arial" w:hAnsi="Arial"/>
          <w:sz w:val="12"/>
          <w:szCs w:val="12"/>
          <w:color w:val="auto"/>
        </w:rPr>
      </w:pPr>
      <w:r>
        <w:rPr>
          <w:rFonts w:ascii="Arial" w:cs="Arial" w:eastAsia="Arial" w:hAnsi="Arial"/>
          <w:sz w:val="12"/>
          <w:szCs w:val="12"/>
          <w:color w:val="auto"/>
        </w:rPr>
        <w:t>(“WP XI-B”), (iii) 304,567 shares held of record by Warburg Pincus Private Equity XI-C, L.P., a Cayman Islands exempted limited partnership (“WP XI-C”), (iv) 2,512,680 shares held of record by WP XI Partners, L.P., a Delaware limited partnership (“WP XIP”), (v) 4,758,863 shares held of record by Warburg Pincus XI Partners, L.P., a Delaware limited partnership (“WP XI Partners”) and (vi) 23,752,637 shares held of record by Bull Co-Invest L.P., a Delaware limited partnership (“WP Bull”).</w:t>
      </w:r>
    </w:p>
    <w:p>
      <w:pPr>
        <w:spacing w:after="0" w:line="52" w:lineRule="exact"/>
        <w:rPr>
          <w:rFonts w:ascii="Arial" w:cs="Arial" w:eastAsia="Arial" w:hAnsi="Arial"/>
          <w:sz w:val="12"/>
          <w:szCs w:val="12"/>
          <w:color w:val="auto"/>
        </w:rPr>
      </w:pPr>
    </w:p>
    <w:p>
      <w:pPr>
        <w:ind w:left="2260" w:right="939"/>
        <w:spacing w:after="0" w:line="256" w:lineRule="auto"/>
        <w:rPr>
          <w:rFonts w:ascii="Arial" w:cs="Arial" w:eastAsia="Arial" w:hAnsi="Arial"/>
          <w:sz w:val="12"/>
          <w:szCs w:val="12"/>
          <w:color w:val="auto"/>
        </w:rPr>
      </w:pPr>
      <w:r>
        <w:rPr>
          <w:rFonts w:ascii="Arial" w:cs="Arial" w:eastAsia="Arial" w:hAnsi="Arial"/>
          <w:sz w:val="12"/>
          <w:szCs w:val="12"/>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56" w:lineRule="exact"/>
        <w:rPr>
          <w:rFonts w:ascii="Arial" w:cs="Arial" w:eastAsia="Arial" w:hAnsi="Arial"/>
          <w:sz w:val="12"/>
          <w:szCs w:val="12"/>
          <w:color w:val="auto"/>
        </w:rPr>
      </w:pPr>
    </w:p>
    <w:p>
      <w:pPr>
        <w:ind w:left="2260" w:right="899"/>
        <w:spacing w:after="0" w:line="285" w:lineRule="auto"/>
        <w:rPr>
          <w:rFonts w:ascii="Arial" w:cs="Arial" w:eastAsia="Arial" w:hAnsi="Arial"/>
          <w:sz w:val="12"/>
          <w:szCs w:val="12"/>
          <w:color w:val="auto"/>
        </w:rPr>
      </w:pPr>
      <w:r>
        <w:rPr>
          <w:rFonts w:ascii="Arial" w:cs="Arial" w:eastAsia="Arial" w:hAnsi="Arial"/>
          <w:sz w:val="11"/>
          <w:szCs w:val="11"/>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41" w:lineRule="exact"/>
        <w:rPr>
          <w:rFonts w:ascii="Arial" w:cs="Arial" w:eastAsia="Arial" w:hAnsi="Arial"/>
          <w:sz w:val="12"/>
          <w:szCs w:val="12"/>
          <w:color w:val="auto"/>
        </w:rPr>
      </w:pPr>
    </w:p>
    <w:p>
      <w:pPr>
        <w:ind w:left="2260" w:right="859"/>
        <w:spacing w:after="0" w:line="276" w:lineRule="auto"/>
        <w:rPr>
          <w:rFonts w:ascii="Arial" w:cs="Arial" w:eastAsia="Arial" w:hAnsi="Arial"/>
          <w:sz w:val="12"/>
          <w:szCs w:val="12"/>
          <w:color w:val="auto"/>
        </w:rPr>
      </w:pPr>
      <w:r>
        <w:rPr>
          <w:rFonts w:ascii="Arial" w:cs="Arial" w:eastAsia="Arial" w:hAnsi="Arial"/>
          <w:sz w:val="12"/>
          <w:szCs w:val="12"/>
          <w:color w:val="auto"/>
        </w:rPr>
        <w:t>WP Bull Manager LLC, a Delaware limited Liability company (“WP Bull Manager”), is the general partner of WP Bull. WP is managing member of WP Bull Manager.</w:t>
      </w:r>
    </w:p>
    <w:p>
      <w:pPr>
        <w:spacing w:after="0" w:line="42" w:lineRule="exact"/>
        <w:rPr>
          <w:rFonts w:ascii="Arial" w:cs="Arial" w:eastAsia="Arial" w:hAnsi="Arial"/>
          <w:sz w:val="12"/>
          <w:szCs w:val="12"/>
          <w:color w:val="auto"/>
        </w:rPr>
      </w:pPr>
    </w:p>
    <w:p>
      <w:pPr>
        <w:ind w:left="2260" w:right="859"/>
        <w:spacing w:after="0" w:line="276" w:lineRule="auto"/>
        <w:rPr>
          <w:rFonts w:ascii="Arial" w:cs="Arial" w:eastAsia="Arial" w:hAnsi="Arial"/>
          <w:sz w:val="12"/>
          <w:szCs w:val="12"/>
          <w:color w:val="auto"/>
        </w:rPr>
      </w:pPr>
      <w:r>
        <w:rPr>
          <w:rFonts w:ascii="Arial" w:cs="Arial" w:eastAsia="Arial" w:hAnsi="Arial"/>
          <w:sz w:val="12"/>
          <w:szCs w:val="12"/>
          <w:color w:val="auto"/>
        </w:rPr>
        <w:t>Warburg Pincus LLC, a New York limited liability company (“WP LLC”), is the manager of the WP XI Funds. The address of the Warburg Pincus entities is 450 Lexington Avenue, New York, New York 10017.</w:t>
      </w:r>
    </w:p>
    <w:p>
      <w:pPr>
        <w:spacing w:after="0" w:line="51" w:lineRule="exact"/>
        <w:rPr>
          <w:rFonts w:ascii="Arial" w:cs="Arial" w:eastAsia="Arial" w:hAnsi="Arial"/>
          <w:sz w:val="12"/>
          <w:szCs w:val="12"/>
          <w:color w:val="auto"/>
        </w:rPr>
      </w:pPr>
    </w:p>
    <w:p>
      <w:pPr>
        <w:ind w:left="2260" w:right="979" w:hanging="288"/>
        <w:spacing w:after="0" w:line="289" w:lineRule="auto"/>
        <w:tabs>
          <w:tab w:leader="none" w:pos="2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Consists of (i) 62,928,028 shares held of record by GTCR Fund XI/A LP, (ii) 15,854,227 shares held of record by GTCR Fund XI/C LP and (iii) 504,342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260" w:right="879"/>
        <w:spacing w:after="0" w:line="252" w:lineRule="auto"/>
        <w:rPr>
          <w:sz w:val="20"/>
          <w:szCs w:val="20"/>
          <w:color w:val="auto"/>
        </w:rPr>
      </w:pPr>
      <w:r>
        <w:rPr>
          <w:rFonts w:ascii="Arial" w:cs="Arial" w:eastAsia="Arial" w:hAnsi="Arial"/>
          <w:sz w:val="12"/>
          <w:szCs w:val="12"/>
          <w:color w:val="auto"/>
        </w:rPr>
        <w:t>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sz w:val="20"/>
          <w:szCs w:val="20"/>
          <w:color w:val="auto"/>
        </w:rPr>
      </w:pPr>
    </w:p>
    <w:p>
      <w:pPr>
        <w:ind w:left="2260" w:hanging="288"/>
        <w:spacing w:after="0"/>
        <w:tabs>
          <w:tab w:leader="none" w:pos="2260" w:val="left"/>
        </w:tabs>
        <w:numPr>
          <w:ilvl w:val="0"/>
          <w:numId w:val="40"/>
        </w:numPr>
        <w:rPr>
          <w:rFonts w:ascii="Arial" w:cs="Arial" w:eastAsia="Arial" w:hAnsi="Arial"/>
          <w:sz w:val="10"/>
          <w:szCs w:val="10"/>
          <w:color w:val="auto"/>
        </w:rPr>
      </w:pPr>
      <w:r>
        <w:rPr>
          <w:rFonts w:ascii="Arial" w:cs="Arial" w:eastAsia="Arial" w:hAnsi="Arial"/>
          <w:sz w:val="10"/>
          <w:szCs w:val="10"/>
          <w:color w:val="auto"/>
        </w:rPr>
        <w:t>Mr. Petras is the grantor and trustee of an estate planning trust (the “Petras Trust”). As a result, Mr. Petras may have voting and investment control</w:t>
      </w:r>
    </w:p>
    <w:p>
      <w:pPr>
        <w:spacing w:after="0" w:line="26"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6760" w:type="dxa"/>
            <w:vAlign w:val="bottom"/>
            <w:gridSpan w:val="3"/>
          </w:tcPr>
          <w:p>
            <w:pPr>
              <w:ind w:left="80"/>
              <w:spacing w:after="0"/>
              <w:rPr>
                <w:sz w:val="20"/>
                <w:szCs w:val="20"/>
                <w:color w:val="auto"/>
              </w:rPr>
            </w:pPr>
            <w:r>
              <w:rPr>
                <w:rFonts w:ascii="Arial" w:cs="Arial" w:eastAsia="Arial" w:hAnsi="Arial"/>
                <w:sz w:val="12"/>
                <w:szCs w:val="12"/>
                <w:color w:val="auto"/>
                <w:w w:val="94"/>
              </w:rPr>
              <w:t>over, and may be deemed to be the beneficial owner of, an aggregate of 7,194,624 shares of common stock prior to the offering and</w:t>
            </w:r>
          </w:p>
        </w:tc>
        <w:tc>
          <w:tcPr>
            <w:tcW w:w="360" w:type="dxa"/>
            <w:vAlign w:val="bottom"/>
          </w:tcPr>
          <w:p>
            <w:pPr>
              <w:spacing w:after="0"/>
              <w:rPr>
                <w:sz w:val="20"/>
                <w:szCs w:val="20"/>
                <w:color w:val="auto"/>
              </w:rPr>
            </w:pPr>
            <w:r>
              <w:rPr>
                <w:rFonts w:ascii="Arial" w:cs="Arial" w:eastAsia="Arial" w:hAnsi="Arial"/>
                <w:sz w:val="12"/>
                <w:szCs w:val="12"/>
                <w:color w:val="auto"/>
                <w:w w:val="94"/>
              </w:rPr>
              <w:t>shares</w:t>
            </w:r>
          </w:p>
        </w:tc>
      </w:tr>
      <w:tr>
        <w:trPr>
          <w:trHeight w:val="144"/>
        </w:trPr>
        <w:tc>
          <w:tcPr>
            <w:tcW w:w="200" w:type="dxa"/>
            <w:vAlign w:val="bottom"/>
          </w:tcPr>
          <w:p>
            <w:pPr>
              <w:spacing w:after="0"/>
              <w:rPr>
                <w:sz w:val="12"/>
                <w:szCs w:val="12"/>
                <w:color w:val="auto"/>
              </w:rPr>
            </w:pPr>
          </w:p>
        </w:tc>
        <w:tc>
          <w:tcPr>
            <w:tcW w:w="6060" w:type="dxa"/>
            <w:vAlign w:val="bottom"/>
            <w:gridSpan w:val="2"/>
          </w:tcPr>
          <w:p>
            <w:pPr>
              <w:ind w:left="80"/>
              <w:spacing w:after="0"/>
              <w:rPr>
                <w:sz w:val="20"/>
                <w:szCs w:val="20"/>
                <w:color w:val="auto"/>
              </w:rPr>
            </w:pPr>
            <w:r>
              <w:rPr>
                <w:rFonts w:ascii="Arial" w:cs="Arial" w:eastAsia="Arial" w:hAnsi="Arial"/>
                <w:sz w:val="12"/>
                <w:szCs w:val="12"/>
                <w:color w:val="auto"/>
              </w:rPr>
              <w:t>of common stock after the offering.</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6060" w:type="dxa"/>
            <w:vAlign w:val="bottom"/>
            <w:gridSpan w:val="2"/>
          </w:tcPr>
          <w:p>
            <w:pPr>
              <w:ind w:left="80"/>
              <w:spacing w:after="0"/>
              <w:rPr>
                <w:sz w:val="20"/>
                <w:szCs w:val="20"/>
                <w:color w:val="auto"/>
              </w:rPr>
            </w:pPr>
            <w:r>
              <w:rPr>
                <w:rFonts w:ascii="Arial" w:cs="Arial" w:eastAsia="Arial" w:hAnsi="Arial"/>
                <w:sz w:val="12"/>
                <w:szCs w:val="12"/>
                <w:color w:val="auto"/>
                <w:w w:val="90"/>
              </w:rPr>
              <w:t>Consists of 357,374 shares of common stock and 295,553 shares that will remain subject to vesting prior to the offering and</w:t>
            </w:r>
          </w:p>
        </w:tc>
        <w:tc>
          <w:tcPr>
            <w:tcW w:w="1060" w:type="dxa"/>
            <w:vAlign w:val="bottom"/>
            <w:gridSpan w:val="2"/>
          </w:tcPr>
          <w:p>
            <w:pPr>
              <w:ind w:left="320"/>
              <w:spacing w:after="0"/>
              <w:rPr>
                <w:sz w:val="20"/>
                <w:szCs w:val="20"/>
                <w:color w:val="auto"/>
              </w:rPr>
            </w:pPr>
            <w:r>
              <w:rPr>
                <w:rFonts w:ascii="Arial" w:cs="Arial" w:eastAsia="Arial" w:hAnsi="Arial"/>
                <w:sz w:val="12"/>
                <w:szCs w:val="12"/>
                <w:color w:val="auto"/>
              </w:rPr>
              <w:t>shares of</w:t>
            </w:r>
          </w:p>
        </w:tc>
      </w:tr>
      <w:tr>
        <w:trPr>
          <w:trHeight w:val="144"/>
        </w:trPr>
        <w:tc>
          <w:tcPr>
            <w:tcW w:w="200" w:type="dxa"/>
            <w:vAlign w:val="bottom"/>
          </w:tcPr>
          <w:p>
            <w:pPr>
              <w:spacing w:after="0"/>
              <w:rPr>
                <w:sz w:val="12"/>
                <w:szCs w:val="12"/>
                <w:color w:val="auto"/>
              </w:rPr>
            </w:pPr>
          </w:p>
        </w:tc>
        <w:tc>
          <w:tcPr>
            <w:tcW w:w="6060" w:type="dxa"/>
            <w:vAlign w:val="bottom"/>
            <w:gridSpan w:val="2"/>
          </w:tcPr>
          <w:p>
            <w:pPr>
              <w:ind w:left="80"/>
              <w:spacing w:after="0"/>
              <w:rPr>
                <w:sz w:val="20"/>
                <w:szCs w:val="20"/>
                <w:color w:val="auto"/>
              </w:rPr>
            </w:pPr>
            <w:r>
              <w:rPr>
                <w:rFonts w:ascii="Arial" w:cs="Arial" w:eastAsia="Arial" w:hAnsi="Arial"/>
                <w:sz w:val="12"/>
                <w:szCs w:val="12"/>
                <w:color w:val="auto"/>
              </w:rPr>
              <w:t>common stock and shares that will remain subject to vesting after the offering.</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6060" w:type="dxa"/>
            <w:vAlign w:val="bottom"/>
            <w:gridSpan w:val="2"/>
          </w:tcPr>
          <w:p>
            <w:pPr>
              <w:ind w:left="80"/>
              <w:spacing w:after="0"/>
              <w:rPr>
                <w:sz w:val="20"/>
                <w:szCs w:val="20"/>
                <w:color w:val="auto"/>
              </w:rPr>
            </w:pPr>
            <w:r>
              <w:rPr>
                <w:rFonts w:ascii="Arial" w:cs="Arial" w:eastAsia="Arial" w:hAnsi="Arial"/>
                <w:sz w:val="12"/>
                <w:szCs w:val="12"/>
                <w:color w:val="auto"/>
                <w:w w:val="91"/>
              </w:rPr>
              <w:t>Consists of 16,199 shares of common stock and 578,758 shares that will remain subject to vesting prior to the offering and</w:t>
            </w:r>
          </w:p>
        </w:tc>
        <w:tc>
          <w:tcPr>
            <w:tcW w:w="700" w:type="dxa"/>
            <w:vAlign w:val="bottom"/>
          </w:tcPr>
          <w:p>
            <w:pPr>
              <w:ind w:left="260"/>
              <w:spacing w:after="0"/>
              <w:rPr>
                <w:sz w:val="20"/>
                <w:szCs w:val="20"/>
                <w:color w:val="auto"/>
              </w:rPr>
            </w:pPr>
            <w:r>
              <w:rPr>
                <w:rFonts w:ascii="Arial" w:cs="Arial" w:eastAsia="Arial" w:hAnsi="Arial"/>
                <w:sz w:val="12"/>
                <w:szCs w:val="12"/>
                <w:color w:val="auto"/>
                <w:w w:val="84"/>
              </w:rPr>
              <w:t>shares of</w:t>
            </w:r>
          </w:p>
        </w:tc>
        <w:tc>
          <w:tcPr>
            <w:tcW w:w="36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1160" w:type="dxa"/>
            <w:vAlign w:val="bottom"/>
          </w:tcPr>
          <w:p>
            <w:pPr>
              <w:ind w:left="80"/>
              <w:spacing w:after="0"/>
              <w:rPr>
                <w:sz w:val="20"/>
                <w:szCs w:val="20"/>
                <w:color w:val="auto"/>
              </w:rPr>
            </w:pPr>
            <w:r>
              <w:rPr>
                <w:rFonts w:ascii="Arial" w:cs="Arial" w:eastAsia="Arial" w:hAnsi="Arial"/>
                <w:sz w:val="12"/>
                <w:szCs w:val="12"/>
                <w:color w:val="auto"/>
              </w:rPr>
              <w:t>common stock and</w:t>
            </w:r>
          </w:p>
        </w:tc>
        <w:tc>
          <w:tcPr>
            <w:tcW w:w="4900" w:type="dxa"/>
            <w:vAlign w:val="bottom"/>
          </w:tcPr>
          <w:p>
            <w:pPr>
              <w:jc w:val="right"/>
              <w:ind w:right="1820"/>
              <w:spacing w:after="0"/>
              <w:rPr>
                <w:sz w:val="20"/>
                <w:szCs w:val="20"/>
                <w:color w:val="auto"/>
              </w:rPr>
            </w:pPr>
            <w:r>
              <w:rPr>
                <w:rFonts w:ascii="Arial" w:cs="Arial" w:eastAsia="Arial" w:hAnsi="Arial"/>
                <w:sz w:val="12"/>
                <w:szCs w:val="12"/>
                <w:color w:val="auto"/>
                <w:w w:val="96"/>
              </w:rPr>
              <w:t>shares that will remain subject to vesting after the offering.</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2"/>
                <w:szCs w:val="12"/>
                <w:color w:val="auto"/>
                <w:w w:val="81"/>
              </w:rPr>
              <w:t>(7)</w:t>
            </w:r>
          </w:p>
        </w:tc>
        <w:tc>
          <w:tcPr>
            <w:tcW w:w="6060" w:type="dxa"/>
            <w:vAlign w:val="bottom"/>
            <w:gridSpan w:val="2"/>
          </w:tcPr>
          <w:p>
            <w:pPr>
              <w:ind w:left="80"/>
              <w:spacing w:after="0"/>
              <w:rPr>
                <w:sz w:val="20"/>
                <w:szCs w:val="20"/>
                <w:color w:val="auto"/>
              </w:rPr>
            </w:pPr>
            <w:r>
              <w:rPr>
                <w:rFonts w:ascii="Arial" w:cs="Arial" w:eastAsia="Arial" w:hAnsi="Arial"/>
                <w:sz w:val="12"/>
                <w:szCs w:val="12"/>
                <w:color w:val="auto"/>
                <w:w w:val="95"/>
              </w:rPr>
              <w:t>Includes 118,929,897 shares of common stock beneficially owned by Warburg Pincus Entities before the offering and</w:t>
            </w:r>
          </w:p>
        </w:tc>
        <w:tc>
          <w:tcPr>
            <w:tcW w:w="106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shares of common</w:t>
            </w:r>
          </w:p>
        </w:tc>
      </w:tr>
      <w:tr>
        <w:trPr>
          <w:trHeight w:val="144"/>
        </w:trPr>
        <w:tc>
          <w:tcPr>
            <w:tcW w:w="200" w:type="dxa"/>
            <w:vAlign w:val="bottom"/>
          </w:tcPr>
          <w:p>
            <w:pPr>
              <w:spacing w:after="0"/>
              <w:rPr>
                <w:sz w:val="12"/>
                <w:szCs w:val="12"/>
                <w:color w:val="auto"/>
              </w:rPr>
            </w:pPr>
          </w:p>
        </w:tc>
        <w:tc>
          <w:tcPr>
            <w:tcW w:w="7120" w:type="dxa"/>
            <w:vAlign w:val="bottom"/>
            <w:gridSpan w:val="4"/>
          </w:tcPr>
          <w:p>
            <w:pPr>
              <w:ind w:left="80"/>
              <w:spacing w:after="0"/>
              <w:rPr>
                <w:sz w:val="20"/>
                <w:szCs w:val="20"/>
                <w:color w:val="auto"/>
              </w:rPr>
            </w:pPr>
            <w:r>
              <w:rPr>
                <w:rFonts w:ascii="Arial" w:cs="Arial" w:eastAsia="Arial" w:hAnsi="Arial"/>
                <w:sz w:val="12"/>
                <w:szCs w:val="12"/>
                <w:color w:val="auto"/>
                <w:w w:val="91"/>
              </w:rPr>
              <w:t>stock beneficially owned by Warburg Pincus Entities after the offering because of the affiliations of Mr. Chen, Ms. Geveda and Mr. Neary with the</w:t>
            </w:r>
          </w:p>
        </w:tc>
      </w:tr>
      <w:tr>
        <w:trPr>
          <w:trHeight w:val="144"/>
        </w:trPr>
        <w:tc>
          <w:tcPr>
            <w:tcW w:w="200" w:type="dxa"/>
            <w:vAlign w:val="bottom"/>
          </w:tcPr>
          <w:p>
            <w:pPr>
              <w:spacing w:after="0"/>
              <w:rPr>
                <w:sz w:val="12"/>
                <w:szCs w:val="12"/>
                <w:color w:val="auto"/>
              </w:rPr>
            </w:pPr>
          </w:p>
        </w:tc>
        <w:tc>
          <w:tcPr>
            <w:tcW w:w="7120" w:type="dxa"/>
            <w:vAlign w:val="bottom"/>
            <w:gridSpan w:val="4"/>
          </w:tcPr>
          <w:p>
            <w:pPr>
              <w:ind w:left="80"/>
              <w:spacing w:after="0"/>
              <w:rPr>
                <w:sz w:val="20"/>
                <w:szCs w:val="20"/>
                <w:color w:val="auto"/>
              </w:rPr>
            </w:pPr>
            <w:r>
              <w:rPr>
                <w:rFonts w:ascii="Arial" w:cs="Arial" w:eastAsia="Arial" w:hAnsi="Arial"/>
                <w:sz w:val="12"/>
                <w:szCs w:val="12"/>
                <w:color w:val="auto"/>
                <w:w w:val="92"/>
              </w:rPr>
              <w:t>Warburg Pincus entities. Mr. Chen, Ms. Geveda and Mr. Neary each disclaim beneficial ownership of all shares of common stock owned by the</w:t>
            </w:r>
          </w:p>
        </w:tc>
      </w:tr>
      <w:tr>
        <w:trPr>
          <w:trHeight w:val="144"/>
        </w:trPr>
        <w:tc>
          <w:tcPr>
            <w:tcW w:w="200" w:type="dxa"/>
            <w:vAlign w:val="bottom"/>
          </w:tcPr>
          <w:p>
            <w:pPr>
              <w:spacing w:after="0"/>
              <w:rPr>
                <w:sz w:val="12"/>
                <w:szCs w:val="12"/>
                <w:color w:val="auto"/>
              </w:rPr>
            </w:pPr>
          </w:p>
        </w:tc>
        <w:tc>
          <w:tcPr>
            <w:tcW w:w="6060" w:type="dxa"/>
            <w:vAlign w:val="bottom"/>
            <w:gridSpan w:val="2"/>
          </w:tcPr>
          <w:p>
            <w:pPr>
              <w:ind w:left="80"/>
              <w:spacing w:after="0"/>
              <w:rPr>
                <w:sz w:val="20"/>
                <w:szCs w:val="20"/>
                <w:color w:val="auto"/>
              </w:rPr>
            </w:pPr>
            <w:r>
              <w:rPr>
                <w:rFonts w:ascii="Arial" w:cs="Arial" w:eastAsia="Arial" w:hAnsi="Arial"/>
                <w:sz w:val="12"/>
                <w:szCs w:val="12"/>
                <w:color w:val="auto"/>
              </w:rPr>
              <w:t>Warburg Pincus entities except to the extent of any indirect pecuniary interests therein.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2"/>
                <w:szCs w:val="12"/>
                <w:color w:val="auto"/>
                <w:w w:val="81"/>
              </w:rPr>
              <w:t>(8)</w:t>
            </w:r>
          </w:p>
        </w:tc>
        <w:tc>
          <w:tcPr>
            <w:tcW w:w="6060" w:type="dxa"/>
            <w:vAlign w:val="bottom"/>
            <w:gridSpan w:val="2"/>
          </w:tcPr>
          <w:p>
            <w:pPr>
              <w:ind w:left="80"/>
              <w:spacing w:after="0"/>
              <w:rPr>
                <w:sz w:val="20"/>
                <w:szCs w:val="20"/>
                <w:color w:val="auto"/>
              </w:rPr>
            </w:pPr>
            <w:r>
              <w:rPr>
                <w:rFonts w:ascii="Arial" w:cs="Arial" w:eastAsia="Arial" w:hAnsi="Arial"/>
                <w:sz w:val="12"/>
                <w:szCs w:val="12"/>
                <w:color w:val="auto"/>
                <w:w w:val="92"/>
              </w:rPr>
              <w:t>Consists of 16,199 shares of common stock and 34,726 shares that will remain subject to vesting prior to the offering and</w:t>
            </w:r>
          </w:p>
        </w:tc>
        <w:tc>
          <w:tcPr>
            <w:tcW w:w="700" w:type="dxa"/>
            <w:vAlign w:val="bottom"/>
          </w:tcPr>
          <w:p>
            <w:pPr>
              <w:jc w:val="center"/>
              <w:ind w:left="140"/>
              <w:spacing w:after="0"/>
              <w:rPr>
                <w:sz w:val="20"/>
                <w:szCs w:val="20"/>
                <w:color w:val="auto"/>
              </w:rPr>
            </w:pPr>
            <w:r>
              <w:rPr>
                <w:rFonts w:ascii="Arial" w:cs="Arial" w:eastAsia="Arial" w:hAnsi="Arial"/>
                <w:sz w:val="12"/>
                <w:szCs w:val="12"/>
                <w:color w:val="auto"/>
                <w:w w:val="84"/>
              </w:rPr>
              <w:t>shares of</w:t>
            </w:r>
          </w:p>
        </w:tc>
        <w:tc>
          <w:tcPr>
            <w:tcW w:w="36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6060" w:type="dxa"/>
            <w:vAlign w:val="bottom"/>
            <w:gridSpan w:val="2"/>
          </w:tcPr>
          <w:p>
            <w:pPr>
              <w:ind w:left="80"/>
              <w:spacing w:after="0"/>
              <w:rPr>
                <w:sz w:val="20"/>
                <w:szCs w:val="20"/>
                <w:color w:val="auto"/>
              </w:rPr>
            </w:pPr>
            <w:r>
              <w:rPr>
                <w:rFonts w:ascii="Arial" w:cs="Arial" w:eastAsia="Arial" w:hAnsi="Arial"/>
                <w:sz w:val="12"/>
                <w:szCs w:val="12"/>
                <w:color w:val="auto"/>
              </w:rPr>
              <w:t>common stock and shares that will remain subject to vesting after the offering.</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43"/>
        </w:trPr>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00" w:type="dxa"/>
            <w:vAlign w:val="bottom"/>
          </w:tcPr>
          <w:p>
            <w:pPr>
              <w:jc w:val="right"/>
              <w:ind w:right="2480"/>
              <w:spacing w:after="0"/>
              <w:rPr>
                <w:sz w:val="20"/>
                <w:szCs w:val="20"/>
                <w:color w:val="auto"/>
              </w:rPr>
            </w:pPr>
            <w:r>
              <w:rPr>
                <w:rFonts w:ascii="Arial" w:cs="Arial" w:eastAsia="Arial" w:hAnsi="Arial"/>
                <w:sz w:val="12"/>
                <w:szCs w:val="12"/>
                <w:color w:val="auto"/>
              </w:rPr>
              <w:t>60</w:t>
            </w: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DESCRIPTION OF CAPITAL STOCK</w:t>
      </w:r>
    </w:p>
    <w:p>
      <w:pPr>
        <w:spacing w:after="0" w:line="154"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copies of which are filed as exhibits to the registration statement of which this prospectus is a part, as well as the relevant portions of the DGCL.</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Capitalization</w:t>
      </w:r>
    </w:p>
    <w:p>
      <w:pPr>
        <w:spacing w:after="0" w:line="8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Our capital structure consists of 1,200,000,000 authorized shares of common stock, par value $0.01 per share, and 120,000,000 authorized shares of preferred stock, par value $0.01 per share.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Common Stock</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As of December 31, 2020, there were 283,247,950 shares of our common stock outstanding, held of record by 72 holders.</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i w:val="1"/>
          <w:iCs w:val="1"/>
          <w:color w:val="auto"/>
        </w:rPr>
        <w:t xml:space="preserve">Voting Rights. </w:t>
      </w:r>
      <w:r>
        <w:rPr>
          <w:rFonts w:ascii="Arial" w:cs="Arial" w:eastAsia="Arial" w:hAnsi="Arial"/>
          <w:sz w:val="11"/>
          <w:szCs w:val="11"/>
          <w:color w:val="auto"/>
        </w:rPr>
        <w:t>Holders of common stock are entitled to one vote for each share held on all matters submitted to a vote of stockholders, subject to</w:t>
      </w:r>
      <w:r>
        <w:rPr>
          <w:rFonts w:ascii="Arial" w:cs="Arial" w:eastAsia="Arial" w:hAnsi="Arial"/>
          <w:sz w:val="11"/>
          <w:szCs w:val="11"/>
          <w:i w:val="1"/>
          <w:iCs w:val="1"/>
          <w:color w:val="auto"/>
        </w:rPr>
        <w:t xml:space="preserve"> </w:t>
      </w:r>
      <w:r>
        <w:rPr>
          <w:rFonts w:ascii="Arial" w:cs="Arial" w:eastAsia="Arial" w:hAnsi="Arial"/>
          <w:sz w:val="11"/>
          <w:szCs w:val="11"/>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16" w:lineRule="exact"/>
        <w:rPr>
          <w:sz w:val="20"/>
          <w:szCs w:val="20"/>
          <w:color w:val="auto"/>
        </w:rPr>
      </w:pPr>
    </w:p>
    <w:p>
      <w:pPr>
        <w:ind w:left="1980" w:right="1099" w:firstLine="294"/>
        <w:spacing w:after="0" w:line="323" w:lineRule="auto"/>
        <w:rPr>
          <w:sz w:val="20"/>
          <w:szCs w:val="20"/>
          <w:color w:val="auto"/>
        </w:rPr>
      </w:pPr>
      <w:r>
        <w:rPr>
          <w:rFonts w:ascii="Arial" w:cs="Arial" w:eastAsia="Arial" w:hAnsi="Arial"/>
          <w:sz w:val="11"/>
          <w:szCs w:val="11"/>
          <w:i w:val="1"/>
          <w:iCs w:val="1"/>
          <w:color w:val="auto"/>
        </w:rPr>
        <w:t>Dividends</w:t>
      </w:r>
      <w:r>
        <w:rPr>
          <w:rFonts w:ascii="Arial" w:cs="Arial" w:eastAsia="Arial" w:hAnsi="Arial"/>
          <w:sz w:val="11"/>
          <w:szCs w:val="11"/>
          <w:color w:val="auto"/>
        </w:rPr>
        <w:t>. Subject to preferences that may be applicable to any then-outstanding preferred stock, holders of our common stock are entitled to</w:t>
      </w:r>
      <w:r>
        <w:rPr>
          <w:rFonts w:ascii="Arial" w:cs="Arial" w:eastAsia="Arial" w:hAnsi="Arial"/>
          <w:sz w:val="11"/>
          <w:szCs w:val="11"/>
          <w:i w:val="1"/>
          <w:iCs w:val="1"/>
          <w:color w:val="auto"/>
        </w:rPr>
        <w:t xml:space="preserve"> </w:t>
      </w:r>
      <w:r>
        <w:rPr>
          <w:rFonts w:ascii="Arial" w:cs="Arial" w:eastAsia="Arial" w:hAnsi="Arial"/>
          <w:sz w:val="11"/>
          <w:szCs w:val="11"/>
          <w:color w:val="auto"/>
        </w:rPr>
        <w:t>receive ratably those dividends, if any, as may be declared by the board of directors out of legally available funds. See “Dividend Policy.”</w:t>
      </w:r>
    </w:p>
    <w:p>
      <w:pPr>
        <w:spacing w:after="0" w:line="9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i w:val="1"/>
          <w:iCs w:val="1"/>
          <w:color w:val="auto"/>
        </w:rPr>
        <w:t xml:space="preserve">Liquidation, Dissolution, and Winding Up. </w:t>
      </w:r>
      <w:r>
        <w:rPr>
          <w:rFonts w:ascii="Arial" w:cs="Arial" w:eastAsia="Arial" w:hAnsi="Arial"/>
          <w:sz w:val="12"/>
          <w:szCs w:val="12"/>
          <w:color w:val="auto"/>
        </w:rPr>
        <w:t>Upon our liquidation, dissolution or winding up, the holders of our common stock will be entitled to</w:t>
      </w:r>
      <w:r>
        <w:rPr>
          <w:rFonts w:ascii="Arial" w:cs="Arial" w:eastAsia="Arial" w:hAnsi="Arial"/>
          <w:sz w:val="12"/>
          <w:szCs w:val="12"/>
          <w:i w:val="1"/>
          <w:iCs w:val="1"/>
          <w:color w:val="auto"/>
        </w:rPr>
        <w:t xml:space="preserve"> </w:t>
      </w:r>
      <w:r>
        <w:rPr>
          <w:rFonts w:ascii="Arial" w:cs="Arial" w:eastAsia="Arial" w:hAnsi="Arial"/>
          <w:sz w:val="12"/>
          <w:szCs w:val="12"/>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2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i w:val="1"/>
          <w:iCs w:val="1"/>
          <w:color w:val="auto"/>
        </w:rPr>
        <w:t xml:space="preserve">No Preemptive or Similar Rights. </w:t>
      </w:r>
      <w:r>
        <w:rPr>
          <w:rFonts w:ascii="Arial" w:cs="Arial" w:eastAsia="Arial" w:hAnsi="Arial"/>
          <w:sz w:val="12"/>
          <w:szCs w:val="12"/>
          <w:color w:val="auto"/>
        </w:rPr>
        <w:t>Holders of our common stock have no preemptive or conversion rights or other subscription rights, and there are</w:t>
      </w:r>
      <w:r>
        <w:rPr>
          <w:rFonts w:ascii="Arial" w:cs="Arial" w:eastAsia="Arial" w:hAnsi="Arial"/>
          <w:sz w:val="12"/>
          <w:szCs w:val="12"/>
          <w:i w:val="1"/>
          <w:iCs w:val="1"/>
          <w:color w:val="auto"/>
        </w:rPr>
        <w:t xml:space="preserve"> </w:t>
      </w:r>
      <w:r>
        <w:rPr>
          <w:rFonts w:ascii="Arial" w:cs="Arial" w:eastAsia="Arial" w:hAnsi="Arial"/>
          <w:sz w:val="12"/>
          <w:szCs w:val="12"/>
          <w:color w:val="auto"/>
        </w:rPr>
        <w:t>no redemption or sinking fund provisions applicable to our common stock.</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 xml:space="preserve">Assessment. </w:t>
      </w:r>
      <w:r>
        <w:rPr>
          <w:rFonts w:ascii="Arial" w:cs="Arial" w:eastAsia="Arial" w:hAnsi="Arial"/>
          <w:sz w:val="12"/>
          <w:szCs w:val="12"/>
          <w:color w:val="auto"/>
        </w:rPr>
        <w:t>All outstanding shares of our common stock are fully paid and nonassessable.</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Preferred Stock</w:t>
      </w:r>
    </w:p>
    <w:p>
      <w:pPr>
        <w:spacing w:after="0" w:line="8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Registration Rights</w:t>
      </w:r>
    </w:p>
    <w:p>
      <w:pPr>
        <w:spacing w:after="0" w:line="8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In connection with our IPO, we entered into a second amended and restated registration rights agreement, dated November 19, 2020. For a description of registration rights with respect to our common stock, see “Certain Relationships and Related Transactions, and Director Independence— Registration Rights Agreement” in Part III, Item. 13 of Sotera Health’s 2020 10-K, which is incorporated herein by reference.</w:t>
      </w:r>
    </w:p>
    <w:p>
      <w:pPr>
        <w:spacing w:after="0" w:line="173" w:lineRule="exact"/>
        <w:rPr>
          <w:sz w:val="20"/>
          <w:szCs w:val="20"/>
          <w:color w:val="auto"/>
        </w:rPr>
      </w:pPr>
    </w:p>
    <w:p>
      <w:pPr>
        <w:ind w:left="1980" w:right="1199"/>
        <w:spacing w:after="0" w:line="283" w:lineRule="auto"/>
        <w:rPr>
          <w:sz w:val="20"/>
          <w:szCs w:val="20"/>
          <w:color w:val="auto"/>
        </w:rPr>
      </w:pPr>
      <w:r>
        <w:rPr>
          <w:rFonts w:ascii="Arial" w:cs="Arial" w:eastAsia="Arial" w:hAnsi="Arial"/>
          <w:sz w:val="12"/>
          <w:szCs w:val="12"/>
          <w:b w:val="1"/>
          <w:bCs w:val="1"/>
          <w:color w:val="auto"/>
        </w:rPr>
        <w:t>Anti-Takeover Effects of Provisions of Our Amended and Restated Certificate of Incorporation, Our Amended and Restated Bylaws and Delaware Law</w:t>
      </w:r>
    </w:p>
    <w:p>
      <w:pPr>
        <w:spacing w:after="0" w:line="39"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28"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i w:val="1"/>
          <w:iCs w:val="1"/>
          <w:color w:val="auto"/>
        </w:rPr>
        <w:t xml:space="preserve">Classified board of directors; removal of directors. </w:t>
      </w:r>
      <w:r>
        <w:rPr>
          <w:rFonts w:ascii="Arial" w:cs="Arial" w:eastAsia="Arial" w:hAnsi="Arial"/>
          <w:sz w:val="12"/>
          <w:szCs w:val="12"/>
          <w:color w:val="auto"/>
        </w:rPr>
        <w:t>Our amended and restated certificate of incorporation provides that our board of directors is</w:t>
      </w:r>
      <w:r>
        <w:rPr>
          <w:rFonts w:ascii="Arial" w:cs="Arial" w:eastAsia="Arial" w:hAnsi="Arial"/>
          <w:sz w:val="12"/>
          <w:szCs w:val="12"/>
          <w:i w:val="1"/>
          <w:iCs w:val="1"/>
          <w:color w:val="auto"/>
        </w:rPr>
        <w:t xml:space="preserve"> </w:t>
      </w:r>
      <w:r>
        <w:rPr>
          <w:rFonts w:ascii="Arial" w:cs="Arial" w:eastAsia="Arial" w:hAnsi="Arial"/>
          <w:sz w:val="12"/>
          <w:szCs w:val="12"/>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22"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i w:val="1"/>
          <w:iCs w:val="1"/>
          <w:color w:val="auto"/>
        </w:rPr>
        <w:t>Advance notice requirements for stockholder proposals and director nominations</w:t>
      </w:r>
      <w:r>
        <w:rPr>
          <w:rFonts w:ascii="Arial" w:cs="Arial" w:eastAsia="Arial" w:hAnsi="Arial"/>
          <w:sz w:val="10"/>
          <w:szCs w:val="10"/>
          <w:color w:val="auto"/>
        </w:rPr>
        <w:t>. Our amended and restated bylaws provide advance notice</w:t>
      </w:r>
      <w:r>
        <w:rPr>
          <w:rFonts w:ascii="Arial" w:cs="Arial" w:eastAsia="Arial" w:hAnsi="Arial"/>
          <w:sz w:val="10"/>
          <w:szCs w:val="10"/>
          <w:i w:val="1"/>
          <w:iCs w:val="1"/>
          <w:color w:val="auto"/>
        </w:rPr>
        <w:t xml:space="preserve"> </w:t>
      </w:r>
      <w:r>
        <w:rPr>
          <w:rFonts w:ascii="Arial" w:cs="Arial" w:eastAsia="Arial" w:hAnsi="Arial"/>
          <w:sz w:val="10"/>
          <w:szCs w:val="10"/>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0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i w:val="1"/>
          <w:iCs w:val="1"/>
          <w:color w:val="auto"/>
        </w:rPr>
        <w:t xml:space="preserve">Amendment of certificate of incorporation and bylaws provisions. </w:t>
      </w:r>
      <w:r>
        <w:rPr>
          <w:rFonts w:ascii="Arial" w:cs="Arial" w:eastAsia="Arial" w:hAnsi="Arial"/>
          <w:sz w:val="11"/>
          <w:szCs w:val="11"/>
          <w:color w:val="auto"/>
        </w:rPr>
        <w:t>Our amended and restated certificate of incorporation provides that approval of</w:t>
      </w:r>
      <w:r>
        <w:rPr>
          <w:rFonts w:ascii="Arial" w:cs="Arial" w:eastAsia="Arial" w:hAnsi="Arial"/>
          <w:sz w:val="11"/>
          <w:szCs w:val="11"/>
          <w:i w:val="1"/>
          <w:iCs w:val="1"/>
          <w:color w:val="auto"/>
        </w:rPr>
        <w:t xml:space="preserve"> </w:t>
      </w:r>
      <w:r>
        <w:rPr>
          <w:rFonts w:ascii="Arial" w:cs="Arial" w:eastAsia="Arial" w:hAnsi="Arial"/>
          <w:sz w:val="11"/>
          <w:szCs w:val="11"/>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15"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i w:val="1"/>
          <w:iCs w:val="1"/>
          <w:color w:val="auto"/>
        </w:rPr>
        <w:t xml:space="preserve">Authorized but unissued or undesignated capital stock. </w:t>
      </w:r>
      <w:r>
        <w:rPr>
          <w:rFonts w:ascii="Arial" w:cs="Arial" w:eastAsia="Arial" w:hAnsi="Arial"/>
          <w:sz w:val="10"/>
          <w:szCs w:val="10"/>
          <w:color w:val="auto"/>
        </w:rPr>
        <w:t>Our authorized capital stock consists of 1,200,000,000 shares of common stock and</w:t>
      </w:r>
      <w:r>
        <w:rPr>
          <w:rFonts w:ascii="Arial" w:cs="Arial" w:eastAsia="Arial" w:hAnsi="Arial"/>
          <w:sz w:val="10"/>
          <w:szCs w:val="10"/>
          <w:i w:val="1"/>
          <w:iCs w:val="1"/>
          <w:color w:val="auto"/>
        </w:rPr>
        <w:t xml:space="preserve"> </w:t>
      </w:r>
      <w:r>
        <w:rPr>
          <w:rFonts w:ascii="Arial" w:cs="Arial" w:eastAsia="Arial" w:hAnsi="Arial"/>
          <w:sz w:val="10"/>
          <w:szCs w:val="10"/>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03"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i w:val="1"/>
          <w:iCs w:val="1"/>
          <w:color w:val="auto"/>
        </w:rPr>
        <w:t xml:space="preserve">Stockholder action; special meeting of stockholders. </w:t>
      </w:r>
      <w:r>
        <w:rPr>
          <w:rFonts w:ascii="Arial" w:cs="Arial" w:eastAsia="Arial" w:hAnsi="Arial"/>
          <w:sz w:val="11"/>
          <w:szCs w:val="11"/>
          <w:color w:val="auto"/>
        </w:rPr>
        <w:t>Our amended and restated certificate of incorporation provides that our stockholders will not</w:t>
      </w:r>
      <w:r>
        <w:rPr>
          <w:rFonts w:ascii="Arial" w:cs="Arial" w:eastAsia="Arial" w:hAnsi="Arial"/>
          <w:sz w:val="11"/>
          <w:szCs w:val="11"/>
          <w:i w:val="1"/>
          <w:iCs w:val="1"/>
          <w:color w:val="auto"/>
        </w:rPr>
        <w:t xml:space="preserve"> </w:t>
      </w:r>
      <w:r>
        <w:rPr>
          <w:rFonts w:ascii="Arial" w:cs="Arial" w:eastAsia="Arial" w:hAnsi="Arial"/>
          <w:sz w:val="11"/>
          <w:szCs w:val="11"/>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8" w:lineRule="exact"/>
        <w:rPr>
          <w:sz w:val="20"/>
          <w:szCs w:val="20"/>
          <w:color w:val="auto"/>
        </w:rPr>
      </w:pPr>
    </w:p>
    <w:p>
      <w:pPr>
        <w:jc w:val="both"/>
        <w:ind w:left="1980" w:right="979" w:firstLine="294"/>
        <w:spacing w:after="0" w:line="256" w:lineRule="auto"/>
        <w:rPr>
          <w:sz w:val="20"/>
          <w:szCs w:val="20"/>
          <w:color w:val="auto"/>
        </w:rPr>
      </w:pPr>
      <w:r>
        <w:rPr>
          <w:rFonts w:ascii="Arial" w:cs="Arial" w:eastAsia="Arial" w:hAnsi="Arial"/>
          <w:sz w:val="12"/>
          <w:szCs w:val="12"/>
          <w:i w:val="1"/>
          <w:iCs w:val="1"/>
          <w:color w:val="auto"/>
        </w:rPr>
        <w:t>No cumulative voting</w:t>
      </w:r>
      <w:r>
        <w:rPr>
          <w:rFonts w:ascii="Arial" w:cs="Arial" w:eastAsia="Arial" w:hAnsi="Arial"/>
          <w:sz w:val="12"/>
          <w:szCs w:val="12"/>
          <w:color w:val="auto"/>
        </w:rPr>
        <w:t>. The DGCL provides that stockholders are not entitled to cumulate votes in the election of directors unless a corporation’s</w:t>
      </w:r>
      <w:r>
        <w:rPr>
          <w:rFonts w:ascii="Arial" w:cs="Arial" w:eastAsia="Arial" w:hAnsi="Arial"/>
          <w:sz w:val="12"/>
          <w:szCs w:val="12"/>
          <w:i w:val="1"/>
          <w:iCs w:val="1"/>
          <w:color w:val="auto"/>
        </w:rPr>
        <w:t xml:space="preserve"> </w:t>
      </w:r>
      <w:r>
        <w:rPr>
          <w:rFonts w:ascii="Arial" w:cs="Arial" w:eastAsia="Arial" w:hAnsi="Arial"/>
          <w:sz w:val="12"/>
          <w:szCs w:val="12"/>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2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i w:val="1"/>
          <w:iCs w:val="1"/>
          <w:color w:val="auto"/>
        </w:rPr>
        <w:t xml:space="preserve">Supermajority voting on board actions. </w:t>
      </w:r>
      <w:r>
        <w:rPr>
          <w:rFonts w:ascii="Arial" w:cs="Arial" w:eastAsia="Arial" w:hAnsi="Arial"/>
          <w:sz w:val="12"/>
          <w:szCs w:val="12"/>
          <w:color w:val="auto"/>
        </w:rPr>
        <w:t>For so long as investment funds and entities affiliated with either Warburg Pincus or GTCR have the right</w:t>
      </w:r>
      <w:r>
        <w:rPr>
          <w:rFonts w:ascii="Arial" w:cs="Arial" w:eastAsia="Arial" w:hAnsi="Arial"/>
          <w:sz w:val="12"/>
          <w:szCs w:val="12"/>
          <w:i w:val="1"/>
          <w:iCs w:val="1"/>
          <w:color w:val="auto"/>
        </w:rPr>
        <w:t xml:space="preserve"> </w:t>
      </w:r>
      <w:r>
        <w:rPr>
          <w:rFonts w:ascii="Arial" w:cs="Arial" w:eastAsia="Arial" w:hAnsi="Arial"/>
          <w:sz w:val="12"/>
          <w:szCs w:val="12"/>
          <w:color w:val="auto"/>
        </w:rPr>
        <w:t>(individually) to designate at least three directors for election to our board of directors, the following actions may only be effected with the affirmative vote of 75% of our board of directors:</w:t>
      </w:r>
    </w:p>
    <w:p>
      <w:pPr>
        <w:spacing w:after="0" w:line="59" w:lineRule="exact"/>
        <w:rPr>
          <w:sz w:val="20"/>
          <w:szCs w:val="20"/>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certain acquisitions, mergers, other business combination transactions and dispositions;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amendment, modification or repeal of any provision of the certificate of incorporation or bylaws;</w:t>
      </w:r>
    </w:p>
    <w:p>
      <w:pPr>
        <w:spacing w:after="0" w:line="87"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changes in the size and composition of the board of directors or the compensation of its committees, other than in accordance with the Stockholders’ Agreement;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termination of the chief executive officer or designation of a new chief executive officer;</w:t>
      </w:r>
    </w:p>
    <w:p>
      <w:pPr>
        <w:spacing w:after="0" w:line="87"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except for ordinary course compensation arrangements, entering into, or modifying, any compensation arrangements with an executive officers or any of executive officer’s affiliates or associates;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issuance of additional shares of Company or subsidiaries’ capital stock, subject to certain limited exceptions;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incurrence of certain indebtedness.</w:t>
      </w:r>
    </w:p>
    <w:p>
      <w:pPr>
        <w:spacing w:after="0" w:line="150"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i w:val="1"/>
          <w:iCs w:val="1"/>
          <w:color w:val="auto"/>
        </w:rPr>
        <w:t xml:space="preserve">Delaware Anti-Takeover Statute. </w:t>
      </w:r>
      <w:r>
        <w:rPr>
          <w:rFonts w:ascii="Arial" w:cs="Arial" w:eastAsia="Arial" w:hAnsi="Arial"/>
          <w:sz w:val="11"/>
          <w:szCs w:val="11"/>
          <w:color w:val="auto"/>
        </w:rPr>
        <w:t>We are not subject to the provisions of Section 203 of the DGCL. In general, Section 203 prohibits a publicly</w:t>
      </w:r>
      <w:r>
        <w:rPr>
          <w:rFonts w:ascii="Arial" w:cs="Arial" w:eastAsia="Arial" w:hAnsi="Arial"/>
          <w:sz w:val="11"/>
          <w:szCs w:val="11"/>
          <w:i w:val="1"/>
          <w:iCs w:val="1"/>
          <w:color w:val="auto"/>
        </w:rPr>
        <w:t xml:space="preserve"> </w:t>
      </w:r>
      <w:r>
        <w:rPr>
          <w:rFonts w:ascii="Arial" w:cs="Arial" w:eastAsia="Arial" w:hAnsi="Arial"/>
          <w:sz w:val="11"/>
          <w:szCs w:val="11"/>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1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determining the voting stock outstanding, shares owned by persons who are directors and also officers, and employee stock plans, in some instances; or</w:t>
      </w:r>
    </w:p>
    <w:p>
      <w:pPr>
        <w:spacing w:after="0" w:line="38" w:lineRule="exact"/>
        <w:rPr>
          <w:sz w:val="20"/>
          <w:szCs w:val="20"/>
          <w:color w:val="auto"/>
        </w:rPr>
      </w:pPr>
    </w:p>
    <w:p>
      <w:pPr>
        <w:ind w:left="1980" w:right="939" w:hanging="8"/>
        <w:spacing w:after="0" w:line="255" w:lineRule="auto"/>
        <w:tabs>
          <w:tab w:leader="none" w:pos="215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27"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59" w:lineRule="exact"/>
        <w:rPr>
          <w:sz w:val="20"/>
          <w:szCs w:val="20"/>
          <w:color w:val="auto"/>
        </w:rPr>
      </w:pPr>
    </w:p>
    <w:p>
      <w:pPr>
        <w:ind w:left="2620" w:right="1079" w:hanging="288"/>
        <w:spacing w:after="0" w:line="276" w:lineRule="auto"/>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prior to such time, our board of directors approved either the business combination or the transaction which resulted in the shareholder becoming an interested shareholder;</w:t>
      </w:r>
    </w:p>
    <w:p>
      <w:pPr>
        <w:spacing w:after="0" w:line="51" w:lineRule="exact"/>
        <w:rPr>
          <w:rFonts w:ascii="Arial" w:cs="Arial" w:eastAsia="Arial" w:hAnsi="Arial"/>
          <w:sz w:val="12"/>
          <w:szCs w:val="12"/>
          <w:color w:val="auto"/>
        </w:rPr>
      </w:pPr>
    </w:p>
    <w:p>
      <w:pPr>
        <w:ind w:left="2620" w:right="1179" w:hanging="288"/>
        <w:spacing w:after="0" w:line="379" w:lineRule="auto"/>
        <w:tabs>
          <w:tab w:leader="none" w:pos="2620" w:val="left"/>
        </w:tabs>
        <w:numPr>
          <w:ilvl w:val="0"/>
          <w:numId w:val="43"/>
        </w:numPr>
        <w:rPr>
          <w:rFonts w:ascii="Arial" w:cs="Arial" w:eastAsia="Arial" w:hAnsi="Arial"/>
          <w:sz w:val="10"/>
          <w:szCs w:val="10"/>
          <w:color w:val="auto"/>
        </w:rPr>
      </w:pPr>
      <w:r>
        <w:rPr>
          <w:rFonts w:ascii="Arial" w:cs="Arial" w:eastAsia="Arial" w:hAnsi="Arial"/>
          <w:sz w:val="10"/>
          <w:szCs w:val="10"/>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5" w:lineRule="exact"/>
        <w:rPr>
          <w:rFonts w:ascii="Arial" w:cs="Arial" w:eastAsia="Arial" w:hAnsi="Arial"/>
          <w:sz w:val="10"/>
          <w:szCs w:val="10"/>
          <w:color w:val="auto"/>
        </w:rPr>
      </w:pPr>
    </w:p>
    <w:p>
      <w:pPr>
        <w:ind w:left="2620" w:right="899" w:hanging="288"/>
        <w:spacing w:after="0" w:line="276" w:lineRule="auto"/>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28"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Exclusive Forum</w:t>
      </w:r>
    </w:p>
    <w:p>
      <w:pPr>
        <w:spacing w:after="0" w:line="82" w:lineRule="exact"/>
        <w:rPr>
          <w:sz w:val="20"/>
          <w:szCs w:val="20"/>
          <w:color w:val="auto"/>
        </w:rPr>
      </w:pPr>
    </w:p>
    <w:p>
      <w:pPr>
        <w:ind w:left="1980" w:right="859" w:firstLine="294"/>
        <w:spacing w:after="0" w:line="306" w:lineRule="auto"/>
        <w:rPr>
          <w:sz w:val="20"/>
          <w:szCs w:val="20"/>
          <w:color w:val="auto"/>
        </w:rPr>
      </w:pPr>
      <w:r>
        <w:rPr>
          <w:rFonts w:ascii="Arial" w:cs="Arial" w:eastAsia="Arial" w:hAnsi="Arial"/>
          <w:sz w:val="10"/>
          <w:szCs w:val="10"/>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1" w:lineRule="exact"/>
        <w:rPr>
          <w:sz w:val="20"/>
          <w:szCs w:val="20"/>
          <w:color w:val="auto"/>
        </w:rPr>
      </w:pPr>
    </w:p>
    <w:p>
      <w:pPr>
        <w:ind w:left="1980" w:right="859" w:hanging="8"/>
        <w:spacing w:after="0" w:line="253" w:lineRule="auto"/>
        <w:tabs>
          <w:tab w:leader="none" w:pos="215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28"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 of Liability and Indemnification of Officers and Directors</w:t>
      </w:r>
    </w:p>
    <w:p>
      <w:pPr>
        <w:spacing w:after="0" w:line="8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See the section titled “Certain Relationships and Related Transactions, and Director Independence—Limitation of Liability and Indemnification of Officers and Directors” in Part III, Item. 13 of Sotera Health’s 2020 10-K, which is incorporated herein by reference.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w:t>
      </w:r>
    </w:p>
    <w:p>
      <w:pPr>
        <w:spacing w:after="0" w:line="8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Computershare Trust Company, N.A. acts as transfer agent and registrar for our common stock. The transfer agent and registrar’s address is 118 Fernwood Avenue, Edison, New Jersey 08837.</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Exchange</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common stock is listed on the Nasdaq under the symbol “SHC.”</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ELIGIBLE FOR FUTURE SALE</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cannot predict what effect, if any, market sales of shares of common stock or the availability of shares of common stock for sale will have on the market price of our common stock prevailing from time to time. Nevertheless, sales of substantial amounts of common stock in the public market, including shares issued upon the exercise of outstanding options, the vesting of RSUs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 A sale of a substantial number of shares of our common stock, or the perception that such sales might occur, may cause the price of our common stock to decline.”</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Sales of Restricted Shares</w:t>
      </w:r>
    </w:p>
    <w:p>
      <w:pPr>
        <w:spacing w:after="0" w:line="82" w:lineRule="exact"/>
        <w:rPr>
          <w:sz w:val="20"/>
          <w:szCs w:val="20"/>
          <w:color w:val="auto"/>
        </w:rPr>
      </w:pPr>
    </w:p>
    <w:p>
      <w:pPr>
        <w:ind w:left="1980" w:right="859" w:firstLine="294"/>
        <w:spacing w:after="0" w:line="305" w:lineRule="auto"/>
        <w:rPr>
          <w:sz w:val="20"/>
          <w:szCs w:val="20"/>
          <w:color w:val="auto"/>
        </w:rPr>
      </w:pPr>
      <w:r>
        <w:rPr>
          <w:rFonts w:ascii="Arial" w:cs="Arial" w:eastAsia="Arial" w:hAnsi="Arial"/>
          <w:sz w:val="10"/>
          <w:szCs w:val="10"/>
          <w:color w:val="auto"/>
        </w:rPr>
        <w:t>As of December 31, 2020, we had outstanding an aggregate of 283,247,950 shares of common stock (including shares of common stock to be sold in this offering).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Upon</w:t>
      </w:r>
    </w:p>
    <w:p>
      <w:pPr>
        <w:ind w:left="1980" w:right="1019"/>
        <w:spacing w:after="0" w:line="253" w:lineRule="auto"/>
        <w:rPr>
          <w:sz w:val="20"/>
          <w:szCs w:val="20"/>
          <w:color w:val="auto"/>
        </w:rPr>
      </w:pPr>
      <w:r>
        <w:rPr>
          <w:rFonts w:ascii="Arial" w:cs="Arial" w:eastAsia="Arial" w:hAnsi="Arial"/>
          <w:sz w:val="12"/>
          <w:szCs w:val="12"/>
          <w:color w:val="auto"/>
        </w:rPr>
        <w:t>completion of this offering, approximately % of our outstanding common stock will be held by the Sponsors, our executive officers and directors and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29"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As a result of the lock-up agreements described below, our Stockholders’ Agreement and the provisions of Rule 144 and Rule 701 under the Securities Act, additional shares of our common stock will be available for sale in the public market as set forth below.</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82"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In general, under Rule 144 of the Securities Act, as currently in effect, a person (or persons whose shares are deemed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A person who was one of our affiliates at any time during the three months preceding a sale is entitled to sell within any three-month period only a number of shares of common stock that does not exceed the greater of either of the following:</w:t>
      </w:r>
    </w:p>
    <w:p>
      <w:pPr>
        <w:sectPr>
          <w:pgSz w:w="11900" w:h="16838" w:orient="portrait"/>
          <w:cols w:equalWidth="0" w:num="1">
            <w:col w:w="10159"/>
          </w:cols>
          <w:pgMar w:left="300" w:top="354" w:right="1440" w:bottom="1440" w:gutter="0" w:footer="0" w:header="0"/>
        </w:sectPr>
      </w:pPr>
    </w:p>
    <w:p>
      <w:pPr>
        <w:spacing w:after="0" w:line="52" w:lineRule="exact"/>
        <w:rPr>
          <w:sz w:val="20"/>
          <w:szCs w:val="20"/>
          <w:color w:val="auto"/>
        </w:rPr>
      </w:pPr>
    </w:p>
    <w:p>
      <w:pPr>
        <w:ind w:left="23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one percent of the number of shares of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immediately after this</w:t>
      </w:r>
    </w:p>
    <w:p>
      <w:pPr>
        <w:spacing w:after="0" w:line="242" w:lineRule="exact"/>
        <w:rPr>
          <w:sz w:val="20"/>
          <w:szCs w:val="20"/>
          <w:color w:val="auto"/>
        </w:rPr>
      </w:pPr>
    </w:p>
    <w:p>
      <w:pPr>
        <w:sectPr>
          <w:pgSz w:w="11900" w:h="16838" w:orient="portrait"/>
          <w:cols w:equalWidth="0" w:num="3">
            <w:col w:w="2380" w:space="240"/>
            <w:col w:w="5000" w:space="460"/>
            <w:col w:w="2079"/>
          </w:cols>
          <w:pgMar w:left="300" w:top="354" w:right="1440" w:bottom="1440" w:gutter="0" w:footer="0" w:header="0"/>
          <w:type w:val="continuous"/>
        </w:sectPr>
      </w:pPr>
    </w:p>
    <w:p>
      <w:pPr>
        <w:ind w:left="2620" w:right="919" w:hanging="288"/>
        <w:spacing w:after="0" w:line="276" w:lineRule="auto"/>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average weekly trading volume of the common stock on the Nasdaq during the four calendar weeks preceding the filing of a notice on Form 144 with respect to the sale.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type w:val="continuous"/>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firstLine="294"/>
        <w:spacing w:after="0" w:line="309" w:lineRule="auto"/>
        <w:rPr>
          <w:sz w:val="20"/>
          <w:szCs w:val="20"/>
          <w:color w:val="auto"/>
        </w:rPr>
      </w:pPr>
      <w:r>
        <w:rPr>
          <w:rFonts w:ascii="Arial" w:cs="Arial" w:eastAsia="Arial" w:hAnsi="Arial"/>
          <w:sz w:val="10"/>
          <w:szCs w:val="10"/>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w:t>
      </w:r>
    </w:p>
    <w:p>
      <w:pPr>
        <w:spacing w:after="0" w:line="1" w:lineRule="exact"/>
        <w:rPr>
          <w:sz w:val="20"/>
          <w:szCs w:val="20"/>
          <w:color w:val="auto"/>
        </w:rPr>
      </w:pPr>
    </w:p>
    <w:p>
      <w:pPr>
        <w:jc w:val="both"/>
        <w:ind w:left="1980" w:right="939"/>
        <w:spacing w:after="0" w:line="255" w:lineRule="auto"/>
        <w:rPr>
          <w:sz w:val="20"/>
          <w:szCs w:val="20"/>
          <w:color w:val="auto"/>
        </w:rPr>
      </w:pPr>
      <w:r>
        <w:rPr>
          <w:rFonts w:ascii="Arial" w:cs="Arial" w:eastAsia="Arial" w:hAnsi="Arial"/>
          <w:sz w:val="12"/>
          <w:szCs w:val="12"/>
          <w:color w:val="auto"/>
        </w:rPr>
        <w:t>the -day lock-up period in connection with this offering and the IPO lock-up agreements that expire on May 18, 2021, approximately shares of our outstanding restricted securities will be eligible for sale under Rule 144 subject to limitations on sales by affiliates and other contractual transfer restrictions.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8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general, under Rule 701, any of our employees, directors, officers, consultants or advisors who purchased shares from us in connection with a compensatory stock or option plan or other written agreement before the effective date of our IPO, or who purchased shares from us after that date upon the exercise of options granted before that date, are eligible to resell such shares in reliance upon Rule 144 beginning 90 days after the effective date of our IPO.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82" w:lineRule="exact"/>
        <w:rPr>
          <w:sz w:val="20"/>
          <w:szCs w:val="20"/>
          <w:color w:val="auto"/>
        </w:rPr>
      </w:pPr>
    </w:p>
    <w:p>
      <w:pPr>
        <w:ind w:left="1980" w:right="839" w:firstLine="294"/>
        <w:spacing w:after="0" w:line="309" w:lineRule="auto"/>
        <w:rPr>
          <w:sz w:val="20"/>
          <w:szCs w:val="20"/>
          <w:color w:val="auto"/>
        </w:rPr>
      </w:pPr>
      <w:r>
        <w:rPr>
          <w:rFonts w:ascii="Arial" w:cs="Arial" w:eastAsia="Arial" w:hAnsi="Arial"/>
          <w:sz w:val="10"/>
          <w:szCs w:val="10"/>
          <w:color w:val="auto"/>
        </w:rPr>
        <w:t>We, each of our officers, directors and certain holders of our common stock have agreed, subject to certain exceptions, with the underwriters not to dispose of or hedge any of the shares of common stock or securities convertible into or exchangeable for shares of common stock during the period from</w:t>
      </w:r>
    </w:p>
    <w:p>
      <w:pPr>
        <w:spacing w:after="0" w:line="1" w:lineRule="exact"/>
        <w:rPr>
          <w:sz w:val="20"/>
          <w:szCs w:val="20"/>
          <w:color w:val="auto"/>
        </w:rPr>
      </w:pPr>
    </w:p>
    <w:p>
      <w:pPr>
        <w:ind w:left="1980" w:right="859"/>
        <w:spacing w:after="0" w:line="260" w:lineRule="auto"/>
        <w:rPr>
          <w:sz w:val="20"/>
          <w:szCs w:val="20"/>
          <w:color w:val="auto"/>
        </w:rPr>
      </w:pPr>
      <w:r>
        <w:rPr>
          <w:rFonts w:ascii="Arial" w:cs="Arial" w:eastAsia="Arial" w:hAnsi="Arial"/>
          <w:sz w:val="12"/>
          <w:szCs w:val="12"/>
          <w:color w:val="auto"/>
        </w:rPr>
        <w:t>the date of this prospectus continuing through the date days after the date of this prospectus. may, in its sole discretion, release any of these shares from these restrictions at any time without notice. For a discussion of these restrictions, see the section titled “Underwriting.”</w:t>
      </w:r>
    </w:p>
    <w:p>
      <w:pPr>
        <w:spacing w:after="0" w:line="124"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our IPO, we, each of our officers, directors and certain holders of our common stock agreed, subject to certain exceptions, with the underwriters not to dispose of or hedge any of the shares of common stock or securities convertible into or exchangeable for shares of common stock during the period from the date of this prospectus continuing through May 18, 2021. J.P. Morgan Securities LLC may, in its sole discretion, release any of these shares from these restrictions at any time without notice. In connection with this offering, J.P. Morgan Securities LLC has waived certain lock-up restrictions applicable to the selling stockholders in this offering and certain restrictions applicable to us to permit the filing of the registration statement of which this prospectus forms a part.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Stockholders’ Agreement</w:t>
      </w:r>
    </w:p>
    <w:p>
      <w:pPr>
        <w:spacing w:after="0" w:line="82" w:lineRule="exact"/>
        <w:rPr>
          <w:sz w:val="20"/>
          <w:szCs w:val="20"/>
          <w:color w:val="auto"/>
        </w:rPr>
      </w:pPr>
    </w:p>
    <w:p>
      <w:pPr>
        <w:ind w:left="1980" w:right="979" w:firstLine="294"/>
        <w:spacing w:after="0" w:line="298" w:lineRule="auto"/>
        <w:rPr>
          <w:sz w:val="20"/>
          <w:szCs w:val="20"/>
          <w:color w:val="auto"/>
        </w:rPr>
      </w:pPr>
      <w:r>
        <w:rPr>
          <w:rFonts w:ascii="Arial" w:cs="Arial" w:eastAsia="Arial" w:hAnsi="Arial"/>
          <w:sz w:val="11"/>
          <w:szCs w:val="11"/>
          <w:color w:val="auto"/>
        </w:rPr>
        <w:t>For a description of the stockholders’ agreement that we entered into with certain holders of our common stock, including investment funds and entities affiliated with the Sponsors in connection with our IPO, see “Certain Relationships and Related Transactions, and Director Independence— Stockholders’ Agreement” in Part III, Item. 13 of Sotera Health’s 2020 10-K, which is incorporated herein by reference.</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Registration Rights</w:t>
      </w:r>
    </w:p>
    <w:p>
      <w:pPr>
        <w:spacing w:after="0" w:line="82"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For a description of the registration rights agreement that we entered into with certain holders of our common stock, including investment funds and entities affiliated with the Sponsors in connection with our IPO, see “Certain Relationships and Related Transactions, and Director Independence</w:t>
      </w:r>
      <w:r>
        <w:rPr>
          <w:rFonts w:ascii="Arial" w:cs="Arial" w:eastAsia="Arial" w:hAnsi="Arial"/>
          <w:sz w:val="11"/>
          <w:szCs w:val="11"/>
          <w:i w:val="1"/>
          <w:iCs w:val="1"/>
          <w:color w:val="auto"/>
        </w:rPr>
        <w:t>—</w:t>
      </w:r>
      <w:r>
        <w:rPr>
          <w:rFonts w:ascii="Arial" w:cs="Arial" w:eastAsia="Arial" w:hAnsi="Arial"/>
          <w:sz w:val="11"/>
          <w:szCs w:val="11"/>
          <w:color w:val="auto"/>
        </w:rPr>
        <w:t xml:space="preserve"> Registration Rights” in Part III, Item. 13 of Sotera Health’s 2020 10-K, which is incorporated herein by reference.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Equity Plans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have filed a registration statements on Form S-8 under the Securities Act to register all of the shares of common stock issued or issuable under our 2020 Plan. This registration statement permits the resale of shares offered pursuant to the 2020 Plan by non-affiliates in the public market without restriction under the Securities Act and the sale by affiliates in the public market, subject to compliance with the resale provisions of Rule 144 and any applicable lock-up agreements. See “Executive Compensation—2020 Omnibus Incentive Plan” in Part III, Item 11 of Sotera Health’s 2020 10-K, which is incorporated herein by reference, for a description of our 2020 Plan.</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ind w:left="3200"/>
        <w:spacing w:after="0"/>
        <w:rPr>
          <w:sz w:val="20"/>
          <w:szCs w:val="20"/>
          <w:color w:val="auto"/>
        </w:rPr>
      </w:pPr>
      <w:r>
        <w:rPr>
          <w:rFonts w:ascii="Arial" w:cs="Arial" w:eastAsia="Arial" w:hAnsi="Arial"/>
          <w:sz w:val="12"/>
          <w:szCs w:val="12"/>
          <w:b w:val="1"/>
          <w:bCs w:val="1"/>
          <w:color w:val="auto"/>
        </w:rPr>
        <w:t>MATERIAL U.S. FEDERAL INCOME TAX CONSIDERATIONS FOR NON-U.S. HOLDERS</w:t>
      </w:r>
    </w:p>
    <w:p>
      <w:pPr>
        <w:spacing w:after="0" w:line="154" w:lineRule="exact"/>
        <w:rPr>
          <w:sz w:val="20"/>
          <w:szCs w:val="20"/>
          <w:color w:val="auto"/>
        </w:rPr>
      </w:pPr>
    </w:p>
    <w:p>
      <w:pPr>
        <w:ind w:left="1980" w:right="939" w:firstLine="294"/>
        <w:spacing w:after="0" w:line="308" w:lineRule="auto"/>
        <w:rPr>
          <w:sz w:val="20"/>
          <w:szCs w:val="20"/>
          <w:color w:val="auto"/>
        </w:rPr>
      </w:pPr>
      <w:r>
        <w:rPr>
          <w:rFonts w:ascii="Arial" w:cs="Arial" w:eastAsia="Arial" w:hAnsi="Arial"/>
          <w:sz w:val="10"/>
          <w:szCs w:val="10"/>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249"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2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05"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11"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Dividends paid to a Non-U.S. Holder generally will be subject to withholding of U.S. federal income tax at a 30% rate, or such lower rate as may be specified by an applicable tax treaty.</w:t>
      </w:r>
    </w:p>
    <w:p>
      <w:pPr>
        <w:spacing w:after="0" w:line="11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1359"/>
        <w:spacing w:after="0" w:line="276" w:lineRule="auto"/>
        <w:rPr>
          <w:sz w:val="20"/>
          <w:szCs w:val="20"/>
          <w:color w:val="auto"/>
        </w:rPr>
      </w:pPr>
      <w:r>
        <w:rPr>
          <w:rFonts w:ascii="Arial" w:cs="Arial" w:eastAsia="Arial" w:hAnsi="Arial"/>
          <w:sz w:val="12"/>
          <w:szCs w:val="12"/>
          <w:color w:val="auto"/>
        </w:rPr>
        <w:t>Non-U.S. Holder’s entitlement to the lower treaty rate with respect to such dividend payments, and the withholding agent does not have actual knowledge or reason to know to the contrary.</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15"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9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Investors should consult their own tax advisors about how these information reporting and withholding tax rules may apply to their investment in shares of our common stock.</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Sale, Exchange or Other Taxable Disposition of Common Stock</w:t>
      </w:r>
    </w:p>
    <w:p>
      <w:pPr>
        <w:spacing w:after="0" w:line="82"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Non-U.S. Holders generally will not be subject to U.S. federal income tax with respect to gain recognized on a sale, exchange or other taxable disposition of shares of our common stock.</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8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selling stockholders are offering the shares of common stock described in this prospectus through a number of underwriters. are acting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09"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4500" w:type="dxa"/>
            <w:vAlign w:val="bottom"/>
            <w:gridSpan w:val="2"/>
            <w:vMerge w:val="continue"/>
          </w:tcPr>
          <w:p>
            <w:pPr>
              <w:spacing w:after="0"/>
              <w:rPr>
                <w:sz w:val="9"/>
                <w:szCs w:val="9"/>
                <w:color w:val="auto"/>
              </w:rPr>
            </w:pPr>
          </w:p>
        </w:tc>
        <w:tc>
          <w:tcPr>
            <w:tcW w:w="4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3"/>
              </w:rPr>
              <w:t>Shares</w:t>
            </w:r>
          </w:p>
        </w:tc>
        <w:tc>
          <w:tcPr>
            <w:tcW w:w="0" w:type="dxa"/>
            <w:vAlign w:val="bottom"/>
          </w:tcPr>
          <w:p>
            <w:pPr>
              <w:spacing w:after="0"/>
              <w:rPr>
                <w:sz w:val="1"/>
                <w:szCs w:val="1"/>
                <w:color w:val="auto"/>
              </w:rPr>
            </w:pPr>
          </w:p>
        </w:tc>
      </w:tr>
      <w:tr>
        <w:trPr>
          <w:trHeight w:val="133"/>
        </w:trPr>
        <w:tc>
          <w:tcPr>
            <w:tcW w:w="240" w:type="dxa"/>
            <w:vAlign w:val="bottom"/>
            <w:tcBorders>
              <w:top w:val="single" w:sz="8" w:color="auto"/>
            </w:tcBorders>
            <w:shd w:val="clear" w:color="auto" w:fill="CCEEFF"/>
          </w:tcPr>
          <w:p>
            <w:pPr>
              <w:spacing w:after="0"/>
              <w:rPr>
                <w:sz w:val="11"/>
                <w:szCs w:val="11"/>
                <w:color w:val="auto"/>
              </w:rPr>
            </w:pPr>
          </w:p>
        </w:tc>
        <w:tc>
          <w:tcPr>
            <w:tcW w:w="4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underwriters propose to offer the common shares directly to the public at the public offering price set forth on the cover page of this prospectus and to certain dealers at that price less a concession not in excess of $ per share. After the offering of the shares to the public, if all of the common shares are not sold at the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28"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The underwriters have an option to buy up to additional shares of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underwriting fee is equal to the public offering price per share of common stock less the amount paid by the underwriters to the selling</w:t>
      </w:r>
    </w:p>
    <w:p>
      <w:pPr>
        <w:spacing w:after="0" w:line="26" w:lineRule="exact"/>
        <w:rPr>
          <w:sz w:val="20"/>
          <w:szCs w:val="20"/>
          <w:color w:val="auto"/>
        </w:rPr>
      </w:pPr>
    </w:p>
    <w:p>
      <w:pPr>
        <w:jc w:val="both"/>
        <w:ind w:left="1980" w:right="979"/>
        <w:spacing w:after="0" w:line="255" w:lineRule="auto"/>
        <w:rPr>
          <w:sz w:val="20"/>
          <w:szCs w:val="20"/>
          <w:color w:val="auto"/>
        </w:rPr>
      </w:pPr>
      <w:r>
        <w:rPr>
          <w:rFonts w:ascii="Arial" w:cs="Arial" w:eastAsia="Arial" w:hAnsi="Arial"/>
          <w:sz w:val="12"/>
          <w:szCs w:val="12"/>
          <w:color w:val="auto"/>
        </w:rPr>
        <w:t>stockholders per share of common stock. The underwriting fee is $ per share. The following table shows the per share and total underwriting discounts and commissions to be paid by the selling stockholders to the underwriters assuming both no exercise and full exercise of the underwriters’ option to purchase additional shares.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1"/>
              </w:rPr>
              <w:t>Without</w:t>
            </w:r>
          </w:p>
        </w:tc>
        <w:tc>
          <w:tcPr>
            <w:tcW w:w="7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6"/>
              </w:rPr>
              <w:t>With full</w:t>
            </w:r>
          </w:p>
        </w:tc>
      </w:tr>
      <w:tr>
        <w:trPr>
          <w:trHeight w:val="99"/>
        </w:trPr>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38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8"/>
              </w:rPr>
              <w:t>option to</w:t>
            </w:r>
          </w:p>
        </w:tc>
        <w:tc>
          <w:tcPr>
            <w:tcW w:w="74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84"/>
              </w:rPr>
              <w:t>option to</w:t>
            </w:r>
          </w:p>
        </w:tc>
      </w:tr>
      <w:tr>
        <w:trPr>
          <w:trHeight w:val="99"/>
        </w:trPr>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38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5"/>
              </w:rPr>
              <w:t>purchase</w:t>
            </w:r>
          </w:p>
        </w:tc>
        <w:tc>
          <w:tcPr>
            <w:tcW w:w="74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purchase</w:t>
            </w:r>
          </w:p>
        </w:tc>
      </w:tr>
      <w:tr>
        <w:trPr>
          <w:trHeight w:val="99"/>
        </w:trPr>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38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5"/>
              </w:rPr>
              <w:t>additional shares</w:t>
            </w:r>
          </w:p>
        </w:tc>
        <w:tc>
          <w:tcPr>
            <w:tcW w:w="74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additional shares</w:t>
            </w:r>
          </w:p>
        </w:tc>
      </w:tr>
      <w:tr>
        <w:trPr>
          <w:trHeight w:val="113"/>
        </w:trPr>
        <w:tc>
          <w:tcPr>
            <w:tcW w:w="16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gridSpan w:val="2"/>
          </w:tcPr>
          <w:p>
            <w:pPr>
              <w:jc w:val="center"/>
              <w:ind w:right="680"/>
              <w:spacing w:after="0" w:line="114" w:lineRule="exact"/>
              <w:rPr>
                <w:sz w:val="20"/>
                <w:szCs w:val="20"/>
                <w:color w:val="auto"/>
              </w:rPr>
            </w:pPr>
            <w:r>
              <w:rPr>
                <w:rFonts w:ascii="Arial" w:cs="Arial" w:eastAsia="Arial" w:hAnsi="Arial"/>
                <w:sz w:val="10"/>
                <w:szCs w:val="10"/>
                <w:b w:val="1"/>
                <w:bCs w:val="1"/>
                <w:color w:val="auto"/>
                <w:w w:val="84"/>
              </w:rPr>
              <w:t>exercise</w:t>
            </w:r>
          </w:p>
        </w:tc>
        <w:tc>
          <w:tcPr>
            <w:tcW w:w="74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auto"/>
                <w:w w:val="79"/>
              </w:rPr>
              <w:t>exercise</w:t>
            </w:r>
          </w:p>
        </w:tc>
      </w:tr>
      <w:tr>
        <w:trPr>
          <w:trHeight w:val="133"/>
        </w:trPr>
        <w:tc>
          <w:tcPr>
            <w:tcW w:w="16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 Share</w:t>
            </w:r>
          </w:p>
        </w:tc>
        <w:tc>
          <w:tcPr>
            <w:tcW w:w="18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53"/>
        </w:trPr>
        <w:tc>
          <w:tcPr>
            <w:tcW w:w="1600" w:type="dxa"/>
            <w:vAlign w:val="bottom"/>
          </w:tcPr>
          <w:p>
            <w:pPr>
              <w:spacing w:after="0"/>
              <w:rPr>
                <w:sz w:val="20"/>
                <w:szCs w:val="20"/>
                <w:color w:val="auto"/>
              </w:rPr>
            </w:pPr>
            <w:r>
              <w:rPr>
                <w:rFonts w:ascii="Arial" w:cs="Arial" w:eastAsia="Arial" w:hAnsi="Arial"/>
                <w:sz w:val="12"/>
                <w:szCs w:val="12"/>
                <w:color w:val="auto"/>
              </w:rPr>
              <w:t>Total</w:t>
            </w:r>
          </w:p>
        </w:tc>
        <w:tc>
          <w:tcPr>
            <w:tcW w:w="2560" w:type="dxa"/>
            <w:vAlign w:val="bottom"/>
            <w:gridSpan w:val="2"/>
          </w:tcPr>
          <w:p>
            <w:pPr>
              <w:jc w:val="right"/>
              <w:ind w:right="592"/>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700" w:type="dxa"/>
            <w:vAlign w:val="bottom"/>
          </w:tcPr>
          <w:p>
            <w:pPr>
              <w:jc w:val="right"/>
              <w:ind w:right="59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3"/>
                <w:szCs w:val="13"/>
                <w:color w:val="auto"/>
              </w:rPr>
            </w:pPr>
          </w:p>
        </w:tc>
      </w:tr>
      <w:tr>
        <w:trPr>
          <w:trHeight w:val="234"/>
        </w:trPr>
        <w:tc>
          <w:tcPr>
            <w:tcW w:w="1600" w:type="dxa"/>
            <w:vAlign w:val="bottom"/>
          </w:tcPr>
          <w:p>
            <w:pPr>
              <w:spacing w:after="0"/>
              <w:rPr>
                <w:sz w:val="20"/>
                <w:szCs w:val="20"/>
                <w:color w:val="auto"/>
              </w:rPr>
            </w:pPr>
          </w:p>
        </w:tc>
        <w:tc>
          <w:tcPr>
            <w:tcW w:w="1860" w:type="dxa"/>
            <w:vAlign w:val="bottom"/>
          </w:tcPr>
          <w:p>
            <w:pPr>
              <w:jc w:val="right"/>
              <w:ind w:right="560"/>
              <w:spacing w:after="0"/>
              <w:rPr>
                <w:sz w:val="20"/>
                <w:szCs w:val="20"/>
                <w:color w:val="auto"/>
              </w:rPr>
            </w:pPr>
            <w:r>
              <w:rPr>
                <w:rFonts w:ascii="Arial" w:cs="Arial" w:eastAsia="Arial" w:hAnsi="Arial"/>
                <w:sz w:val="12"/>
                <w:szCs w:val="12"/>
                <w:color w:val="auto"/>
              </w:rPr>
              <w:t>72</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estimate that the total expenses of this offering, including registration, filing and listing fees, printing fees and legal and accounting expenses,</w:t>
      </w:r>
    </w:p>
    <w:p>
      <w:pPr>
        <w:spacing w:after="0" w:line="26" w:lineRule="exact"/>
        <w:rPr>
          <w:sz w:val="20"/>
          <w:szCs w:val="20"/>
          <w:color w:val="auto"/>
        </w:rPr>
      </w:pPr>
    </w:p>
    <w:p>
      <w:pPr>
        <w:ind w:left="1980"/>
        <w:spacing w:after="0"/>
        <w:tabs>
          <w:tab w:leader="none" w:pos="6220" w:val="left"/>
        </w:tabs>
        <w:rPr>
          <w:sz w:val="20"/>
          <w:szCs w:val="20"/>
          <w:color w:val="auto"/>
        </w:rPr>
      </w:pPr>
      <w:r>
        <w:rPr>
          <w:rFonts w:ascii="Arial" w:cs="Arial" w:eastAsia="Arial" w:hAnsi="Arial"/>
          <w:sz w:val="12"/>
          <w:szCs w:val="12"/>
          <w:color w:val="auto"/>
        </w:rPr>
        <w:t>but excluding the underwriting discounts and commissions, will be approximately $</w:t>
      </w:r>
      <w:r>
        <w:rPr>
          <w:sz w:val="20"/>
          <w:szCs w:val="20"/>
          <w:color w:val="auto"/>
        </w:rPr>
        <w:tab/>
      </w:r>
      <w:r>
        <w:rPr>
          <w:rFonts w:ascii="Arial" w:cs="Arial" w:eastAsia="Arial" w:hAnsi="Arial"/>
          <w:sz w:val="10"/>
          <w:szCs w:val="10"/>
          <w:color w:val="auto"/>
        </w:rPr>
        <w:t>million. We have agreed to reimburse the underwriters for</w:t>
      </w:r>
    </w:p>
    <w:p>
      <w:pPr>
        <w:spacing w:after="0" w:line="6" w:lineRule="exact"/>
        <w:rPr>
          <w:sz w:val="20"/>
          <w:szCs w:val="20"/>
          <w:color w:val="auto"/>
        </w:rPr>
      </w:pPr>
    </w:p>
    <w:p>
      <w:pPr>
        <w:ind w:left="1980"/>
        <w:spacing w:after="0"/>
        <w:tabs>
          <w:tab w:leader="none" w:pos="3020" w:val="left"/>
        </w:tabs>
        <w:rPr>
          <w:sz w:val="20"/>
          <w:szCs w:val="20"/>
          <w:color w:val="auto"/>
        </w:rPr>
      </w:pPr>
      <w:r>
        <w:rPr>
          <w:rFonts w:ascii="Arial" w:cs="Arial" w:eastAsia="Arial" w:hAnsi="Arial"/>
          <w:sz w:val="12"/>
          <w:szCs w:val="12"/>
          <w:color w:val="auto"/>
        </w:rPr>
        <w:t>expenses up to $</w:t>
      </w:r>
      <w:r>
        <w:rPr>
          <w:sz w:val="20"/>
          <w:szCs w:val="20"/>
          <w:color w:val="auto"/>
        </w:rPr>
        <w:tab/>
      </w:r>
      <w:r>
        <w:rPr>
          <w:rFonts w:ascii="Arial" w:cs="Arial" w:eastAsia="Arial" w:hAnsi="Arial"/>
          <w:sz w:val="11"/>
          <w:szCs w:val="11"/>
          <w:color w:val="auto"/>
        </w:rPr>
        <w:t>, including expenses related to clearance of this offering with FINRA.</w:t>
      </w:r>
    </w:p>
    <w:p>
      <w:pPr>
        <w:spacing w:after="0" w:line="141"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agreed that, subject to certain exceptions, we will not, without the prior written consent of for a period of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executive officers, directors and certain holders of our common stock, including the selling stockholders, have entered into lock-up agreements with the underwriters pursuant to which each of them, subject to certain exceptions, for a period of days after the date of this prospectus, may not, without the prior written consent of , (i) offer, pledge, sell, contract to sell, sell any option or contract to purchase, purchase any option</w:t>
      </w:r>
    </w:p>
    <w:p>
      <w:pPr>
        <w:spacing w:after="0" w:line="1" w:lineRule="exact"/>
        <w:rPr>
          <w:sz w:val="20"/>
          <w:szCs w:val="20"/>
          <w:color w:val="auto"/>
        </w:rPr>
      </w:pPr>
    </w:p>
    <w:p>
      <w:pPr>
        <w:ind w:left="1980" w:right="879"/>
        <w:spacing w:after="0" w:line="252" w:lineRule="auto"/>
        <w:rPr>
          <w:sz w:val="20"/>
          <w:szCs w:val="20"/>
          <w:color w:val="auto"/>
        </w:rPr>
      </w:pPr>
      <w:r>
        <w:rPr>
          <w:rFonts w:ascii="Arial" w:cs="Arial" w:eastAsia="Arial" w:hAnsi="Arial"/>
          <w:sz w:val="12"/>
          <w:szCs w:val="12"/>
          <w:color w:val="auto"/>
        </w:rPr>
        <w:t>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lock-up restrictions described in the immediately preceding paragraph are subject to certain exceptions including, without limitation:</w:t>
      </w:r>
    </w:p>
    <w:p>
      <w:pPr>
        <w:spacing w:after="0" w:line="26" w:lineRule="exact"/>
        <w:rPr>
          <w:sz w:val="20"/>
          <w:szCs w:val="20"/>
          <w:color w:val="auto"/>
        </w:rPr>
      </w:pPr>
    </w:p>
    <w:p>
      <w:pPr>
        <w:ind w:left="1980" w:right="859" w:hanging="8"/>
        <w:spacing w:after="0" w:line="281" w:lineRule="auto"/>
        <w:tabs>
          <w:tab w:leader="none" w:pos="2123" w:val="left"/>
        </w:tabs>
        <w:numPr>
          <w:ilvl w:val="0"/>
          <w:numId w:val="46"/>
        </w:numPr>
        <w:rPr>
          <w:rFonts w:ascii="Arial" w:cs="Arial" w:eastAsia="Arial" w:hAnsi="Arial"/>
          <w:sz w:val="11"/>
          <w:szCs w:val="11"/>
          <w:color w:val="auto"/>
        </w:rPr>
      </w:pPr>
      <w:r>
        <w:rPr>
          <w:rFonts w:ascii="Arial" w:cs="Arial" w:eastAsia="Arial" w:hAnsi="Arial"/>
          <w:sz w:val="11"/>
          <w:szCs w:val="11"/>
          <w:color w:val="auto"/>
        </w:rPr>
        <w:t>transfers as part of a sale of lock-up securities acquired in this offering or in open market transactions after the closing of this offering,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to such lending institution upon foreclosure, among others.</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In connection with the IPO, our executive officers, directors and certain holders of our common stock, entered into lock-up agreements with the underwriters pursuant to which each of them, subject to certain exceptions, for a period of 180 days (which expires on May 18, 2021),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24"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lock-up restrictions described in the immediately preceding paragraph are subject to certain exceptions including, without limitation: (i) transfers as part of a sale of lock-up securities acquired in the IPO or in open market transactions after the closing of the IPO,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to such lending institution upon foreclosure, among others.</w:t>
      </w:r>
    </w:p>
    <w:p>
      <w:pPr>
        <w:spacing w:after="0" w:line="113"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In connection with this offering, J.P. Morgan Securities LLC has given written consent to permit filing of this registration statement. Additionally, J.P. Morgan Securities LLC has agreed to release the restrictions under the lock-up agreements that were executed in connection with the IPO with</w:t>
      </w:r>
    </w:p>
    <w:p>
      <w:pPr>
        <w:spacing w:after="0" w:line="1"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respect to up to shares (or up to shares to the extent the underwriters exercise their option to purchase additional shares) of our common stock in this offering that are held by the selling stockholders, provided that the release of shares of our common stock held by the selling stockholders is limited to the shares actually sold in this offering.</w:t>
      </w:r>
    </w:p>
    <w:p>
      <w:pPr>
        <w:spacing w:after="0" w:line="127"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and the selling stockholders have agreed to indemnify the underwriters against certain liabilities, including liabilities under the Securities Act of 1933.</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common stock is listed on the Nasdaq under the symbol “SHC.”</w:t>
      </w:r>
    </w:p>
    <w:p>
      <w:pPr>
        <w:spacing w:after="0" w:line="150"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20"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2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Neither we, the selling stockholders, nor the underwriters make any representation or prediction as to the direction or magnitude of any effect that the transactions described above may have on the price of our common stock.</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and/or certain of their affiliates are lenders, and/or act as agents or arrangers, under our Senior Secured Credit Facilities.</w:t>
      </w:r>
    </w:p>
    <w:p>
      <w:pPr>
        <w:spacing w:after="0" w:line="12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28"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Other than in the United States, no action has been taken by us, the selling stockholders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the European Economic Area</w:t>
      </w:r>
    </w:p>
    <w:p>
      <w:pPr>
        <w:spacing w:after="0" w:line="78"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In relation to each Member State of the European Economic Area (each a “Relevant Member State”), no shares have been offered or will be offered pursuant to this offering to the public in that Relevant Member State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61" w:lineRule="exact"/>
        <w:rPr>
          <w:sz w:val="20"/>
          <w:szCs w:val="20"/>
          <w:color w:val="auto"/>
        </w:rPr>
      </w:pPr>
    </w:p>
    <w:p>
      <w:pPr>
        <w:ind w:left="2620" w:hanging="360"/>
        <w:spacing w:after="0"/>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87"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for any such offer; or</w:t>
      </w:r>
    </w:p>
    <w:p>
      <w:pPr>
        <w:spacing w:after="0" w:line="51" w:lineRule="exact"/>
        <w:rPr>
          <w:rFonts w:ascii="Arial" w:cs="Arial" w:eastAsia="Arial" w:hAnsi="Arial"/>
          <w:sz w:val="12"/>
          <w:szCs w:val="12"/>
          <w:color w:val="auto"/>
        </w:rPr>
      </w:pPr>
    </w:p>
    <w:p>
      <w:pPr>
        <w:ind w:left="2620" w:right="959" w:hanging="360"/>
        <w:spacing w:after="0" w:line="263" w:lineRule="auto"/>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w:t>
      </w:r>
    </w:p>
    <w:p>
      <w:pPr>
        <w:spacing w:after="0" w:line="12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22"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13"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company, the underwriters and their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340" w:lineRule="auto"/>
        <w:rPr>
          <w:sz w:val="20"/>
          <w:szCs w:val="20"/>
          <w:color w:val="auto"/>
        </w:rPr>
      </w:pPr>
      <w:r>
        <w:rPr>
          <w:rFonts w:ascii="Arial" w:cs="Arial" w:eastAsia="Arial" w:hAnsi="Arial"/>
          <w:sz w:val="10"/>
          <w:szCs w:val="10"/>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the United Kingdom</w:t>
      </w:r>
    </w:p>
    <w:p>
      <w:pPr>
        <w:spacing w:after="0" w:line="7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52" w:lineRule="exact"/>
        <w:rPr>
          <w:sz w:val="20"/>
          <w:szCs w:val="20"/>
          <w:color w:val="auto"/>
        </w:rPr>
      </w:pPr>
    </w:p>
    <w:p>
      <w:pPr>
        <w:ind w:left="2620" w:hanging="360"/>
        <w:spacing w:after="0"/>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87" w:lineRule="exact"/>
        <w:rPr>
          <w:rFonts w:ascii="Arial" w:cs="Arial" w:eastAsia="Arial" w:hAnsi="Arial"/>
          <w:sz w:val="12"/>
          <w:szCs w:val="12"/>
          <w:color w:val="auto"/>
        </w:rPr>
      </w:pPr>
    </w:p>
    <w:p>
      <w:pPr>
        <w:ind w:left="2620" w:right="1199" w:hanging="360"/>
        <w:spacing w:after="0" w:line="276" w:lineRule="auto"/>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provided that no such offer of Shares shall result in a requirement for the Issuer or any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13"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company, the underwriters and their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13"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of Prospective Investors in Switzerland</w:t>
      </w:r>
    </w:p>
    <w:p>
      <w:pPr>
        <w:spacing w:after="0" w:line="78"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the Dubai International Financial Centre</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3"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Australia</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prospectus:</w:t>
      </w:r>
    </w:p>
    <w:p>
      <w:pPr>
        <w:spacing w:after="0" w:line="87" w:lineRule="exact"/>
        <w:rPr>
          <w:sz w:val="20"/>
          <w:szCs w:val="20"/>
          <w:color w:val="auto"/>
        </w:rPr>
      </w:pPr>
    </w:p>
    <w:p>
      <w:pPr>
        <w:ind w:left="2620" w:right="1159" w:hanging="288"/>
        <w:spacing w:after="0" w:line="276" w:lineRule="auto"/>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does not constitute a disclosure document or a prospectus under Chapter 6D.2 of the Corporations Act 2001 (Cth) (the “Corporations Act”);</w:t>
      </w:r>
    </w:p>
    <w:p>
      <w:pPr>
        <w:spacing w:after="0" w:line="51"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59"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Hong Kong</w:t>
      </w:r>
    </w:p>
    <w:p>
      <w:pPr>
        <w:spacing w:after="0" w:line="78"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The shares have not been offered or sold and will not be offered or sold in Hong Kong, by means of any document, other than (a) to “professional investors” as defined in the Securities and Futures Ordinance (Cap. 571</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Japan</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Singapore</w:t>
      </w:r>
    </w:p>
    <w:p>
      <w:pPr>
        <w:spacing w:after="0" w:line="7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50" w:lineRule="exact"/>
        <w:rPr>
          <w:sz w:val="20"/>
          <w:szCs w:val="20"/>
          <w:color w:val="auto"/>
        </w:rPr>
      </w:pPr>
    </w:p>
    <w:p>
      <w:pPr>
        <w:ind w:left="2920" w:right="1039" w:hanging="291"/>
        <w:spacing w:after="0" w:line="276" w:lineRule="auto"/>
        <w:tabs>
          <w:tab w:leader="none" w:pos="2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to an institutional investor (as defined in Section 4A of the Securities and Futures Act (Chapter 289) of Singapore, as modified or amended from time to time (the “SFA”)) pursuant to Section 274 of the SFA;</w:t>
      </w:r>
    </w:p>
    <w:p>
      <w:pPr>
        <w:spacing w:after="0" w:line="51" w:lineRule="exact"/>
        <w:rPr>
          <w:rFonts w:ascii="Arial" w:cs="Arial" w:eastAsia="Arial" w:hAnsi="Arial"/>
          <w:sz w:val="12"/>
          <w:szCs w:val="12"/>
          <w:color w:val="auto"/>
        </w:rPr>
      </w:pPr>
    </w:p>
    <w:p>
      <w:pPr>
        <w:ind w:left="2920" w:right="1159" w:hanging="291"/>
        <w:spacing w:after="0" w:line="323" w:lineRule="auto"/>
        <w:tabs>
          <w:tab w:leader="none" w:pos="29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28" w:lineRule="exact"/>
        <w:rPr>
          <w:rFonts w:ascii="Arial" w:cs="Arial" w:eastAsia="Arial" w:hAnsi="Arial"/>
          <w:sz w:val="11"/>
          <w:szCs w:val="11"/>
          <w:color w:val="auto"/>
        </w:rPr>
      </w:pPr>
    </w:p>
    <w:p>
      <w:pPr>
        <w:ind w:left="2920" w:hanging="291"/>
        <w:spacing w:after="0"/>
        <w:tabs>
          <w:tab w:leader="none" w:pos="2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otherwise pursuant to, and in accordance with the conditions of, any other applicable provision of the SFA.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shares are subscribed or purchased under Section 275 of the SFA by a relevant person which is:</w:t>
      </w:r>
    </w:p>
    <w:p>
      <w:pPr>
        <w:spacing w:after="0" w:line="87" w:lineRule="exact"/>
        <w:rPr>
          <w:sz w:val="20"/>
          <w:szCs w:val="20"/>
          <w:color w:val="auto"/>
        </w:rPr>
      </w:pPr>
    </w:p>
    <w:p>
      <w:pPr>
        <w:ind w:left="2920" w:right="1019" w:hanging="291"/>
        <w:spacing w:after="0" w:line="379" w:lineRule="auto"/>
        <w:tabs>
          <w:tab w:leader="none" w:pos="29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 w:lineRule="exact"/>
        <w:rPr>
          <w:rFonts w:ascii="Arial" w:cs="Arial" w:eastAsia="Arial" w:hAnsi="Arial"/>
          <w:sz w:val="10"/>
          <w:szCs w:val="10"/>
          <w:color w:val="auto"/>
        </w:rPr>
      </w:pPr>
    </w:p>
    <w:p>
      <w:pPr>
        <w:ind w:left="2920" w:right="919" w:hanging="291"/>
        <w:spacing w:after="0" w:line="276" w:lineRule="auto"/>
        <w:tabs>
          <w:tab w:leader="none" w:pos="29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2260" w:right="85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9" w:lineRule="exact"/>
        <w:rPr>
          <w:sz w:val="20"/>
          <w:szCs w:val="20"/>
          <w:color w:val="auto"/>
        </w:rPr>
      </w:pPr>
    </w:p>
    <w:p>
      <w:pPr>
        <w:ind w:left="2920" w:right="1419" w:hanging="291"/>
        <w:spacing w:after="0" w:line="276" w:lineRule="auto"/>
        <w:tabs>
          <w:tab w:leader="none" w:pos="2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87" w:lineRule="exact"/>
        <w:rPr>
          <w:rFonts w:ascii="Arial" w:cs="Arial" w:eastAsia="Arial" w:hAnsi="Arial"/>
          <w:sz w:val="12"/>
          <w:szCs w:val="12"/>
          <w:color w:val="auto"/>
        </w:rPr>
      </w:pPr>
    </w:p>
    <w:p>
      <w:pPr>
        <w:ind w:left="2920" w:right="1059" w:hanging="291"/>
        <w:spacing w:after="0" w:line="276" w:lineRule="auto"/>
        <w:tabs>
          <w:tab w:leader="none" w:pos="2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Investments) (Securities and Securities-based Derivatives Contracts) Regulations 2018.</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Notice to Prospective Investors in Canada</w:t>
      </w:r>
    </w:p>
    <w:p>
      <w:pPr>
        <w:spacing w:after="0" w:line="78"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1"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PURSUANT TO 17 C.F.R. SECTION 200.83</w:t>
      </w:r>
    </w:p>
    <w:p>
      <w:pPr>
        <w:spacing w:after="0" w:line="9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23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The consolidated financial statements of Sotera Health Company appearing in Sotera Health Company’s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6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264"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INCORPORATION BY REFERENCE</w:t>
      </w:r>
    </w:p>
    <w:p>
      <w:pPr>
        <w:spacing w:after="0" w:line="154" w:lineRule="exact"/>
        <w:rPr>
          <w:sz w:val="20"/>
          <w:szCs w:val="20"/>
          <w:color w:val="auto"/>
        </w:rPr>
      </w:pPr>
    </w:p>
    <w:p>
      <w:pPr>
        <w:jc w:val="both"/>
        <w:ind w:left="1980" w:right="1119" w:firstLine="294"/>
        <w:spacing w:after="0" w:line="256" w:lineRule="auto"/>
        <w:rPr>
          <w:sz w:val="20"/>
          <w:szCs w:val="20"/>
          <w:color w:val="auto"/>
        </w:rPr>
      </w:pPr>
      <w:r>
        <w:rPr>
          <w:rFonts w:ascii="Arial" w:cs="Arial" w:eastAsia="Arial" w:hAnsi="Arial"/>
          <w:sz w:val="12"/>
          <w:szCs w:val="12"/>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65" w:lineRule="exact"/>
        <w:rPr>
          <w:sz w:val="20"/>
          <w:szCs w:val="20"/>
          <w:color w:val="auto"/>
        </w:rPr>
      </w:pPr>
    </w:p>
    <w:p>
      <w:pPr>
        <w:ind w:left="2620" w:hanging="288"/>
        <w:spacing w:after="0"/>
        <w:tabs>
          <w:tab w:leader="none" w:pos="26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our Annual Report on Form 10-K for fiscal year ended December 31, 2020, filed on March 9, 2021 (“Sotera Health’s 2020 10-K”); and</w:t>
      </w:r>
    </w:p>
    <w:p>
      <w:pPr>
        <w:spacing w:after="0" w:line="99" w:lineRule="exact"/>
        <w:rPr>
          <w:sz w:val="20"/>
          <w:szCs w:val="20"/>
          <w:color w:val="auto"/>
        </w:rPr>
      </w:pPr>
    </w:p>
    <w:p>
      <w:pPr>
        <w:ind w:left="2340"/>
        <w:spacing w:after="0"/>
        <w:tabs>
          <w:tab w:leader="none" w:pos="2600" w:val="left"/>
          <w:tab w:leader="none" w:pos="6160" w:val="left"/>
        </w:tabs>
        <w:rPr>
          <w:rFonts w:ascii="Arial" w:cs="Arial" w:eastAsia="Arial" w:hAnsi="Arial"/>
          <w:sz w:val="12"/>
          <w:szCs w:val="12"/>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 xml:space="preserve">our Current Reports on </w:t>
      </w:r>
      <w:hyperlink r:id="rId148">
        <w:r>
          <w:rPr>
            <w:rFonts w:ascii="Arial" w:cs="Arial" w:eastAsia="Arial" w:hAnsi="Arial"/>
            <w:sz w:val="12"/>
            <w:szCs w:val="12"/>
            <w:u w:val="single" w:color="auto"/>
            <w:color w:val="0000EE"/>
          </w:rPr>
          <w:t>Form 8-K</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filed on January 20, 2021 and</w:t>
        <w:tab/>
      </w:r>
      <w:r>
        <w:rPr>
          <w:rFonts w:ascii="Arial" w:cs="Arial" w:eastAsia="Arial" w:hAnsi="Arial"/>
          <w:sz w:val="7"/>
          <w:szCs w:val="7"/>
          <w:color w:val="auto"/>
        </w:rPr>
        <w:t>.</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CONFIDENTIAL TREATMENT REQUESTED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PURSUANT TO 17 C.F.R. SECTION 200.83</w:t>
      </w:r>
    </w:p>
    <w:p>
      <w:pPr>
        <w:spacing w:after="0" w:line="96"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05"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Exhibits to any documents incorporated by reference in this prospectus will not be sent, however, unless those exhibits have been specifically referenced in this prospectus.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161925</wp:posOffset>
            </wp:positionV>
            <wp:extent cx="46634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4663440" cy="1714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201930</wp:posOffset>
            </wp:positionV>
            <wp:extent cx="46634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80"/>
        <w:spacing w:after="0"/>
        <w:rPr>
          <w:sz w:val="20"/>
          <w:szCs w:val="20"/>
          <w:color w:val="auto"/>
        </w:rPr>
      </w:pPr>
      <w:r>
        <w:rPr>
          <w:rFonts w:ascii="Arial" w:cs="Arial" w:eastAsia="Arial" w:hAnsi="Arial"/>
          <w:sz w:val="19"/>
          <w:szCs w:val="1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332105</wp:posOffset>
            </wp:positionV>
            <wp:extent cx="1040130"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0401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378460</wp:posOffset>
            </wp:positionV>
            <wp:extent cx="9829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166370</wp:posOffset>
            </wp:positionV>
            <wp:extent cx="9829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80"/>
        <w:spacing w:after="0"/>
        <w:rPr>
          <w:sz w:val="20"/>
          <w:szCs w:val="20"/>
          <w:color w:val="auto"/>
        </w:rPr>
      </w:pPr>
      <w:r>
        <w:rPr>
          <w:rFonts w:ascii="Arial" w:cs="Arial" w:eastAsia="Arial" w:hAnsi="Arial"/>
          <w:sz w:val="12"/>
          <w:szCs w:val="1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692150</wp:posOffset>
            </wp:positionV>
            <wp:extent cx="9829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Through and including , 20 (the 25th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140335</wp:posOffset>
            </wp:positionV>
            <wp:extent cx="9829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803275</wp:posOffset>
            </wp:positionV>
            <wp:extent cx="46634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843280</wp:posOffset>
            </wp:positionV>
            <wp:extent cx="46634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type w:val="continuous"/>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PART II</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59"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i w:val="1"/>
          <w:iCs w:val="1"/>
          <w:color w:val="auto"/>
        </w:rPr>
        <w:t>Item 13.</w:t>
      </w:r>
      <w:r>
        <w:rPr>
          <w:sz w:val="20"/>
          <w:szCs w:val="20"/>
          <w:color w:val="auto"/>
        </w:rPr>
        <w:tab/>
      </w:r>
      <w:r>
        <w:rPr>
          <w:rFonts w:ascii="Arial" w:cs="Arial" w:eastAsia="Arial" w:hAnsi="Arial"/>
          <w:sz w:val="10"/>
          <w:szCs w:val="10"/>
          <w:b w:val="1"/>
          <w:bCs w:val="1"/>
          <w:i w:val="1"/>
          <w:iCs w:val="1"/>
          <w:color w:val="auto"/>
        </w:rPr>
        <w:t>Other Expenses of Issuance and Distribution.</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Estimated expenses payable in connection with the sale of the common stock in this offering are as follows: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1180" w:type="dxa"/>
            <w:vAlign w:val="bottom"/>
          </w:tcPr>
          <w:p>
            <w:pPr>
              <w:spacing w:after="0"/>
              <w:rPr>
                <w:sz w:val="12"/>
                <w:szCs w:val="1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SEC registration fee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FINRA filing fee</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Printing and engraving expenses</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Accounting fees and expenses</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Transfer agent and registrar fees and expenses</w:t>
            </w:r>
          </w:p>
        </w:tc>
        <w:tc>
          <w:tcPr>
            <w:tcW w:w="26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1180" w:type="dxa"/>
            <w:vAlign w:val="bottom"/>
          </w:tcPr>
          <w:p>
            <w:pPr>
              <w:spacing w:after="0"/>
              <w:rPr>
                <w:sz w:val="12"/>
                <w:szCs w:val="1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Miscellaneous</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49"/>
        </w:trPr>
        <w:tc>
          <w:tcPr>
            <w:tcW w:w="118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Total</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315"/>
        </w:trPr>
        <w:tc>
          <w:tcPr>
            <w:tcW w:w="5600" w:type="dxa"/>
            <w:vAlign w:val="bottom"/>
            <w:gridSpan w:val="2"/>
          </w:tcPr>
          <w:p>
            <w:pPr>
              <w:spacing w:after="0"/>
              <w:rPr>
                <w:sz w:val="20"/>
                <w:szCs w:val="20"/>
                <w:color w:val="auto"/>
              </w:rPr>
            </w:pPr>
            <w:r>
              <w:rPr>
                <w:rFonts w:ascii="Arial" w:cs="Arial" w:eastAsia="Arial" w:hAnsi="Arial"/>
                <w:sz w:val="12"/>
                <w:szCs w:val="12"/>
                <w:color w:val="auto"/>
              </w:rPr>
              <w:t>*  To be completed by amendment.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5600" w:type="dxa"/>
            <w:vAlign w:val="bottom"/>
            <w:gridSpan w:val="2"/>
          </w:tcPr>
          <w:p>
            <w:pPr>
              <w:ind w:left="280"/>
              <w:spacing w:after="0"/>
              <w:rPr>
                <w:sz w:val="20"/>
                <w:szCs w:val="20"/>
                <w:color w:val="auto"/>
              </w:rPr>
            </w:pPr>
            <w:r>
              <w:rPr>
                <w:rFonts w:ascii="Arial" w:cs="Arial" w:eastAsia="Arial" w:hAnsi="Arial"/>
                <w:sz w:val="12"/>
                <w:szCs w:val="12"/>
                <w:color w:val="auto"/>
              </w:rPr>
              <w:t>We will bear all of the expenses shown above.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34"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i w:val="1"/>
          <w:iCs w:val="1"/>
          <w:color w:val="auto"/>
        </w:rPr>
        <w:t>Item 14.</w:t>
      </w:r>
      <w:r>
        <w:rPr>
          <w:sz w:val="20"/>
          <w:szCs w:val="20"/>
          <w:color w:val="auto"/>
        </w:rPr>
        <w:tab/>
      </w:r>
      <w:r>
        <w:rPr>
          <w:rFonts w:ascii="Arial" w:cs="Arial" w:eastAsia="Arial" w:hAnsi="Arial"/>
          <w:sz w:val="10"/>
          <w:szCs w:val="10"/>
          <w:b w:val="1"/>
          <w:bCs w:val="1"/>
          <w:i w:val="1"/>
          <w:iCs w:val="1"/>
          <w:color w:val="auto"/>
        </w:rPr>
        <w:t>Indemnification of Directors and Officers.</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17"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13"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II-1</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incorporation and amended and restated bylaws. We believe that these agreements are necessary to attract and retain qualified individuals to serve as directors and officers.</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The limitation of liability and indemnification provisions included in our amended and restated certificate of incorporation and the indemnification agreements that we have entered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13" w:lineRule="exact"/>
        <w:rPr>
          <w:sz w:val="20"/>
          <w:szCs w:val="20"/>
          <w:color w:val="auto"/>
        </w:rPr>
      </w:pPr>
    </w:p>
    <w:p>
      <w:pPr>
        <w:ind w:left="1980" w:right="1139" w:firstLine="294"/>
        <w:spacing w:after="0" w:line="263" w:lineRule="auto"/>
        <w:rPr>
          <w:sz w:val="20"/>
          <w:szCs w:val="20"/>
          <w:color w:val="auto"/>
        </w:rPr>
      </w:pPr>
      <w:r>
        <w:rPr>
          <w:rFonts w:ascii="Arial" w:cs="Arial" w:eastAsia="Arial" w:hAnsi="Arial"/>
          <w:sz w:val="12"/>
          <w:szCs w:val="12"/>
          <w:color w:val="auto"/>
        </w:rPr>
        <w:t>We maintain standard policies of insurance under which, subject to the limitations of the policies, coverage is provided to our directors and officers against loss rising from claims made by reason of breach of duty or other wrongful acts as a director or officer, including claims relating to public securities matters.</w:t>
      </w:r>
    </w:p>
    <w:p>
      <w:pPr>
        <w:spacing w:after="0" w:line="122"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15"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18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i w:val="1"/>
          <w:iCs w:val="1"/>
          <w:color w:val="auto"/>
        </w:rPr>
        <w:t>Item 15.</w:t>
      </w:r>
      <w:r>
        <w:rPr>
          <w:sz w:val="20"/>
          <w:szCs w:val="20"/>
          <w:color w:val="auto"/>
        </w:rPr>
        <w:tab/>
      </w:r>
      <w:r>
        <w:rPr>
          <w:rFonts w:ascii="Arial" w:cs="Arial" w:eastAsia="Arial" w:hAnsi="Arial"/>
          <w:sz w:val="10"/>
          <w:szCs w:val="10"/>
          <w:b w:val="1"/>
          <w:bCs w:val="1"/>
          <w:color w:val="auto"/>
        </w:rPr>
        <w:t>Recent Sales of Unregistered Securities.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three years preceding the filing of this registration statement, we have issued the following securities that were not registered under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Securities Act:</w:t>
      </w:r>
    </w:p>
    <w:p>
      <w:pPr>
        <w:spacing w:after="0" w:line="141"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On November 18, 2020, we effected a forward stock split to reclassify all 3,000 shares of our common stock outstanding as 232,400,200 shares. The issuance of these shares of common stock was deemed to be exempt from registration under the Securities Act in reliance upon Section 4(a)(2) of the Securities Act or Regulation D promulgated thereunder, as a transaction by an issuer not involving any public offering. The foregoing transaction did not involve any underwriters, underwriting discounts or commissions or any public offering.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PIK Toggle Notes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On November 24, 2017, Sotera Health Company (formerly Sotera Health Topco, Inc.) issued an aggregate principal amount of $75.0 million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8.125%/8.875% Senior PIK Toggle Notes due 2021 (the “PIK Toggle Notes”), which was used to pay a cash distribution to Topco Parent, which, in turn,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used such proceeds for distributions, equity repurchases and other payments to its equity holders. The initial purchasers for the PIK Toggle Notes were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Jefferies LLC and Goldman Sachs &amp; Co. LLC.</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PIK Toggle Notes were offered and sold to qualified institutional buyers pursuant to Rule 144A under the Securities Act or to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investors outside the United States in compliance with Regulation S of the Securities Act.</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II-2</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0"/>
          <w:szCs w:val="10"/>
          <w:b w:val="1"/>
          <w:bCs w:val="1"/>
          <w:color w:val="auto"/>
        </w:rPr>
        <w:t>Exhibits and Financial Statement Schedules.</w:t>
      </w:r>
    </w:p>
    <w:p>
      <w:pPr>
        <w:spacing w:after="0" w:line="82" w:lineRule="exact"/>
        <w:rPr>
          <w:sz w:val="20"/>
          <w:szCs w:val="20"/>
          <w:color w:val="auto"/>
        </w:rPr>
      </w:pPr>
    </w:p>
    <w:p>
      <w:pPr>
        <w:ind w:left="2420" w:hanging="154"/>
        <w:spacing w:after="0"/>
        <w:tabs>
          <w:tab w:leader="none" w:pos="24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Exhibits: The list of exhibits is set forth in beginning on page II-4 of this Registration Statement and is incorporated herein by reference.</w:t>
      </w:r>
    </w:p>
    <w:p>
      <w:pPr>
        <w:spacing w:after="0" w:line="161" w:lineRule="exact"/>
        <w:rPr>
          <w:rFonts w:ascii="Arial" w:cs="Arial" w:eastAsia="Arial" w:hAnsi="Arial"/>
          <w:sz w:val="11"/>
          <w:szCs w:val="11"/>
          <w:color w:val="auto"/>
        </w:rPr>
      </w:pPr>
    </w:p>
    <w:p>
      <w:pPr>
        <w:ind w:left="1980" w:right="899" w:firstLine="286"/>
        <w:spacing w:after="0" w:line="276" w:lineRule="auto"/>
        <w:tabs>
          <w:tab w:leader="none" w:pos="2443" w:val="left"/>
        </w:tabs>
        <w:numPr>
          <w:ilvl w:val="0"/>
          <w:numId w:val="54"/>
        </w:numPr>
        <w:rPr>
          <w:rFonts w:ascii="Arial" w:cs="Arial" w:eastAsia="Arial" w:hAnsi="Arial"/>
          <w:sz w:val="12"/>
          <w:szCs w:val="12"/>
          <w:color w:val="auto"/>
        </w:rPr>
      </w:pPr>
      <w:r>
        <w:rPr>
          <w:rFonts w:ascii="Arial" w:cs="Arial" w:eastAsia="Arial" w:hAnsi="Arial"/>
          <w:sz w:val="12"/>
          <w:szCs w:val="12"/>
          <w:color w:val="auto"/>
        </w:rPr>
        <w:t>Financial Statement Schedules: No financial statement schedules are provided because the information called for is not applicable or is shown in the financial statements or notes thereto.</w:t>
      </w:r>
    </w:p>
    <w:p>
      <w:pPr>
        <w:spacing w:after="0" w:line="214"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i w:val="1"/>
          <w:iCs w:val="1"/>
          <w:color w:val="auto"/>
        </w:rPr>
        <w:t>Item 17.</w:t>
      </w:r>
      <w:r>
        <w:rPr>
          <w:sz w:val="20"/>
          <w:szCs w:val="20"/>
          <w:color w:val="auto"/>
        </w:rPr>
        <w:tab/>
      </w:r>
      <w:r>
        <w:rPr>
          <w:rFonts w:ascii="Arial" w:cs="Arial" w:eastAsia="Arial" w:hAnsi="Arial"/>
          <w:sz w:val="10"/>
          <w:szCs w:val="10"/>
          <w:b w:val="1"/>
          <w:bCs w:val="1"/>
          <w:i w:val="1"/>
          <w:iCs w:val="1"/>
          <w:color w:val="auto"/>
        </w:rPr>
        <w:t>Undertakings.</w:t>
      </w:r>
    </w:p>
    <w:p>
      <w:pPr>
        <w:spacing w:after="0" w:line="78" w:lineRule="exact"/>
        <w:rPr>
          <w:sz w:val="20"/>
          <w:szCs w:val="20"/>
          <w:color w:val="auto"/>
        </w:rPr>
      </w:pPr>
    </w:p>
    <w:p>
      <w:pPr>
        <w:ind w:left="1980" w:right="979" w:firstLine="286"/>
        <w:spacing w:after="0" w:line="280" w:lineRule="auto"/>
        <w:tabs>
          <w:tab w:leader="none" w:pos="2364" w:val="left"/>
        </w:tabs>
        <w:numPr>
          <w:ilvl w:val="1"/>
          <w:numId w:val="55"/>
        </w:numPr>
        <w:rPr>
          <w:rFonts w:ascii="Arial" w:cs="Arial" w:eastAsia="Arial" w:hAnsi="Arial"/>
          <w:sz w:val="11"/>
          <w:szCs w:val="11"/>
          <w:color w:val="auto"/>
        </w:rPr>
      </w:pPr>
      <w:r>
        <w:rPr>
          <w:rFonts w:ascii="Arial" w:cs="Arial" w:eastAsia="Arial" w:hAnsi="Arial"/>
          <w:sz w:val="11"/>
          <w:szCs w:val="11"/>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360" w:hanging="94"/>
        <w:spacing w:after="0"/>
        <w:tabs>
          <w:tab w:leader="none" w:pos="2360" w:val="left"/>
        </w:tabs>
        <w:numPr>
          <w:ilvl w:val="1"/>
          <w:numId w:val="55"/>
        </w:numPr>
        <w:rPr>
          <w:rFonts w:ascii="Arial" w:cs="Arial" w:eastAsia="Arial" w:hAnsi="Arial"/>
          <w:sz w:val="12"/>
          <w:szCs w:val="12"/>
          <w:color w:val="auto"/>
        </w:rPr>
      </w:pPr>
      <w:r>
        <w:rPr>
          <w:rFonts w:ascii="Arial" w:cs="Arial" w:eastAsia="Arial" w:hAnsi="Arial"/>
          <w:sz w:val="12"/>
          <w:szCs w:val="12"/>
          <w:color w:val="auto"/>
        </w:rPr>
        <w:t>(i) The undersigned registrant hereby undertakes that:</w:t>
      </w:r>
    </w:p>
    <w:p>
      <w:pPr>
        <w:spacing w:after="0" w:line="87" w:lineRule="exact"/>
        <w:rPr>
          <w:rFonts w:ascii="Arial" w:cs="Arial" w:eastAsia="Arial" w:hAnsi="Arial"/>
          <w:sz w:val="12"/>
          <w:szCs w:val="12"/>
          <w:color w:val="auto"/>
        </w:rPr>
      </w:pPr>
    </w:p>
    <w:p>
      <w:pPr>
        <w:ind w:left="2620" w:right="899" w:hanging="288"/>
        <w:spacing w:after="0" w:line="340" w:lineRule="auto"/>
        <w:tabs>
          <w:tab w:leader="none" w:pos="2620" w:val="left"/>
        </w:tabs>
        <w:numPr>
          <w:ilvl w:val="2"/>
          <w:numId w:val="55"/>
        </w:numPr>
        <w:rPr>
          <w:rFonts w:ascii="Arial" w:cs="Arial" w:eastAsia="Arial" w:hAnsi="Arial"/>
          <w:sz w:val="10"/>
          <w:szCs w:val="10"/>
          <w:color w:val="auto"/>
        </w:rPr>
      </w:pPr>
      <w:r>
        <w:rPr>
          <w:rFonts w:ascii="Arial" w:cs="Arial" w:eastAsia="Arial" w:hAnsi="Arial"/>
          <w:sz w:val="10"/>
          <w:szCs w:val="10"/>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24" w:lineRule="exact"/>
        <w:rPr>
          <w:rFonts w:ascii="Arial" w:cs="Arial" w:eastAsia="Arial" w:hAnsi="Arial"/>
          <w:sz w:val="10"/>
          <w:szCs w:val="10"/>
          <w:color w:val="auto"/>
        </w:rPr>
      </w:pPr>
    </w:p>
    <w:p>
      <w:pPr>
        <w:ind w:left="2620" w:right="859" w:hanging="288"/>
        <w:spacing w:after="0" w:line="263" w:lineRule="auto"/>
        <w:tabs>
          <w:tab w:leader="none" w:pos="2620" w:val="left"/>
        </w:tabs>
        <w:numPr>
          <w:ilvl w:val="2"/>
          <w:numId w:val="55"/>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4" w:lineRule="exact"/>
        <w:rPr>
          <w:rFonts w:ascii="Arial" w:cs="Arial" w:eastAsia="Arial" w:hAnsi="Arial"/>
          <w:sz w:val="12"/>
          <w:szCs w:val="12"/>
          <w:color w:val="auto"/>
        </w:rPr>
      </w:pPr>
    </w:p>
    <w:p>
      <w:pPr>
        <w:ind w:left="1980"/>
        <w:spacing w:after="0"/>
        <w:rPr>
          <w:rFonts w:ascii="Arial" w:cs="Arial" w:eastAsia="Arial" w:hAnsi="Arial"/>
          <w:sz w:val="12"/>
          <w:szCs w:val="12"/>
          <w:color w:val="auto"/>
        </w:rPr>
      </w:pPr>
      <w:r>
        <w:rPr>
          <w:rFonts w:ascii="Arial" w:cs="Arial" w:eastAsia="Arial" w:hAnsi="Arial"/>
          <w:sz w:val="12"/>
          <w:szCs w:val="12"/>
          <w:color w:val="auto"/>
        </w:rPr>
        <w:t>*  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-104140</wp:posOffset>
            </wp:positionV>
            <wp:extent cx="51435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II-3</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EXHIBIT INDEX</w:t>
      </w:r>
    </w:p>
    <w:p>
      <w:pPr>
        <w:spacing w:after="0" w:line="364"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Exhibit No</w:t>
      </w:r>
      <w:r>
        <w:rPr>
          <w:rFonts w:ascii="Arial" w:cs="Arial" w:eastAsia="Arial" w:hAnsi="Arial"/>
          <w:sz w:val="10"/>
          <w:szCs w:val="10"/>
          <w:b w:val="1"/>
          <w:bCs w:val="1"/>
          <w:color w:val="auto"/>
        </w:rPr>
        <w:t xml:space="preserve">  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4445</wp:posOffset>
            </wp:positionV>
            <wp:extent cx="56356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635625" cy="5715"/>
                    </a:xfrm>
                    <a:prstGeom prst="rect">
                      <a:avLst/>
                    </a:prstGeom>
                    <a:noFill/>
                  </pic:spPr>
                </pic:pic>
              </a:graphicData>
            </a:graphic>
          </wp:anchor>
        </w:drawing>
      </w:r>
    </w:p>
    <w:p>
      <w:pPr>
        <w:spacing w:after="0" w:line="51"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1"/>
          <w:szCs w:val="11"/>
          <w:color w:val="auto"/>
        </w:rPr>
        <w:t>Certificate of Incorporation of the Registrant</w:t>
      </w:r>
    </w:p>
    <w:p>
      <w:pPr>
        <w:spacing w:after="0" w:line="7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1"/>
          <w:szCs w:val="11"/>
          <w:color w:val="auto"/>
        </w:rPr>
        <w:t>Bylaws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color w:val="auto"/>
        </w:rPr>
        <w:t>Amended and Restated Registration Rights Agreement</w:t>
      </w:r>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4.2</w:t>
      </w:r>
      <w:r>
        <w:rPr>
          <w:sz w:val="20"/>
          <w:szCs w:val="20"/>
          <w:color w:val="auto"/>
        </w:rPr>
        <w:tab/>
      </w:r>
      <w:hyperlink r:id="rId168">
        <w:r>
          <w:rPr>
            <w:rFonts w:ascii="Arial" w:cs="Arial" w:eastAsia="Arial" w:hAnsi="Arial"/>
            <w:sz w:val="10"/>
            <w:szCs w:val="10"/>
            <w:u w:val="single" w:color="auto"/>
            <w:color w:val="0000EE"/>
          </w:rPr>
          <w:t>Indenture, dated as of July 31, 2020, among Sotera Health Holdings, LLC, the Registrant, the intermediate parents and subsidiary note parties thereto and Wilmington Trust, National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1"/>
          <w:szCs w:val="11"/>
          <w:u w:val="single" w:color="auto"/>
          <w:color w:val="0000EE"/>
        </w:rPr>
      </w:pPr>
      <w:r>
        <w:rPr>
          <w:rFonts w:ascii="Arial" w:cs="Arial" w:eastAsia="Arial" w:hAnsi="Arial"/>
          <w:sz w:val="12"/>
          <w:szCs w:val="12"/>
          <w:color w:val="auto"/>
        </w:rPr>
        <w:t>4.3</w:t>
      </w:r>
      <w:r>
        <w:rPr>
          <w:sz w:val="20"/>
          <w:szCs w:val="20"/>
          <w:color w:val="auto"/>
        </w:rPr>
        <w:tab/>
      </w:r>
      <w:hyperlink r:id="rId170">
        <w:r>
          <w:rPr>
            <w:rFonts w:ascii="Arial" w:cs="Arial" w:eastAsia="Arial" w:hAnsi="Arial"/>
            <w:sz w:val="11"/>
            <w:szCs w:val="11"/>
            <w:u w:val="single" w:color="auto"/>
            <w:color w:val="0000EE"/>
          </w:rPr>
          <w:t>Form of Senior Secured First Lien Floating Rate Note due 2026 (included in Exhibit 4.3)</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w:t>
      </w:r>
      <w:r>
        <w:rPr>
          <w:sz w:val="20"/>
          <w:szCs w:val="20"/>
          <w:color w:val="auto"/>
        </w:rPr>
        <w:tab/>
      </w:r>
      <w:hyperlink r:id="rId171">
        <w:r>
          <w:rPr>
            <w:rFonts w:ascii="Arial" w:cs="Arial" w:eastAsia="Arial" w:hAnsi="Arial"/>
            <w:sz w:val="10"/>
            <w:szCs w:val="10"/>
            <w:u w:val="single" w:color="auto"/>
            <w:color w:val="0000EE"/>
          </w:rPr>
          <w:t>Employment Agreement by and between Sotera Health Company and Michael B. Petras, Jr., dated as of November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10.2+</w:t>
      </w:r>
      <w:r>
        <w:rPr>
          <w:sz w:val="20"/>
          <w:szCs w:val="20"/>
          <w:color w:val="auto"/>
        </w:rPr>
        <w:tab/>
      </w:r>
      <w:hyperlink r:id="rId173">
        <w:r>
          <w:rPr>
            <w:rFonts w:ascii="Arial" w:cs="Arial" w:eastAsia="Arial" w:hAnsi="Arial"/>
            <w:sz w:val="10"/>
            <w:szCs w:val="10"/>
            <w:u w:val="single" w:color="auto"/>
            <w:color w:val="0000EE"/>
          </w:rPr>
          <w:t>Employment Agreement by and between Sotera Health Company and Scott J. Leffler, dated as of November 10, 2020</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10.3+</w:t>
      </w:r>
      <w:r>
        <w:rPr>
          <w:sz w:val="20"/>
          <w:szCs w:val="20"/>
          <w:color w:val="auto"/>
        </w:rPr>
        <w:tab/>
      </w:r>
      <w:hyperlink r:id="rId174">
        <w:r>
          <w:rPr>
            <w:rFonts w:ascii="Arial" w:cs="Arial" w:eastAsia="Arial" w:hAnsi="Arial"/>
            <w:sz w:val="10"/>
            <w:szCs w:val="10"/>
            <w:u w:val="single" w:color="auto"/>
            <w:color w:val="0000EE"/>
          </w:rPr>
          <w:t>Employment Agreement by and between Sotera Health Company and Matthew J. Klaben, dated as of November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10.4+</w:t>
      </w:r>
      <w:r>
        <w:rPr>
          <w:sz w:val="20"/>
          <w:szCs w:val="20"/>
          <w:color w:val="auto"/>
        </w:rPr>
        <w:tab/>
      </w:r>
      <w:hyperlink r:id="rId176">
        <w:r>
          <w:rPr>
            <w:rFonts w:ascii="Arial" w:cs="Arial" w:eastAsia="Arial" w:hAnsi="Arial"/>
            <w:sz w:val="10"/>
            <w:szCs w:val="10"/>
            <w:u w:val="single" w:color="auto"/>
            <w:color w:val="0000EE"/>
          </w:rPr>
          <w:t>Sotera Health Company Supplemental Retirement Benefit Plan, effective as of January 1, 2018</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10.5+</w:t>
      </w:r>
      <w:r>
        <w:rPr>
          <w:sz w:val="20"/>
          <w:szCs w:val="20"/>
          <w:color w:val="auto"/>
        </w:rPr>
        <w:tab/>
      </w:r>
      <w:hyperlink r:id="rId177">
        <w:r>
          <w:rPr>
            <w:rFonts w:ascii="Arial" w:cs="Arial" w:eastAsia="Arial" w:hAnsi="Arial"/>
            <w:sz w:val="10"/>
            <w:szCs w:val="10"/>
            <w:u w:val="single" w:color="auto"/>
            <w:color w:val="0000EE"/>
          </w:rPr>
          <w:t>Sotera Health Company 2020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10.6+</w:t>
      </w:r>
      <w:r>
        <w:rPr>
          <w:sz w:val="20"/>
          <w:szCs w:val="20"/>
          <w:color w:val="auto"/>
        </w:rPr>
        <w:tab/>
      </w:r>
      <w:hyperlink r:id="rId179">
        <w:r>
          <w:rPr>
            <w:rFonts w:ascii="Arial" w:cs="Arial" w:eastAsia="Arial" w:hAnsi="Arial"/>
            <w:sz w:val="10"/>
            <w:szCs w:val="10"/>
            <w:u w:val="single" w:color="auto"/>
            <w:color w:val="0000EE"/>
          </w:rPr>
          <w:t>Form of Sotera Health Company 2020 Omnibus Incentive Plan Restricted Stock Unit Grant Notice and Agreement</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10.7+</w:t>
      </w:r>
      <w:r>
        <w:rPr>
          <w:sz w:val="20"/>
          <w:szCs w:val="20"/>
          <w:color w:val="auto"/>
        </w:rPr>
        <w:tab/>
      </w:r>
      <w:hyperlink r:id="rId180">
        <w:r>
          <w:rPr>
            <w:rFonts w:ascii="Arial" w:cs="Arial" w:eastAsia="Arial" w:hAnsi="Arial"/>
            <w:sz w:val="10"/>
            <w:szCs w:val="10"/>
            <w:u w:val="single" w:color="auto"/>
            <w:color w:val="0000EE"/>
          </w:rPr>
          <w:t>Form of Sotera Health Company 2020 Omnibus Incentive Plan Stock Option Grant Notice and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10.8+</w:t>
      </w:r>
      <w:r>
        <w:rPr>
          <w:sz w:val="20"/>
          <w:szCs w:val="20"/>
          <w:color w:val="auto"/>
        </w:rPr>
        <w:tab/>
      </w:r>
      <w:hyperlink r:id="rId182">
        <w:r>
          <w:rPr>
            <w:rFonts w:ascii="Arial" w:cs="Arial" w:eastAsia="Arial" w:hAnsi="Arial"/>
            <w:sz w:val="10"/>
            <w:szCs w:val="10"/>
            <w:u w:val="single" w:color="auto"/>
            <w:color w:val="0000EE"/>
          </w:rPr>
          <w:t>Form of Indemnification Agreement entered into between the Registrant and each director and executive officer</w:t>
        </w:r>
      </w:hyperlink>
    </w:p>
    <w:p>
      <w:pPr>
        <w:spacing w:after="0" w:line="7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10.9</w:t>
      </w:r>
      <w:r>
        <w:rPr>
          <w:sz w:val="20"/>
          <w:szCs w:val="20"/>
          <w:color w:val="auto"/>
        </w:rPr>
        <w:tab/>
      </w:r>
      <w:r>
        <w:rPr>
          <w:rFonts w:ascii="Arial" w:cs="Arial" w:eastAsia="Arial" w:hAnsi="Arial"/>
          <w:sz w:val="11"/>
          <w:szCs w:val="11"/>
          <w:color w:val="auto"/>
        </w:rPr>
        <w:t>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2480" w:hanging="3581"/>
        <w:spacing w:after="0" w:line="448" w:lineRule="auto"/>
        <w:tabs>
          <w:tab w:leader="none" w:pos="2460" w:val="left"/>
        </w:tabs>
        <w:rPr>
          <w:rFonts w:ascii="Arial" w:cs="Arial" w:eastAsia="Arial" w:hAnsi="Arial"/>
          <w:sz w:val="12"/>
          <w:szCs w:val="12"/>
          <w:u w:val="single" w:color="auto"/>
          <w:color w:val="0000EE"/>
        </w:rPr>
      </w:pPr>
      <w:r>
        <w:rPr>
          <w:rFonts w:ascii="Arial" w:cs="Arial" w:eastAsia="Arial" w:hAnsi="Arial"/>
          <w:sz w:val="12"/>
          <w:szCs w:val="12"/>
          <w:color w:val="auto"/>
        </w:rPr>
        <w:t>10.10</w:t>
      </w:r>
      <w:r>
        <w:rPr>
          <w:sz w:val="20"/>
          <w:szCs w:val="20"/>
          <w:color w:val="auto"/>
        </w:rPr>
        <w:tab/>
      </w:r>
      <w:hyperlink r:id="rId184">
        <w:r>
          <w:rPr>
            <w:rFonts w:ascii="Arial" w:cs="Arial" w:eastAsia="Arial" w:hAnsi="Arial"/>
            <w:sz w:val="12"/>
            <w:szCs w:val="12"/>
            <w:u w:val="single" w:color="auto"/>
            <w:color w:val="0000EE"/>
          </w:rPr>
          <w:t>Credit Agreement, dated as of December 13, 2019, among the Registrant, Sotera Health Holdings, LLC, the lenders and issuing banks party thereto and Jefferies Finance LLC, as first li</w:t>
        </w:r>
      </w:hyperlink>
      <w:r>
        <w:rPr>
          <w:rFonts w:ascii="Arial" w:cs="Arial" w:eastAsia="Arial" w:hAnsi="Arial"/>
          <w:sz w:val="12"/>
          <w:szCs w:val="12"/>
          <w:u w:val="single" w:color="auto"/>
          <w:color w:val="0000EE"/>
        </w:rPr>
        <w:t xml:space="preserve"> </w:t>
      </w:r>
      <w:r>
        <w:rPr>
          <w:rFonts w:ascii="Arial" w:cs="Arial" w:eastAsia="Arial" w:hAnsi="Arial"/>
          <w:sz w:val="12"/>
          <w:szCs w:val="12"/>
          <w:color w:val="000000"/>
        </w:rPr>
        <w:t>II-4</w:t>
      </w:r>
    </w:p>
    <w:p>
      <w:pPr>
        <w:sectPr>
          <w:pgSz w:w="11900" w:h="16838" w:orient="portrait"/>
          <w:cols w:equalWidth="0" w:num="1">
            <w:col w:w="11360"/>
          </w:cols>
          <w:pgMar w:left="300" w:top="354" w:right="239"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398"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Exhibit No</w:t>
      </w:r>
      <w:r>
        <w:rPr>
          <w:rFonts w:ascii="Arial" w:cs="Arial" w:eastAsia="Arial" w:hAnsi="Arial"/>
          <w:sz w:val="10"/>
          <w:szCs w:val="10"/>
          <w:b w:val="1"/>
          <w:bCs w:val="1"/>
          <w:color w:val="auto"/>
        </w:rPr>
        <w:t xml:space="preserve">  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4445</wp:posOffset>
            </wp:positionV>
            <wp:extent cx="56356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5635625" cy="5715"/>
                    </a:xfrm>
                    <a:prstGeom prst="rect">
                      <a:avLst/>
                    </a:prstGeom>
                    <a:noFill/>
                  </pic:spPr>
                </pic:pic>
              </a:graphicData>
            </a:graphic>
          </wp:anchor>
        </w:drawing>
      </w:r>
    </w:p>
    <w:p>
      <w:pPr>
        <w:spacing w:after="0" w:line="51" w:lineRule="exact"/>
        <w:rPr>
          <w:sz w:val="20"/>
          <w:szCs w:val="20"/>
          <w:color w:val="auto"/>
        </w:rPr>
      </w:pPr>
    </w:p>
    <w:p>
      <w:pPr>
        <w:jc w:val="right"/>
        <w:spacing w:after="0"/>
        <w:tabs>
          <w:tab w:leader="none" w:pos="8860" w:val="left"/>
        </w:tabs>
        <w:rPr>
          <w:rFonts w:ascii="Arial" w:cs="Arial" w:eastAsia="Arial" w:hAnsi="Arial"/>
          <w:sz w:val="10"/>
          <w:szCs w:val="10"/>
          <w:u w:val="single" w:color="auto"/>
          <w:color w:val="0000EE"/>
          <w:shd w:val="clear" w:color="auto" w:fill="CCEEFF"/>
        </w:rPr>
      </w:pPr>
      <w:r>
        <w:rPr>
          <w:rFonts w:ascii="Arial" w:cs="Arial" w:eastAsia="Arial" w:hAnsi="Arial"/>
          <w:sz w:val="12"/>
          <w:szCs w:val="12"/>
          <w:color w:val="auto"/>
          <w:shd w:val="clear" w:color="auto" w:fill="CCEEFF"/>
        </w:rPr>
        <w:t>10.11</w:t>
      </w:r>
      <w:r>
        <w:rPr>
          <w:sz w:val="20"/>
          <w:szCs w:val="20"/>
          <w:color w:val="auto"/>
        </w:rPr>
        <w:tab/>
      </w:r>
      <w:hyperlink r:id="rId187">
        <w:r>
          <w:rPr>
            <w:rFonts w:ascii="Arial" w:cs="Arial" w:eastAsia="Arial" w:hAnsi="Arial"/>
            <w:sz w:val="10"/>
            <w:szCs w:val="10"/>
            <w:u w:val="single" w:color="auto"/>
            <w:color w:val="0000EE"/>
            <w:shd w:val="clear" w:color="auto" w:fill="CCEEFF"/>
          </w:rPr>
          <w:t>Guarantee Agreement, dated as of December 13, 2019, among the Registrant, Sotera Health Holdings, LLC, the other guarantors party thereto and Jefferies Finance LLC, as first lien co</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10.12</w:t>
      </w:r>
      <w:r>
        <w:rPr>
          <w:sz w:val="20"/>
          <w:szCs w:val="20"/>
          <w:color w:val="auto"/>
        </w:rPr>
        <w:tab/>
      </w:r>
      <w:hyperlink r:id="rId188">
        <w:r>
          <w:rPr>
            <w:rFonts w:ascii="Arial" w:cs="Arial" w:eastAsia="Arial" w:hAnsi="Arial"/>
            <w:sz w:val="10"/>
            <w:szCs w:val="10"/>
            <w:u w:val="single" w:color="auto"/>
            <w:color w:val="0000EE"/>
          </w:rPr>
          <w:t>Collateral Agreement, dated as of December 13, 2019, among the Registrant, Sotera Health Holdings, LLC, the other guarantors party thereto and Jefferies Finance LLC, as first lien co</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10.13</w:t>
      </w:r>
      <w:r>
        <w:rPr>
          <w:sz w:val="20"/>
          <w:szCs w:val="20"/>
          <w:color w:val="auto"/>
        </w:rPr>
        <w:tab/>
      </w:r>
      <w:hyperlink r:id="rId189">
        <w:r>
          <w:rPr>
            <w:rFonts w:ascii="Arial" w:cs="Arial" w:eastAsia="Arial" w:hAnsi="Arial"/>
            <w:sz w:val="10"/>
            <w:szCs w:val="10"/>
            <w:u w:val="single" w:color="auto"/>
            <w:color w:val="0000EE"/>
          </w:rPr>
          <w:t>Patent Security Agreement, dated as of December 13, 2019, between Sterigenics U.S., LLC and Jefferies Finance LLC, as 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10.14</w:t>
      </w:r>
      <w:r>
        <w:rPr>
          <w:sz w:val="20"/>
          <w:szCs w:val="20"/>
          <w:color w:val="auto"/>
        </w:rPr>
        <w:tab/>
      </w:r>
      <w:hyperlink r:id="rId191">
        <w:r>
          <w:rPr>
            <w:rFonts w:ascii="Arial" w:cs="Arial" w:eastAsia="Arial" w:hAnsi="Arial"/>
            <w:sz w:val="10"/>
            <w:szCs w:val="10"/>
            <w:u w:val="single" w:color="auto"/>
            <w:color w:val="0000EE"/>
          </w:rPr>
          <w:t>Trademark Security Agreement, dated as of December 13, 2019, between Sterigenics U.S., LLC and Jefferies Finance LLC, as collateral agent</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10.15</w:t>
      </w:r>
      <w:r>
        <w:rPr>
          <w:sz w:val="20"/>
          <w:szCs w:val="20"/>
          <w:color w:val="auto"/>
        </w:rPr>
        <w:tab/>
      </w:r>
      <w:hyperlink r:id="rId192">
        <w:r>
          <w:rPr>
            <w:rFonts w:ascii="Arial" w:cs="Arial" w:eastAsia="Arial" w:hAnsi="Arial"/>
            <w:sz w:val="10"/>
            <w:szCs w:val="10"/>
            <w:u w:val="single" w:color="auto"/>
            <w:color w:val="0000EE"/>
          </w:rPr>
          <w:t>Trademark Security Agreement, dated as of December 13, 2019, between Nelson Laboratories, LLC and Jefferies Finance LLC, as 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10.16</w:t>
      </w:r>
      <w:r>
        <w:rPr>
          <w:sz w:val="20"/>
          <w:szCs w:val="20"/>
          <w:color w:val="auto"/>
        </w:rPr>
        <w:tab/>
      </w:r>
      <w:hyperlink r:id="rId194">
        <w:r>
          <w:rPr>
            <w:rFonts w:ascii="Arial" w:cs="Arial" w:eastAsia="Arial" w:hAnsi="Arial"/>
            <w:sz w:val="10"/>
            <w:szCs w:val="10"/>
            <w:u w:val="single" w:color="auto"/>
            <w:color w:val="0000EE"/>
          </w:rPr>
          <w:t>Trademark Security Agreement, dated as of December 13, 2019, between Sotera Health LLC and Jefferies Finance LLC, as collateral agent</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10.17</w:t>
      </w:r>
      <w:r>
        <w:rPr>
          <w:sz w:val="20"/>
          <w:szCs w:val="20"/>
          <w:color w:val="auto"/>
        </w:rPr>
        <w:tab/>
      </w:r>
      <w:hyperlink r:id="rId195">
        <w:r>
          <w:rPr>
            <w:rFonts w:ascii="Arial" w:cs="Arial" w:eastAsia="Arial" w:hAnsi="Arial"/>
            <w:sz w:val="10"/>
            <w:szCs w:val="10"/>
            <w:u w:val="single" w:color="auto"/>
            <w:color w:val="0000EE"/>
          </w:rPr>
          <w:t>Copyright Security Agreement, dated as of December 13, 2019, among Jefferies Finance LLC and Nelson Laboratories, LLC, as 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jc w:val="right"/>
        <w:spacing w:after="0"/>
        <w:tabs>
          <w:tab w:leader="none" w:pos="8860" w:val="left"/>
        </w:tabs>
        <w:rPr>
          <w:rFonts w:ascii="Arial" w:cs="Arial" w:eastAsia="Arial" w:hAnsi="Arial"/>
          <w:sz w:val="10"/>
          <w:szCs w:val="10"/>
          <w:u w:val="single" w:color="auto"/>
          <w:color w:val="0000EE"/>
        </w:rPr>
      </w:pPr>
      <w:r>
        <w:rPr>
          <w:rFonts w:ascii="Arial" w:cs="Arial" w:eastAsia="Arial" w:hAnsi="Arial"/>
          <w:sz w:val="12"/>
          <w:szCs w:val="12"/>
          <w:color w:val="auto"/>
        </w:rPr>
        <w:t>10.18</w:t>
      </w:r>
      <w:r>
        <w:rPr>
          <w:sz w:val="20"/>
          <w:szCs w:val="20"/>
          <w:color w:val="auto"/>
        </w:rPr>
        <w:tab/>
      </w:r>
      <w:hyperlink r:id="rId197">
        <w:r>
          <w:rPr>
            <w:rFonts w:ascii="Arial" w:cs="Arial" w:eastAsia="Arial" w:hAnsi="Arial"/>
            <w:sz w:val="10"/>
            <w:szCs w:val="10"/>
            <w:u w:val="single" w:color="auto"/>
            <w:color w:val="0000EE"/>
          </w:rPr>
          <w:t>First Lien Pari Passu Intercreditor Agreement, dated as of July 31, 2020, among Sotera Health Holdings, LLC, the Registrant, Jefferies Finance LLC as Collateral Agent and Authorized</w:t>
        </w:r>
      </w:hyperlink>
    </w:p>
    <w:p>
      <w:pPr>
        <w:spacing w:after="0" w:line="78" w:lineRule="exact"/>
        <w:rPr>
          <w:sz w:val="20"/>
          <w:szCs w:val="20"/>
          <w:color w:val="auto"/>
        </w:rPr>
      </w:pPr>
    </w:p>
    <w:p>
      <w:pPr>
        <w:jc w:val="right"/>
        <w:spacing w:after="0"/>
        <w:tabs>
          <w:tab w:leader="none" w:pos="8860" w:val="left"/>
        </w:tabs>
        <w:rPr>
          <w:rFonts w:ascii="Arial" w:cs="Arial" w:eastAsia="Arial" w:hAnsi="Arial"/>
          <w:sz w:val="10"/>
          <w:szCs w:val="10"/>
          <w:u w:val="single" w:color="auto"/>
          <w:color w:val="0000EE"/>
          <w:shd w:val="clear" w:color="auto" w:fill="CCEEFF"/>
        </w:rPr>
      </w:pPr>
      <w:r>
        <w:rPr>
          <w:rFonts w:ascii="Arial" w:cs="Arial" w:eastAsia="Arial" w:hAnsi="Arial"/>
          <w:sz w:val="12"/>
          <w:szCs w:val="12"/>
          <w:color w:val="auto"/>
          <w:shd w:val="clear" w:color="auto" w:fill="CCEEFF"/>
        </w:rPr>
        <w:t>10.19</w:t>
      </w:r>
      <w:r>
        <w:rPr>
          <w:sz w:val="20"/>
          <w:szCs w:val="20"/>
          <w:color w:val="auto"/>
        </w:rPr>
        <w:tab/>
      </w:r>
      <w:hyperlink r:id="rId198">
        <w:r>
          <w:rPr>
            <w:rFonts w:ascii="Arial" w:cs="Arial" w:eastAsia="Arial" w:hAnsi="Arial"/>
            <w:sz w:val="10"/>
            <w:szCs w:val="10"/>
            <w:u w:val="single" w:color="auto"/>
            <w:color w:val="0000EE"/>
            <w:shd w:val="clear" w:color="auto" w:fill="CCEEFF"/>
          </w:rPr>
          <w:t>First Lien Collateral Agreement, dated as of July 31, 2020, among the Registrant, Sotera Health Holdings, LLC, the other grantors party thereto and Wilmington Trust, National Associa</w:t>
        </w:r>
      </w:hyperlink>
    </w:p>
    <w:p>
      <w:pPr>
        <w:spacing w:after="0" w:line="78" w:lineRule="exact"/>
        <w:rPr>
          <w:sz w:val="20"/>
          <w:szCs w:val="20"/>
          <w:color w:val="auto"/>
        </w:rPr>
      </w:pPr>
    </w:p>
    <w:p>
      <w:pPr>
        <w:ind w:left="2480" w:right="940" w:hanging="3581"/>
        <w:spacing w:after="0" w:line="448" w:lineRule="auto"/>
        <w:tabs>
          <w:tab w:leader="none" w:pos="2460" w:val="left"/>
        </w:tabs>
        <w:rPr>
          <w:rFonts w:ascii="Arial" w:cs="Arial" w:eastAsia="Arial" w:hAnsi="Arial"/>
          <w:sz w:val="12"/>
          <w:szCs w:val="12"/>
          <w:u w:val="single" w:color="auto"/>
          <w:color w:val="0000EE"/>
        </w:rPr>
      </w:pPr>
      <w:r>
        <w:rPr>
          <w:rFonts w:ascii="Arial" w:cs="Arial" w:eastAsia="Arial" w:hAnsi="Arial"/>
          <w:sz w:val="12"/>
          <w:szCs w:val="12"/>
          <w:color w:val="auto"/>
        </w:rPr>
        <w:t>10.20</w:t>
      </w:r>
      <w:r>
        <w:rPr>
          <w:sz w:val="20"/>
          <w:szCs w:val="20"/>
          <w:color w:val="auto"/>
        </w:rPr>
        <w:tab/>
      </w:r>
      <w:hyperlink r:id="rId199">
        <w:r>
          <w:rPr>
            <w:rFonts w:ascii="Arial" w:cs="Arial" w:eastAsia="Arial" w:hAnsi="Arial"/>
            <w:sz w:val="12"/>
            <w:szCs w:val="12"/>
            <w:u w:val="single" w:color="auto"/>
            <w:color w:val="0000EE"/>
          </w:rPr>
          <w:t>Patent Security Agreement, dated as of July 31, 2020, between Sterigenics U.S., LLC and Wilmington Trust, National Association, as first lien notes collateral agent</w:t>
        </w:r>
      </w:hyperlink>
      <w:r>
        <w:rPr>
          <w:rFonts w:ascii="Arial" w:cs="Arial" w:eastAsia="Arial" w:hAnsi="Arial"/>
          <w:sz w:val="12"/>
          <w:szCs w:val="12"/>
          <w:u w:val="single" w:color="auto"/>
          <w:color w:val="0000EE"/>
        </w:rPr>
        <w:t xml:space="preserve"> </w:t>
      </w:r>
      <w:r>
        <w:rPr>
          <w:rFonts w:ascii="Arial" w:cs="Arial" w:eastAsia="Arial" w:hAnsi="Arial"/>
          <w:sz w:val="12"/>
          <w:szCs w:val="12"/>
          <w:color w:val="000000"/>
        </w:rPr>
        <w:t>II-5</w:t>
      </w:r>
    </w:p>
    <w:p>
      <w:pPr>
        <w:sectPr>
          <w:pgSz w:w="11900" w:h="16838" w:orient="portrait"/>
          <w:cols w:equalWidth="0" w:num="1">
            <w:col w:w="11360"/>
          </w:cols>
          <w:pgMar w:left="300" w:top="354" w:right="239"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398"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Exhibit No</w:t>
      </w:r>
      <w:r>
        <w:rPr>
          <w:rFonts w:ascii="Arial" w:cs="Arial" w:eastAsia="Arial" w:hAnsi="Arial"/>
          <w:sz w:val="10"/>
          <w:szCs w:val="10"/>
          <w:b w:val="1"/>
          <w:bCs w:val="1"/>
          <w:color w:val="auto"/>
        </w:rPr>
        <w:t xml:space="preserve">  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4445</wp:posOffset>
            </wp:positionV>
            <wp:extent cx="56356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635625" cy="5715"/>
                    </a:xfrm>
                    <a:prstGeom prst="rect">
                      <a:avLst/>
                    </a:prstGeom>
                    <a:noFill/>
                  </pic:spPr>
                </pic:pic>
              </a:graphicData>
            </a:graphic>
          </wp:anchor>
        </w:drawing>
      </w:r>
    </w:p>
    <w:p>
      <w:pPr>
        <w:spacing w:after="0" w:line="51"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10.21</w:t>
      </w:r>
      <w:r>
        <w:rPr>
          <w:sz w:val="20"/>
          <w:szCs w:val="20"/>
          <w:color w:val="auto"/>
        </w:rPr>
        <w:tab/>
      </w:r>
      <w:hyperlink r:id="rId202">
        <w:r>
          <w:rPr>
            <w:rFonts w:ascii="Arial" w:cs="Arial" w:eastAsia="Arial" w:hAnsi="Arial"/>
            <w:sz w:val="10"/>
            <w:szCs w:val="10"/>
            <w:u w:val="single" w:color="auto"/>
            <w:color w:val="0000EE"/>
          </w:rPr>
          <w:t>Trademark Security Agreement, dated as of July 31, 2020, between Sotera Health Holdings LLC and Wilmington Trust, National Association, as first lien notes collateral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rFonts w:ascii="Arial" w:cs="Arial" w:eastAsia="Arial" w:hAnsi="Arial"/>
          <w:sz w:val="11"/>
          <w:szCs w:val="11"/>
          <w:u w:val="single" w:color="auto"/>
          <w:color w:val="0000EE"/>
        </w:rPr>
      </w:pPr>
      <w:r>
        <w:rPr>
          <w:rFonts w:ascii="Arial" w:cs="Arial" w:eastAsia="Arial" w:hAnsi="Arial"/>
          <w:sz w:val="12"/>
          <w:szCs w:val="12"/>
          <w:color w:val="auto"/>
        </w:rPr>
        <w:t>10.22</w:t>
      </w:r>
      <w:r>
        <w:rPr>
          <w:sz w:val="20"/>
          <w:szCs w:val="20"/>
          <w:color w:val="auto"/>
        </w:rPr>
        <w:tab/>
      </w:r>
      <w:hyperlink r:id="rId204">
        <w:r>
          <w:rPr>
            <w:rFonts w:ascii="Arial" w:cs="Arial" w:eastAsia="Arial" w:hAnsi="Arial"/>
            <w:sz w:val="11"/>
            <w:szCs w:val="11"/>
            <w:u w:val="single" w:color="auto"/>
            <w:color w:val="0000EE"/>
          </w:rPr>
          <w:t>Copyright Security Agreement, dated as of July 31, 2020, between Nelson Laboratories, LLC and Wilmington Trust, National Association, as first lien notes collateral agent</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shd w:val="clear" w:color="auto" w:fill="CCEEFF"/>
        </w:rPr>
      </w:pPr>
      <w:r>
        <w:rPr>
          <w:rFonts w:ascii="Arial" w:cs="Arial" w:eastAsia="Arial" w:hAnsi="Arial"/>
          <w:sz w:val="12"/>
          <w:szCs w:val="12"/>
          <w:color w:val="auto"/>
          <w:shd w:val="clear" w:color="auto" w:fill="CCEEFF"/>
        </w:rPr>
        <w:t>10.23†</w:t>
      </w:r>
      <w:r>
        <w:rPr>
          <w:sz w:val="20"/>
          <w:szCs w:val="20"/>
          <w:color w:val="auto"/>
        </w:rPr>
        <w:tab/>
      </w:r>
      <w:hyperlink r:id="rId205">
        <w:r>
          <w:rPr>
            <w:rFonts w:ascii="Arial" w:cs="Arial" w:eastAsia="Arial" w:hAnsi="Arial"/>
            <w:sz w:val="10"/>
            <w:szCs w:val="10"/>
            <w:u w:val="single" w:color="auto"/>
            <w:color w:val="0000EE"/>
            <w:shd w:val="clear" w:color="auto" w:fill="CCEEFF"/>
          </w:rPr>
          <w:t xml:space="preserve">Restated Supply Agreement, dated as of October 6, 2020, between Balchem Corporation and Sterigenics U.S., LLC, Sterigenics S. De R.L. De C.V., Sterigenics Costa Rica S.R.L. and </w:t>
        </w:r>
        <w:r>
          <w:rPr>
            <w:rFonts w:ascii="Arial" w:cs="Arial" w:eastAsia="Arial" w:hAnsi="Arial"/>
            <w:sz w:val="10"/>
            <w:szCs w:val="10"/>
            <w:u w:val="single" w:color="auto"/>
            <w:color w:val="0000EE"/>
          </w:rPr>
          <w:t>S</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0"/>
          <w:szCs w:val="10"/>
          <w:u w:val="single" w:color="auto"/>
          <w:color w:val="0000EE"/>
        </w:rPr>
      </w:pPr>
      <w:r>
        <w:rPr>
          <w:rFonts w:ascii="Arial" w:cs="Arial" w:eastAsia="Arial" w:hAnsi="Arial"/>
          <w:sz w:val="12"/>
          <w:szCs w:val="12"/>
          <w:color w:val="auto"/>
        </w:rPr>
        <w:t>10.24+</w:t>
      </w:r>
      <w:r>
        <w:rPr>
          <w:sz w:val="20"/>
          <w:szCs w:val="20"/>
          <w:color w:val="auto"/>
        </w:rPr>
        <w:tab/>
      </w:r>
      <w:hyperlink r:id="rId206">
        <w:r>
          <w:rPr>
            <w:rFonts w:ascii="Arial" w:cs="Arial" w:eastAsia="Arial" w:hAnsi="Arial"/>
            <w:sz w:val="10"/>
            <w:szCs w:val="10"/>
            <w:u w:val="single" w:color="auto"/>
            <w:color w:val="0000EE"/>
          </w:rPr>
          <w:t>Form of Restricted Stock Agreement and Acknowledgement</w:t>
        </w:r>
      </w:hyperlink>
    </w:p>
    <w:p>
      <w:pPr>
        <w:spacing w:after="0" w:line="78" w:lineRule="exact"/>
        <w:rPr>
          <w:sz w:val="20"/>
          <w:szCs w:val="20"/>
          <w:color w:val="auto"/>
        </w:rPr>
      </w:pPr>
    </w:p>
    <w:p>
      <w:pPr>
        <w:ind w:left="1980"/>
        <w:spacing w:after="0"/>
        <w:tabs>
          <w:tab w:leader="none" w:pos="2460" w:val="left"/>
        </w:tabs>
        <w:rPr>
          <w:rFonts w:ascii="Arial" w:cs="Arial" w:eastAsia="Arial" w:hAnsi="Arial"/>
          <w:sz w:val="11"/>
          <w:szCs w:val="11"/>
          <w:u w:val="single" w:color="auto"/>
          <w:color w:val="0000EE"/>
        </w:rPr>
      </w:pPr>
      <w:r>
        <w:rPr>
          <w:rFonts w:ascii="Arial" w:cs="Arial" w:eastAsia="Arial" w:hAnsi="Arial"/>
          <w:sz w:val="12"/>
          <w:szCs w:val="12"/>
          <w:color w:val="auto"/>
        </w:rPr>
        <w:t>10.25+</w:t>
      </w:r>
      <w:r>
        <w:rPr>
          <w:sz w:val="20"/>
          <w:szCs w:val="20"/>
          <w:color w:val="auto"/>
        </w:rPr>
        <w:tab/>
      </w:r>
      <w:hyperlink r:id="rId207">
        <w:r>
          <w:rPr>
            <w:rFonts w:ascii="Arial" w:cs="Arial" w:eastAsia="Arial" w:hAnsi="Arial"/>
            <w:sz w:val="11"/>
            <w:szCs w:val="11"/>
            <w:u w:val="single" w:color="auto"/>
            <w:color w:val="0000EE"/>
          </w:rPr>
          <w:t>Non-Employee Director Compensation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10.26+</w:t>
      </w:r>
      <w:r>
        <w:rPr>
          <w:sz w:val="20"/>
          <w:szCs w:val="20"/>
          <w:color w:val="auto"/>
        </w:rPr>
        <w:tab/>
      </w:r>
      <w:r>
        <w:rPr>
          <w:rFonts w:ascii="Arial" w:cs="Arial" w:eastAsia="Arial" w:hAnsi="Arial"/>
          <w:sz w:val="10"/>
          <w:szCs w:val="10"/>
          <w:color w:val="auto"/>
        </w:rPr>
        <w:t>Employment Agreement by and between Sotera Health LLC and Michael P. Rutz, dated as of May 21, 2020</w:t>
      </w:r>
    </w:p>
    <w:p>
      <w:pPr>
        <w:spacing w:after="0" w:line="78" w:lineRule="exact"/>
        <w:rPr>
          <w:sz w:val="20"/>
          <w:szCs w:val="20"/>
          <w:color w:val="auto"/>
        </w:rPr>
      </w:pPr>
    </w:p>
    <w:p>
      <w:pPr>
        <w:jc w:val="right"/>
        <w:spacing w:after="0"/>
        <w:tabs>
          <w:tab w:leader="none" w:pos="8860" w:val="left"/>
        </w:tabs>
        <w:rPr>
          <w:sz w:val="20"/>
          <w:szCs w:val="20"/>
          <w:color w:val="auto"/>
        </w:rPr>
      </w:pPr>
      <w:r>
        <w:rPr>
          <w:rFonts w:ascii="Arial" w:cs="Arial" w:eastAsia="Arial" w:hAnsi="Arial"/>
          <w:sz w:val="12"/>
          <w:szCs w:val="12"/>
          <w:color w:val="auto"/>
          <w:shd w:val="clear" w:color="auto" w:fill="CCEEFF"/>
        </w:rPr>
        <w:t>10.27</w:t>
      </w:r>
      <w:r>
        <w:rPr>
          <w:sz w:val="20"/>
          <w:szCs w:val="20"/>
          <w:color w:val="auto"/>
        </w:rPr>
        <w:tab/>
      </w:r>
      <w:r>
        <w:rPr>
          <w:rFonts w:ascii="Arial" w:cs="Arial" w:eastAsia="Arial" w:hAnsi="Arial"/>
          <w:sz w:val="10"/>
          <w:szCs w:val="10"/>
          <w:color w:val="auto"/>
          <w:shd w:val="clear" w:color="auto" w:fill="CCEEFF"/>
        </w:rPr>
        <w:t>Incremental Facility Amendment to the First Lien Credit Agreement, dated as of December 17, 2020, among Sotera Health Company, Sotera Health Holdings, LLC, the Incremental Am</w:t>
      </w:r>
    </w:p>
    <w:p>
      <w:pPr>
        <w:spacing w:after="0" w:line="78" w:lineRule="exact"/>
        <w:rPr>
          <w:sz w:val="20"/>
          <w:szCs w:val="20"/>
          <w:color w:val="auto"/>
        </w:rPr>
      </w:pPr>
    </w:p>
    <w:p>
      <w:pPr>
        <w:jc w:val="right"/>
        <w:spacing w:after="0"/>
        <w:tabs>
          <w:tab w:leader="none" w:pos="8860" w:val="left"/>
        </w:tabs>
        <w:rPr>
          <w:sz w:val="20"/>
          <w:szCs w:val="20"/>
          <w:color w:val="auto"/>
        </w:rPr>
      </w:pPr>
      <w:r>
        <w:rPr>
          <w:rFonts w:ascii="Arial" w:cs="Arial" w:eastAsia="Arial" w:hAnsi="Arial"/>
          <w:sz w:val="12"/>
          <w:szCs w:val="12"/>
          <w:color w:val="auto"/>
        </w:rPr>
        <w:t>10.28</w:t>
      </w:r>
      <w:r>
        <w:rPr>
          <w:sz w:val="20"/>
          <w:szCs w:val="20"/>
          <w:color w:val="auto"/>
        </w:rPr>
        <w:tab/>
      </w:r>
      <w:r>
        <w:rPr>
          <w:rFonts w:ascii="Arial" w:cs="Arial" w:eastAsia="Arial" w:hAnsi="Arial"/>
          <w:sz w:val="10"/>
          <w:szCs w:val="10"/>
          <w:color w:val="auto"/>
        </w:rPr>
        <w:t>Refinancing Amendment to the First Lien Credit Agreement, dated as of January 20, 2021, among Sotera Health Company, Sotera Health Holdings, LLC, the Refinancing Lenders Party</w:t>
      </w:r>
    </w:p>
    <w:p>
      <w:pPr>
        <w:spacing w:after="0" w:line="7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1"/>
          <w:szCs w:val="11"/>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961380" cy="91440"/>
                    </a:xfrm>
                    <a:prstGeom prst="rect">
                      <a:avLst/>
                    </a:prstGeom>
                    <a:noFill/>
                  </pic:spPr>
                </pic:pic>
              </a:graphicData>
            </a:graphic>
          </wp:anchor>
        </w:drawing>
      </w:r>
    </w:p>
    <w:p>
      <w:pPr>
        <w:spacing w:after="0" w:line="5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23.1</w:t>
      </w:r>
      <w:r>
        <w:rPr>
          <w:sz w:val="20"/>
          <w:szCs w:val="20"/>
          <w:color w:val="auto"/>
        </w:rPr>
        <w:tab/>
      </w:r>
      <w:r>
        <w:rPr>
          <w:rFonts w:ascii="Arial" w:cs="Arial" w:eastAsia="Arial" w:hAnsi="Arial"/>
          <w:sz w:val="11"/>
          <w:szCs w:val="11"/>
          <w:color w:val="auto"/>
        </w:rPr>
        <w:t>Consent of Ernst &amp; Young LLP, Independent Registered Public Accounting Firm</w:t>
      </w:r>
    </w:p>
    <w:p>
      <w:pPr>
        <w:spacing w:after="0" w:line="78" w:lineRule="exact"/>
        <w:rPr>
          <w:sz w:val="20"/>
          <w:szCs w:val="20"/>
          <w:color w:val="auto"/>
        </w:rPr>
      </w:pPr>
    </w:p>
    <w:p>
      <w:pPr>
        <w:ind w:left="1980"/>
        <w:spacing w:after="0"/>
        <w:tabs>
          <w:tab w:leader="none" w:pos="2460" w:val="left"/>
        </w:tabs>
        <w:rPr>
          <w:sz w:val="20"/>
          <w:szCs w:val="20"/>
          <w:color w:val="auto"/>
        </w:rPr>
      </w:pPr>
      <w:r>
        <w:rPr>
          <w:rFonts w:ascii="Arial" w:cs="Arial" w:eastAsia="Arial" w:hAnsi="Arial"/>
          <w:sz w:val="12"/>
          <w:szCs w:val="12"/>
          <w:color w:val="auto"/>
        </w:rPr>
        <w:t>24.1</w:t>
      </w:r>
      <w:r>
        <w:rPr>
          <w:sz w:val="20"/>
          <w:szCs w:val="20"/>
          <w:color w:val="auto"/>
        </w:rPr>
        <w:tab/>
      </w:r>
      <w:r>
        <w:rPr>
          <w:rFonts w:ascii="Arial" w:cs="Arial" w:eastAsia="Arial" w:hAnsi="Arial"/>
          <w:sz w:val="11"/>
          <w:szCs w:val="11"/>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5961380" cy="91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5961380" cy="9144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66675</wp:posOffset>
            </wp:positionV>
            <wp:extent cx="51435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2" w:lineRule="exact"/>
        <w:rPr>
          <w:sz w:val="20"/>
          <w:szCs w:val="20"/>
          <w:color w:val="auto"/>
        </w:rPr>
      </w:pPr>
    </w:p>
    <w:p>
      <w:pPr>
        <w:ind w:left="2260" w:hanging="288"/>
        <w:spacing w:after="0"/>
        <w:tabs>
          <w:tab w:leader="none" w:pos="2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 w:lineRule="exact"/>
        <w:rPr>
          <w:sz w:val="20"/>
          <w:szCs w:val="20"/>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6" w:lineRule="exact"/>
        <w:rPr>
          <w:sz w:val="20"/>
          <w:szCs w:val="20"/>
          <w:color w:val="auto"/>
        </w:rPr>
      </w:pPr>
    </w:p>
    <w:p>
      <w:pPr>
        <w:ind w:left="2260" w:hanging="288"/>
        <w:spacing w:after="0"/>
        <w:tabs>
          <w:tab w:leader="none" w:pos="22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Denotes management contract or compensatory plan or arrangement.</w:t>
      </w:r>
    </w:p>
    <w:p>
      <w:pPr>
        <w:spacing w:after="0" w:line="6" w:lineRule="exact"/>
        <w:rPr>
          <w:sz w:val="20"/>
          <w:szCs w:val="20"/>
          <w:color w:val="auto"/>
        </w:rPr>
      </w:pPr>
    </w:p>
    <w:p>
      <w:pPr>
        <w:ind w:left="2260" w:hanging="288"/>
        <w:spacing w:after="0"/>
        <w:tabs>
          <w:tab w:leader="none" w:pos="22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Certain confidential portions of this exhibit have been redacted pursuant to Item 601(b)(10)(iv) of Regulation S-K. The omitted information is</w:t>
      </w:r>
    </w:p>
    <w:p>
      <w:pPr>
        <w:spacing w:after="0" w:line="6" w:lineRule="exact"/>
        <w:rPr>
          <w:rFonts w:ascii="Arial" w:cs="Arial" w:eastAsia="Arial" w:hAnsi="Arial"/>
          <w:sz w:val="12"/>
          <w:szCs w:val="12"/>
          <w:color w:val="auto"/>
        </w:rPr>
      </w:pPr>
    </w:p>
    <w:p>
      <w:pPr>
        <w:ind w:left="2260" w:right="2200"/>
        <w:spacing w:after="0" w:line="260" w:lineRule="auto"/>
        <w:rPr>
          <w:rFonts w:ascii="Arial" w:cs="Arial" w:eastAsia="Arial" w:hAnsi="Arial"/>
          <w:sz w:val="12"/>
          <w:szCs w:val="12"/>
          <w:color w:val="auto"/>
        </w:rPr>
      </w:pPr>
      <w:r>
        <w:rPr>
          <w:rFonts w:ascii="Arial" w:cs="Arial" w:eastAsia="Arial" w:hAnsi="Arial"/>
          <w:sz w:val="12"/>
          <w:szCs w:val="12"/>
          <w:color w:val="auto"/>
        </w:rPr>
        <w:t>(i) not material and (ii) would likely cause us competitive harm if publicly disclosed. We agree to furnish supplementally an unredacted copy of the exhibit to the Securities and Exchange Commission on its request.</w:t>
      </w:r>
    </w:p>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II-6</w:t>
      </w:r>
    </w:p>
    <w:p>
      <w:pPr>
        <w:sectPr>
          <w:pgSz w:w="11900" w:h="16838" w:orient="portrait"/>
          <w:cols w:equalWidth="0" w:num="1">
            <w:col w:w="11360"/>
          </w:cols>
          <w:pgMar w:left="300" w:top="354" w:right="239"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82" w:lineRule="exact"/>
        <w:rPr>
          <w:sz w:val="20"/>
          <w:szCs w:val="20"/>
          <w:color w:val="auto"/>
        </w:rPr>
      </w:pPr>
    </w:p>
    <w:p>
      <w:pPr>
        <w:jc w:val="center"/>
        <w:ind w:right="-1300"/>
        <w:spacing w:after="0"/>
        <w:rPr>
          <w:sz w:val="20"/>
          <w:szCs w:val="20"/>
          <w:color w:val="auto"/>
        </w:rPr>
      </w:pPr>
      <w:r>
        <w:rPr>
          <w:rFonts w:ascii="Arial" w:cs="Arial" w:eastAsia="Arial" w:hAnsi="Arial"/>
          <w:sz w:val="11"/>
          <w:szCs w:val="11"/>
          <w:color w:val="auto"/>
        </w:rPr>
        <w:t>Pursuant to the requirements of the Securities Act of 1933, the registrant has duly caused this registration statement to be signed on its behalf by</w:t>
      </w:r>
    </w:p>
    <w:p>
      <w:pPr>
        <w:spacing w:after="0" w:line="26"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4760" w:type="dxa"/>
            <w:vAlign w:val="bottom"/>
          </w:tcPr>
          <w:p>
            <w:pPr>
              <w:spacing w:after="0"/>
              <w:rPr>
                <w:sz w:val="20"/>
                <w:szCs w:val="20"/>
                <w:color w:val="auto"/>
              </w:rPr>
            </w:pPr>
            <w:r>
              <w:rPr>
                <w:rFonts w:ascii="Arial" w:cs="Arial" w:eastAsia="Arial" w:hAnsi="Arial"/>
                <w:sz w:val="12"/>
                <w:szCs w:val="12"/>
                <w:color w:val="auto"/>
                <w:w w:val="95"/>
              </w:rPr>
              <w:t>the undersigned, thereunto duly authorized, in the city of Broadview Heights, State of Ohio on</w:t>
            </w:r>
          </w:p>
        </w:tc>
        <w:tc>
          <w:tcPr>
            <w:tcW w:w="2580" w:type="dxa"/>
            <w:vAlign w:val="bottom"/>
          </w:tcPr>
          <w:p>
            <w:pPr>
              <w:jc w:val="right"/>
              <w:ind w:right="1940"/>
              <w:spacing w:after="0"/>
              <w:rPr>
                <w:sz w:val="20"/>
                <w:szCs w:val="20"/>
                <w:color w:val="auto"/>
              </w:rPr>
            </w:pPr>
            <w:r>
              <w:rPr>
                <w:rFonts w:ascii="Arial" w:cs="Arial" w:eastAsia="Arial" w:hAnsi="Arial"/>
                <w:sz w:val="12"/>
                <w:szCs w:val="12"/>
                <w:color w:val="auto"/>
              </w:rPr>
              <w:t>, 2021.</w:t>
            </w:r>
          </w:p>
        </w:tc>
      </w:tr>
      <w:tr>
        <w:trPr>
          <w:trHeight w:val="216"/>
        </w:trPr>
        <w:tc>
          <w:tcPr>
            <w:tcW w:w="7340" w:type="dxa"/>
            <w:vAlign w:val="bottom"/>
            <w:gridSpan w:val="2"/>
          </w:tcPr>
          <w:p>
            <w:pPr>
              <w:ind w:left="4400"/>
              <w:spacing w:after="0"/>
              <w:rPr>
                <w:sz w:val="20"/>
                <w:szCs w:val="20"/>
                <w:color w:val="auto"/>
              </w:rPr>
            </w:pPr>
            <w:r>
              <w:rPr>
                <w:rFonts w:ascii="Arial" w:cs="Arial" w:eastAsia="Arial" w:hAnsi="Arial"/>
                <w:sz w:val="12"/>
                <w:szCs w:val="12"/>
                <w:color w:val="auto"/>
              </w:rPr>
              <w:t>SOTERA HEALTH COMPANY</w:t>
            </w:r>
          </w:p>
        </w:tc>
      </w:tr>
      <w:tr>
        <w:trPr>
          <w:trHeight w:val="216"/>
        </w:trPr>
        <w:tc>
          <w:tcPr>
            <w:tcW w:w="4760" w:type="dxa"/>
            <w:vAlign w:val="bottom"/>
          </w:tcPr>
          <w:p>
            <w:pPr>
              <w:ind w:left="4400"/>
              <w:spacing w:after="0"/>
              <w:rPr>
                <w:sz w:val="20"/>
                <w:szCs w:val="20"/>
                <w:color w:val="auto"/>
              </w:rPr>
            </w:pPr>
            <w:r>
              <w:rPr>
                <w:rFonts w:ascii="Arial" w:cs="Arial" w:eastAsia="Arial" w:hAnsi="Arial"/>
                <w:sz w:val="12"/>
                <w:szCs w:val="12"/>
                <w:color w:val="auto"/>
              </w:rPr>
              <w:t>By:</w:t>
            </w:r>
          </w:p>
        </w:tc>
        <w:tc>
          <w:tcPr>
            <w:tcW w:w="2580" w:type="dxa"/>
            <w:vAlign w:val="bottom"/>
            <w:tcBorders>
              <w:bottom w:val="single" w:sz="8" w:color="auto"/>
            </w:tcBorders>
          </w:tcPr>
          <w:p>
            <w:pPr>
              <w:spacing w:after="0"/>
              <w:rPr>
                <w:sz w:val="18"/>
                <w:szCs w:val="18"/>
                <w:color w:val="auto"/>
              </w:rPr>
            </w:pPr>
          </w:p>
        </w:tc>
      </w:tr>
      <w:tr>
        <w:trPr>
          <w:trHeight w:val="124"/>
        </w:trPr>
        <w:tc>
          <w:tcPr>
            <w:tcW w:w="4760" w:type="dxa"/>
            <w:vAlign w:val="bottom"/>
          </w:tcPr>
          <w:p>
            <w:pPr>
              <w:ind w:left="4400"/>
              <w:spacing w:after="0" w:line="124" w:lineRule="exact"/>
              <w:rPr>
                <w:sz w:val="20"/>
                <w:szCs w:val="20"/>
                <w:color w:val="auto"/>
              </w:rPr>
            </w:pPr>
            <w:r>
              <w:rPr>
                <w:rFonts w:ascii="Arial" w:cs="Arial" w:eastAsia="Arial" w:hAnsi="Arial"/>
                <w:sz w:val="12"/>
                <w:szCs w:val="12"/>
                <w:color w:val="auto"/>
                <w:w w:val="96"/>
              </w:rPr>
              <w:t>Name:</w:t>
            </w:r>
          </w:p>
        </w:tc>
        <w:tc>
          <w:tcPr>
            <w:tcW w:w="2580" w:type="dxa"/>
            <w:vAlign w:val="bottom"/>
          </w:tcPr>
          <w:p>
            <w:pPr>
              <w:ind w:left="20"/>
              <w:spacing w:after="0" w:line="124" w:lineRule="exact"/>
              <w:rPr>
                <w:sz w:val="20"/>
                <w:szCs w:val="20"/>
                <w:color w:val="auto"/>
              </w:rPr>
            </w:pPr>
            <w:r>
              <w:rPr>
                <w:rFonts w:ascii="Arial" w:cs="Arial" w:eastAsia="Arial" w:hAnsi="Arial"/>
                <w:sz w:val="12"/>
                <w:szCs w:val="12"/>
                <w:color w:val="auto"/>
              </w:rPr>
              <w:t>Michael B. Petras, Jr.</w:t>
            </w:r>
          </w:p>
        </w:tc>
      </w:tr>
      <w:tr>
        <w:trPr>
          <w:trHeight w:val="153"/>
        </w:trPr>
        <w:tc>
          <w:tcPr>
            <w:tcW w:w="4760" w:type="dxa"/>
            <w:vAlign w:val="bottom"/>
          </w:tcPr>
          <w:p>
            <w:pPr>
              <w:ind w:left="4400"/>
              <w:spacing w:after="0"/>
              <w:rPr>
                <w:sz w:val="20"/>
                <w:szCs w:val="20"/>
                <w:color w:val="auto"/>
              </w:rPr>
            </w:pPr>
            <w:r>
              <w:rPr>
                <w:rFonts w:ascii="Arial" w:cs="Arial" w:eastAsia="Arial" w:hAnsi="Arial"/>
                <w:sz w:val="12"/>
                <w:szCs w:val="12"/>
                <w:color w:val="auto"/>
              </w:rPr>
              <w:t>Title:</w:t>
            </w:r>
          </w:p>
        </w:tc>
        <w:tc>
          <w:tcPr>
            <w:tcW w:w="2580" w:type="dxa"/>
            <w:vAlign w:val="bottom"/>
          </w:tcPr>
          <w:p>
            <w:pPr>
              <w:ind w:left="20"/>
              <w:spacing w:after="0"/>
              <w:rPr>
                <w:sz w:val="20"/>
                <w:szCs w:val="20"/>
                <w:color w:val="auto"/>
              </w:rPr>
            </w:pPr>
            <w:r>
              <w:rPr>
                <w:rFonts w:ascii="Arial" w:cs="Arial" w:eastAsia="Arial" w:hAnsi="Arial"/>
                <w:sz w:val="12"/>
                <w:szCs w:val="12"/>
                <w:color w:val="auto"/>
              </w:rPr>
              <w:t>Chairman and Chief Executive Officer</w:t>
            </w:r>
          </w:p>
        </w:tc>
      </w:tr>
    </w:tbl>
    <w:p>
      <w:pPr>
        <w:spacing w:after="0" w:line="6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undersigned directors and officers of Sotera Health Company hereby constitute and appoint Michael B. Petras, Jr., Scott J. Leffler and Matthew J. Klaben, and each of them, any of whom may act without joinder of the other, the individual’s true and lawful attorneys-in-fact and agents, with full power of substitution and resubstituion,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47"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as amended, this registration statement has been signed below by the following persons in the capacities and on the dates indicated.</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060" w:type="dxa"/>
            <w:vAlign w:val="bottom"/>
            <w:gridSpan w:val="3"/>
          </w:tcPr>
          <w:p>
            <w:pPr>
              <w:jc w:val="center"/>
              <w:spacing w:after="0"/>
              <w:rPr>
                <w:sz w:val="20"/>
                <w:szCs w:val="20"/>
                <w:color w:val="auto"/>
              </w:rPr>
            </w:pPr>
            <w:r>
              <w:rPr>
                <w:rFonts w:ascii="Arial" w:cs="Arial" w:eastAsia="Arial" w:hAnsi="Arial"/>
                <w:sz w:val="10"/>
                <w:szCs w:val="10"/>
                <w:b w:val="1"/>
                <w:bCs w:val="1"/>
                <w:color w:val="auto"/>
                <w:w w:val="87"/>
              </w:rPr>
              <w:t>Name</w:t>
            </w:r>
          </w:p>
        </w:tc>
        <w:tc>
          <w:tcPr>
            <w:tcW w:w="1460" w:type="dxa"/>
            <w:vAlign w:val="bottom"/>
          </w:tcPr>
          <w:p>
            <w:pPr>
              <w:spacing w:after="0"/>
              <w:rPr>
                <w:sz w:val="10"/>
                <w:szCs w:val="10"/>
                <w:color w:val="auto"/>
              </w:rPr>
            </w:pPr>
          </w:p>
        </w:tc>
        <w:tc>
          <w:tcPr>
            <w:tcW w:w="2140" w:type="dxa"/>
            <w:vAlign w:val="bottom"/>
            <w:gridSpan w:val="2"/>
          </w:tcPr>
          <w:p>
            <w:pPr>
              <w:jc w:val="center"/>
              <w:ind w:right="1920"/>
              <w:spacing w:after="0"/>
              <w:rPr>
                <w:sz w:val="20"/>
                <w:szCs w:val="20"/>
                <w:color w:val="auto"/>
              </w:rPr>
            </w:pPr>
            <w:r>
              <w:rPr>
                <w:rFonts w:ascii="Arial" w:cs="Arial" w:eastAsia="Arial" w:hAnsi="Arial"/>
                <w:sz w:val="10"/>
                <w:szCs w:val="10"/>
                <w:b w:val="1"/>
                <w:bCs w:val="1"/>
                <w:color w:val="auto"/>
                <w:w w:val="87"/>
              </w:rPr>
              <w:t>Title</w:t>
            </w:r>
          </w:p>
        </w:tc>
        <w:tc>
          <w:tcPr>
            <w:tcW w:w="4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3"/>
              </w:rPr>
              <w:t>Date</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600" w:type="dxa"/>
            <w:vAlign w:val="bottom"/>
            <w:gridSpan w:val="3"/>
            <w:vMerge w:val="restart"/>
          </w:tcPr>
          <w:p>
            <w:pPr>
              <w:jc w:val="center"/>
              <w:ind w:right="460"/>
              <w:spacing w:after="0"/>
              <w:rPr>
                <w:sz w:val="20"/>
                <w:szCs w:val="20"/>
                <w:color w:val="auto"/>
              </w:rPr>
            </w:pPr>
            <w:r>
              <w:rPr>
                <w:rFonts w:ascii="Arial" w:cs="Arial" w:eastAsia="Arial" w:hAnsi="Arial"/>
                <w:sz w:val="12"/>
                <w:szCs w:val="12"/>
                <w:color w:val="auto"/>
                <w:w w:val="92"/>
              </w:rPr>
              <w:t>Chairman and Chief Executive Officer (Principal Executive</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89"/>
              </w:rPr>
              <w:t>Michael B. Petras, Jr.</w:t>
            </w:r>
          </w:p>
        </w:tc>
        <w:tc>
          <w:tcPr>
            <w:tcW w:w="3600" w:type="dxa"/>
            <w:vAlign w:val="bottom"/>
            <w:gridSpan w:val="3"/>
          </w:tcPr>
          <w:p>
            <w:pPr>
              <w:jc w:val="center"/>
              <w:ind w:right="460"/>
              <w:spacing w:after="0"/>
              <w:rPr>
                <w:sz w:val="20"/>
                <w:szCs w:val="20"/>
                <w:color w:val="auto"/>
              </w:rPr>
            </w:pPr>
            <w:r>
              <w:rPr>
                <w:rFonts w:ascii="Arial" w:cs="Arial" w:eastAsia="Arial" w:hAnsi="Arial"/>
                <w:sz w:val="12"/>
                <w:szCs w:val="12"/>
                <w:color w:val="auto"/>
                <w:w w:val="96"/>
              </w:rPr>
              <w:t>Officer)</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60"/>
              <w:spacing w:after="0"/>
              <w:rPr>
                <w:sz w:val="20"/>
                <w:szCs w:val="20"/>
                <w:color w:val="auto"/>
              </w:rPr>
            </w:pPr>
            <w:r>
              <w:rPr>
                <w:rFonts w:ascii="Arial" w:cs="Arial" w:eastAsia="Arial" w:hAnsi="Arial"/>
                <w:sz w:val="12"/>
                <w:szCs w:val="12"/>
                <w:color w:val="auto"/>
                <w:w w:val="92"/>
              </w:rPr>
              <w:t>Chief Financial Officer and Treasurer (Principal Financial</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1"/>
              </w:rPr>
              <w:t>Scott J. Leffler</w:t>
            </w:r>
          </w:p>
        </w:tc>
        <w:tc>
          <w:tcPr>
            <w:tcW w:w="3600" w:type="dxa"/>
            <w:vAlign w:val="bottom"/>
            <w:gridSpan w:val="3"/>
          </w:tcPr>
          <w:p>
            <w:pPr>
              <w:jc w:val="center"/>
              <w:ind w:right="460"/>
              <w:spacing w:after="0"/>
              <w:rPr>
                <w:sz w:val="20"/>
                <w:szCs w:val="20"/>
                <w:color w:val="auto"/>
              </w:rPr>
            </w:pPr>
            <w:r>
              <w:rPr>
                <w:rFonts w:ascii="Arial" w:cs="Arial" w:eastAsia="Arial" w:hAnsi="Arial"/>
                <w:sz w:val="12"/>
                <w:szCs w:val="12"/>
                <w:color w:val="auto"/>
                <w:w w:val="94"/>
              </w:rPr>
              <w:t>and Accounting Officer)</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2"/>
              </w:rPr>
              <w:t>Ruoxi Chen</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0"/>
              </w:rPr>
              <w:t>Sean L. Cunningham</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6"/>
              </w:rPr>
              <w:t>David A. Donnini</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86"/>
              </w:rPr>
              <w:t>Stephanie Geveda</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6"/>
              </w:rPr>
              <w:t>Ann R. Klee</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89"/>
              </w:rPr>
              <w:t>Constantine S. Mihas</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85"/>
              </w:rPr>
              <w:t>James C. Neary</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600" w:type="dxa"/>
            <w:vAlign w:val="bottom"/>
            <w:gridSpan w:val="3"/>
            <w:vMerge w:val="restart"/>
          </w:tcPr>
          <w:p>
            <w:pPr>
              <w:jc w:val="center"/>
              <w:ind w:right="480"/>
              <w:spacing w:after="0"/>
              <w:rPr>
                <w:sz w:val="20"/>
                <w:szCs w:val="20"/>
                <w:color w:val="auto"/>
              </w:rPr>
            </w:pPr>
            <w:r>
              <w:rPr>
                <w:rFonts w:ascii="Arial" w:cs="Arial" w:eastAsia="Arial" w:hAnsi="Arial"/>
                <w:sz w:val="12"/>
                <w:szCs w:val="12"/>
                <w:color w:val="auto"/>
                <w:w w:val="95"/>
              </w:rPr>
              <w:t>Director</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42"/>
        </w:trPr>
        <w:tc>
          <w:tcPr>
            <w:tcW w:w="3060" w:type="dxa"/>
            <w:vAlign w:val="bottom"/>
            <w:gridSpan w:val="3"/>
          </w:tcPr>
          <w:p>
            <w:pPr>
              <w:jc w:val="center"/>
              <w:spacing w:after="0"/>
              <w:rPr>
                <w:sz w:val="20"/>
                <w:szCs w:val="20"/>
                <w:color w:val="auto"/>
              </w:rPr>
            </w:pPr>
            <w:r>
              <w:rPr>
                <w:rFonts w:ascii="Arial" w:cs="Arial" w:eastAsia="Arial" w:hAnsi="Arial"/>
                <w:sz w:val="12"/>
                <w:szCs w:val="12"/>
                <w:color w:val="auto"/>
                <w:w w:val="91"/>
              </w:rPr>
              <w:t>Vincent K. Petrella</w:t>
            </w:r>
          </w:p>
        </w:tc>
        <w:tc>
          <w:tcPr>
            <w:tcW w:w="3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II-7</w:t>
      </w:r>
    </w:p>
    <w:sectPr>
      <w:pgSz w:w="11900" w:h="16838" w:orient="portrait"/>
      <w:cols w:equalWidth="0" w:num="1">
        <w:col w:w="10159"/>
      </w:cols>
      <w:pgMar w:left="30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440"/>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5"/>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Roman"/>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4"/>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3"/>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4"/>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decimal"/>
      <w:start w:val="3"/>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Roman"/>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Roman"/>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9" Type="http://schemas.openxmlformats.org/officeDocument/2006/relationships/image" Target="media/image160.png"/><Relationship Id="rId172" Type="http://schemas.openxmlformats.org/officeDocument/2006/relationships/image" Target="media/image161.png"/><Relationship Id="rId175" Type="http://schemas.openxmlformats.org/officeDocument/2006/relationships/image" Target="media/image162.png"/><Relationship Id="rId178" Type="http://schemas.openxmlformats.org/officeDocument/2006/relationships/image" Target="media/image163.png"/><Relationship Id="rId181" Type="http://schemas.openxmlformats.org/officeDocument/2006/relationships/image" Target="media/image164.png"/><Relationship Id="rId183"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90" Type="http://schemas.openxmlformats.org/officeDocument/2006/relationships/image" Target="media/image168.png"/><Relationship Id="rId193" Type="http://schemas.openxmlformats.org/officeDocument/2006/relationships/image" Target="media/image169.png"/><Relationship Id="rId196"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3"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148" Type="http://schemas.openxmlformats.org/officeDocument/2006/relationships/hyperlink" Target="http://www.sec.gov/Archives/edgar/data/1822479/000182247921000007/january202021-8k.htm" TargetMode="External"/><Relationship Id="rId168" Type="http://schemas.openxmlformats.org/officeDocument/2006/relationships/hyperlink" Target="http://www.sec.gov/Archives/edgar/data/1822479/000119312520275568/d93452dex44.htm" TargetMode="External"/><Relationship Id="rId170" Type="http://schemas.openxmlformats.org/officeDocument/2006/relationships/hyperlink" Target="http://www.sec.gov/Archives/edgar/data/1822479/000119312520275568/d93452dex43.htm" TargetMode="External"/><Relationship Id="rId171" Type="http://schemas.openxmlformats.org/officeDocument/2006/relationships/hyperlink" Target="http://www.sec.gov/Archives/edgar/data/1822479/000119312520290973/d93452dex101.htm" TargetMode="External"/><Relationship Id="rId173" Type="http://schemas.openxmlformats.org/officeDocument/2006/relationships/hyperlink" Target="http://www.sec.gov/Archives/edgar/data/1822479/000119312520290973/d93452dex102.htm" TargetMode="External"/><Relationship Id="rId174" Type="http://schemas.openxmlformats.org/officeDocument/2006/relationships/hyperlink" Target="http://www.sec.gov/Archives/edgar/data/1822479/000119312520290973/d93452dex103.htm" TargetMode="External"/><Relationship Id="rId176" Type="http://schemas.openxmlformats.org/officeDocument/2006/relationships/hyperlink" Target="http://www.sec.gov/Archives/edgar/data/1822479/000119312520290973/d93452dex104.htm" TargetMode="External"/><Relationship Id="rId177" Type="http://schemas.openxmlformats.org/officeDocument/2006/relationships/hyperlink" Target="http://www.sec.gov/Archives/edgar/data/1822479/000119312520290973/d93452dex105.htm" TargetMode="External"/><Relationship Id="rId179" Type="http://schemas.openxmlformats.org/officeDocument/2006/relationships/hyperlink" Target="http://www.sec.gov/Archives/edgar/data/1822479/000119312520290973/d93452dex106.htm" TargetMode="External"/><Relationship Id="rId180" Type="http://schemas.openxmlformats.org/officeDocument/2006/relationships/hyperlink" Target="http://www.sec.gov/Archives/edgar/data/1822479/000119312520290973/d93452dex107.htm" TargetMode="External"/><Relationship Id="rId182" Type="http://schemas.openxmlformats.org/officeDocument/2006/relationships/hyperlink" Target="http://www.sec.gov/Archives/edgar/data/1822479/000119312520284069/d93452dex108.htm" TargetMode="External"/><Relationship Id="rId184" Type="http://schemas.openxmlformats.org/officeDocument/2006/relationships/hyperlink" Target="http://www.sec.gov/Archives/edgar/data/1822479/000119312520275568/d93452dex1010.htm" TargetMode="External"/><Relationship Id="rId187" Type="http://schemas.openxmlformats.org/officeDocument/2006/relationships/hyperlink" Target="http://www.sec.gov/Archives/edgar/data/1822479/000119312520275568/d93452dex1011.htm" TargetMode="External"/><Relationship Id="rId188" Type="http://schemas.openxmlformats.org/officeDocument/2006/relationships/hyperlink" Target="http://www.sec.gov/Archives/edgar/data/1822479/000119312520275568/d93452dex1012.htm" TargetMode="External"/><Relationship Id="rId189" Type="http://schemas.openxmlformats.org/officeDocument/2006/relationships/hyperlink" Target="http://www.sec.gov/Archives/edgar/data/1822479/000119312520275568/d93452dex1013.htm" TargetMode="External"/><Relationship Id="rId191" Type="http://schemas.openxmlformats.org/officeDocument/2006/relationships/hyperlink" Target="http://www.sec.gov/Archives/edgar/data/1822479/000119312520275568/d93452dex1014.htm" TargetMode="External"/><Relationship Id="rId192" Type="http://schemas.openxmlformats.org/officeDocument/2006/relationships/hyperlink" Target="http://www.sec.gov/Archives/edgar/data/1822479/000119312520275568/d93452dex1015.htm" TargetMode="External"/><Relationship Id="rId194" Type="http://schemas.openxmlformats.org/officeDocument/2006/relationships/hyperlink" Target="http://www.sec.gov/Archives/edgar/data/1822479/000119312520275568/d93452dex1016.htm" TargetMode="External"/><Relationship Id="rId195" Type="http://schemas.openxmlformats.org/officeDocument/2006/relationships/hyperlink" Target="http://www.sec.gov/Archives/edgar/data/1822479/000119312520275568/d93452dex1017.htm" TargetMode="External"/><Relationship Id="rId197" Type="http://schemas.openxmlformats.org/officeDocument/2006/relationships/hyperlink" Target="http://www.sec.gov/Archives/edgar/data/1822479/000119312520275568/d93452dex1025.htm" TargetMode="External"/><Relationship Id="rId198" Type="http://schemas.openxmlformats.org/officeDocument/2006/relationships/hyperlink" Target="http://www.sec.gov/Archives/edgar/data/1822479/000119312520275568/d93452dex1026.htm" TargetMode="External"/><Relationship Id="rId199" Type="http://schemas.openxmlformats.org/officeDocument/2006/relationships/hyperlink" Target="http://www.sec.gov/Archives/edgar/data/1822479/000119312520275568/d93452dex1027.htm" TargetMode="External"/><Relationship Id="rId202" Type="http://schemas.openxmlformats.org/officeDocument/2006/relationships/hyperlink" Target="http://www.sec.gov/Archives/edgar/data/1822479/000119312520275568/d93452dex1028.htm" TargetMode="External"/><Relationship Id="rId204" Type="http://schemas.openxmlformats.org/officeDocument/2006/relationships/hyperlink" Target="http://www.sec.gov/Archives/edgar/data/1822479/000119312520275568/d93452dex1029.htm" TargetMode="External"/><Relationship Id="rId205" Type="http://schemas.openxmlformats.org/officeDocument/2006/relationships/hyperlink" Target="http://www.sec.gov/Archives/edgar/data/1822479/000119312520297076/d93452dex1030.htm" TargetMode="External"/><Relationship Id="rId206" Type="http://schemas.openxmlformats.org/officeDocument/2006/relationships/hyperlink" Target="http://www.sec.gov/Archives/edgar/data/1822479/000119312520290973/d93452dex1031.htm" TargetMode="External"/><Relationship Id="rId207" Type="http://schemas.openxmlformats.org/officeDocument/2006/relationships/hyperlink" Target="http://www.sec.gov/Archives/edgar/data/1822479/000119312520290973/d93452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2021-03-15T23:08:03Z</dcterms:created>
  <dcterms:modified xsi:type="dcterms:W3CDTF">2021-03-15T23:08:03Z</dcterms:modified>
</cp:coreProperties>
</file>