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8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221"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For the transition period from</w:t>
      </w:r>
    </w:p>
    <w:p>
      <w:pPr>
        <w:spacing w:after="0" w:line="127"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95250</wp:posOffset>
            </wp:positionV>
            <wp:extent cx="171450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457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510" w:lineRule="exact"/>
        <w:rPr>
          <w:sz w:val="24"/>
          <w:szCs w:val="24"/>
          <w:color w:val="auto"/>
        </w:rPr>
      </w:pPr>
    </w:p>
    <w:p>
      <w:pPr>
        <w:sectPr>
          <w:pgSz w:w="11900" w:h="16838" w:orient="portrait"/>
          <w:cols w:equalWidth="0" w:num="2">
            <w:col w:w="6880" w:space="0"/>
            <w:col w:w="4360"/>
          </w:cols>
          <w:pgMar w:left="320" w:top="2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SOTERA HEALTH COMPANY</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3"/>
              </w:rPr>
              <w:t>Delaware</w:t>
            </w:r>
          </w:p>
        </w:tc>
        <w:tc>
          <w:tcPr>
            <w:tcW w:w="2000" w:type="dxa"/>
            <w:vAlign w:val="bottom"/>
          </w:tcPr>
          <w:p>
            <w:pPr>
              <w:spacing w:after="0"/>
              <w:rPr>
                <w:sz w:val="18"/>
                <w:szCs w:val="18"/>
                <w:color w:val="auto"/>
              </w:rPr>
            </w:pPr>
          </w:p>
        </w:tc>
        <w:tc>
          <w:tcPr>
            <w:tcW w:w="4440" w:type="dxa"/>
            <w:vAlign w:val="bottom"/>
          </w:tcPr>
          <w:p>
            <w:pPr>
              <w:jc w:val="right"/>
              <w:ind w:right="2239"/>
              <w:spacing w:after="0"/>
              <w:rPr>
                <w:sz w:val="20"/>
                <w:szCs w:val="20"/>
                <w:color w:val="auto"/>
              </w:rPr>
            </w:pPr>
            <w:r>
              <w:rPr>
                <w:rFonts w:ascii="Arial" w:cs="Arial" w:eastAsia="Arial" w:hAnsi="Arial"/>
                <w:sz w:val="16"/>
                <w:szCs w:val="16"/>
                <w:b w:val="1"/>
                <w:bCs w:val="1"/>
                <w:color w:val="auto"/>
              </w:rPr>
              <w:t>47-3531161</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000" w:type="dxa"/>
            <w:vAlign w:val="bottom"/>
          </w:tcPr>
          <w:p>
            <w:pPr>
              <w:spacing w:after="0"/>
              <w:rPr>
                <w:sz w:val="21"/>
                <w:szCs w:val="21"/>
                <w:color w:val="auto"/>
              </w:rPr>
            </w:pPr>
          </w:p>
        </w:tc>
        <w:tc>
          <w:tcPr>
            <w:tcW w:w="4440" w:type="dxa"/>
            <w:vAlign w:val="bottom"/>
          </w:tcPr>
          <w:p>
            <w:pPr>
              <w:jc w:val="center"/>
              <w:ind w:right="899"/>
              <w:spacing w:after="0"/>
              <w:rPr>
                <w:sz w:val="20"/>
                <w:szCs w:val="20"/>
                <w:color w:val="auto"/>
              </w:rPr>
            </w:pPr>
            <w:r>
              <w:rPr>
                <w:rFonts w:ascii="Arial" w:cs="Arial" w:eastAsia="Arial" w:hAnsi="Arial"/>
                <w:sz w:val="16"/>
                <w:szCs w:val="16"/>
                <w:color w:val="auto"/>
                <w:w w:val="94"/>
              </w:rPr>
              <w:t>(I.R.S. Employer Identification No.)</w:t>
            </w:r>
          </w:p>
        </w:tc>
      </w:tr>
      <w:tr>
        <w:trPr>
          <w:trHeight w:val="364"/>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9100 South Hills Blvd, Suite 300</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Broadview Heights, Ohio</w:t>
            </w:r>
          </w:p>
        </w:tc>
        <w:tc>
          <w:tcPr>
            <w:tcW w:w="2000" w:type="dxa"/>
            <w:vAlign w:val="bottom"/>
          </w:tcPr>
          <w:p>
            <w:pPr>
              <w:spacing w:after="0"/>
              <w:rPr>
                <w:sz w:val="21"/>
                <w:szCs w:val="21"/>
                <w:color w:val="auto"/>
              </w:rPr>
            </w:pPr>
          </w:p>
        </w:tc>
        <w:tc>
          <w:tcPr>
            <w:tcW w:w="4440" w:type="dxa"/>
            <w:vAlign w:val="bottom"/>
          </w:tcPr>
          <w:p>
            <w:pPr>
              <w:jc w:val="right"/>
              <w:ind w:right="2419"/>
              <w:spacing w:after="0"/>
              <w:rPr>
                <w:sz w:val="20"/>
                <w:szCs w:val="20"/>
                <w:color w:val="auto"/>
              </w:rPr>
            </w:pPr>
            <w:r>
              <w:rPr>
                <w:rFonts w:ascii="Arial" w:cs="Arial" w:eastAsia="Arial" w:hAnsi="Arial"/>
                <w:sz w:val="16"/>
                <w:szCs w:val="16"/>
                <w:b w:val="1"/>
                <w:bCs w:val="1"/>
                <w:color w:val="auto"/>
              </w:rPr>
              <w:t>44147</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4"/>
              </w:rPr>
              <w:t>(Address of principal executive offices)</w:t>
            </w:r>
          </w:p>
        </w:tc>
        <w:tc>
          <w:tcPr>
            <w:tcW w:w="2000" w:type="dxa"/>
            <w:vAlign w:val="bottom"/>
          </w:tcPr>
          <w:p>
            <w:pPr>
              <w:spacing w:after="0"/>
              <w:rPr>
                <w:sz w:val="21"/>
                <w:szCs w:val="21"/>
                <w:color w:val="auto"/>
              </w:rPr>
            </w:pPr>
          </w:p>
        </w:tc>
        <w:tc>
          <w:tcPr>
            <w:tcW w:w="4440" w:type="dxa"/>
            <w:vAlign w:val="bottom"/>
          </w:tcPr>
          <w:p>
            <w:pPr>
              <w:jc w:val="center"/>
              <w:ind w:right="879"/>
              <w:spacing w:after="0"/>
              <w:rPr>
                <w:sz w:val="20"/>
                <w:szCs w:val="20"/>
                <w:color w:val="auto"/>
              </w:rPr>
            </w:pPr>
            <w:r>
              <w:rPr>
                <w:rFonts w:ascii="Arial" w:cs="Arial" w:eastAsia="Arial" w:hAnsi="Arial"/>
                <w:sz w:val="16"/>
                <w:szCs w:val="16"/>
                <w:color w:val="auto"/>
                <w:w w:val="95"/>
              </w:rPr>
              <w:t>(Zip Code)</w:t>
            </w:r>
          </w:p>
        </w:tc>
      </w:tr>
      <w:tr>
        <w:trPr>
          <w:trHeight w:val="364"/>
        </w:trPr>
        <w:tc>
          <w:tcPr>
            <w:tcW w:w="4780" w:type="dxa"/>
            <w:vAlign w:val="bottom"/>
          </w:tcPr>
          <w:p>
            <w:pPr>
              <w:jc w:val="center"/>
              <w:ind w:left="499"/>
              <w:spacing w:after="0"/>
              <w:rPr>
                <w:sz w:val="20"/>
                <w:szCs w:val="20"/>
                <w:color w:val="auto"/>
              </w:rPr>
            </w:pPr>
            <w:r>
              <w:rPr>
                <w:rFonts w:ascii="Arial" w:cs="Arial" w:eastAsia="Arial" w:hAnsi="Arial"/>
                <w:sz w:val="16"/>
                <w:szCs w:val="16"/>
                <w:color w:val="auto"/>
                <w:w w:val="90"/>
              </w:rPr>
              <w:t>Registrant’s telephone number, including area code</w:t>
            </w:r>
          </w:p>
        </w:tc>
        <w:tc>
          <w:tcPr>
            <w:tcW w:w="2000" w:type="dxa"/>
            <w:vAlign w:val="bottom"/>
          </w:tcPr>
          <w:p>
            <w:pPr>
              <w:spacing w:after="0"/>
              <w:rPr>
                <w:sz w:val="24"/>
                <w:szCs w:val="24"/>
                <w:color w:val="auto"/>
              </w:rPr>
            </w:pPr>
          </w:p>
        </w:tc>
        <w:tc>
          <w:tcPr>
            <w:tcW w:w="4440" w:type="dxa"/>
            <w:vAlign w:val="bottom"/>
          </w:tcPr>
          <w:p>
            <w:pPr>
              <w:jc w:val="right"/>
              <w:ind w:right="1939"/>
              <w:spacing w:after="0"/>
              <w:rPr>
                <w:sz w:val="20"/>
                <w:szCs w:val="20"/>
                <w:color w:val="auto"/>
              </w:rPr>
            </w:pPr>
            <w:r>
              <w:rPr>
                <w:rFonts w:ascii="Arial" w:cs="Arial" w:eastAsia="Arial" w:hAnsi="Arial"/>
                <w:sz w:val="16"/>
                <w:szCs w:val="16"/>
                <w:b w:val="1"/>
                <w:bCs w:val="1"/>
                <w:color w:val="auto"/>
              </w:rPr>
              <w:t>(440)  262-1410</w:t>
            </w:r>
          </w:p>
        </w:tc>
      </w:tr>
      <w:tr>
        <w:trPr>
          <w:trHeight w:val="419"/>
        </w:trPr>
        <w:tc>
          <w:tcPr>
            <w:tcW w:w="478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64"/>
        </w:trPr>
        <w:tc>
          <w:tcPr>
            <w:tcW w:w="47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8"/>
              </w:rPr>
              <w:t>Title of each class</w:t>
            </w:r>
          </w:p>
        </w:tc>
        <w:tc>
          <w:tcPr>
            <w:tcW w:w="20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1"/>
              </w:rPr>
              <w:t>Trading Symbol(s)</w:t>
            </w:r>
          </w:p>
        </w:tc>
        <w:tc>
          <w:tcPr>
            <w:tcW w:w="44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4"/>
        </w:trPr>
        <w:tc>
          <w:tcPr>
            <w:tcW w:w="478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200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SHC</w:t>
            </w:r>
          </w:p>
        </w:tc>
        <w:tc>
          <w:tcPr>
            <w:tcW w:w="444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The Nasdaq Stock Market LLC</w:t>
            </w:r>
          </w:p>
        </w:tc>
      </w:tr>
    </w:tbl>
    <w:p>
      <w:pPr>
        <w:spacing w:after="0" w:line="280" w:lineRule="exact"/>
        <w:rPr>
          <w:sz w:val="24"/>
          <w:szCs w:val="24"/>
          <w:color w:val="auto"/>
        </w:rPr>
      </w:pPr>
    </w:p>
    <w:p>
      <w:pPr>
        <w:jc w:val="both"/>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p>
      <w:pPr>
        <w:spacing w:after="0" w:line="1"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w:t>
      </w:r>
    </w:p>
    <w:p>
      <w:pPr>
        <w:spacing w:after="0" w:line="186" w:lineRule="exact"/>
        <w:rPr>
          <w:sz w:val="24"/>
          <w:szCs w:val="24"/>
          <w:color w:val="auto"/>
        </w:rPr>
      </w:pPr>
    </w:p>
    <w:p>
      <w:pPr>
        <w:ind w:right="400"/>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46" w:lineRule="exact"/>
        <w:rPr>
          <w:sz w:val="24"/>
          <w:szCs w:val="24"/>
          <w:color w:val="auto"/>
        </w:rPr>
      </w:pPr>
    </w:p>
    <w:p>
      <w:pPr>
        <w:ind w:right="8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1860" w:type="dxa"/>
        <w:tblCellMar>
          <w:top w:w="0" w:type="dxa"/>
          <w:left w:w="0" w:type="dxa"/>
          <w:bottom w:w="0" w:type="dxa"/>
          <w:right w:w="0" w:type="dxa"/>
        </w:tblCellMar>
      </w:tblP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2"/>
              </w:rPr>
              <w:t>Large 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4"/>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3"/>
              </w:rPr>
              <w:t>Non-accelerated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54" w:lineRule="exact"/>
        <w:rPr>
          <w:sz w:val="24"/>
          <w:szCs w:val="24"/>
          <w:color w:val="auto"/>
        </w:rPr>
      </w:pPr>
    </w:p>
    <w:p>
      <w:pPr>
        <w:ind w:right="58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25, 2023, there were 282,622,621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TABLE OF CONTENTS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3040" w:type="dxa"/>
            <w:vAlign w:val="bottom"/>
            <w:gridSpan w:val="11"/>
            <w:shd w:val="clear" w:color="auto" w:fill="CCEEFF"/>
          </w:tcPr>
          <w:p>
            <w:pPr>
              <w:spacing w:after="0"/>
              <w:rPr>
                <w:sz w:val="20"/>
                <w:szCs w:val="20"/>
                <w:color w:val="auto"/>
              </w:rPr>
            </w:pPr>
            <w:r>
              <w:rPr>
                <w:rFonts w:ascii="Arial" w:cs="Arial" w:eastAsia="Arial" w:hAnsi="Arial"/>
                <w:sz w:val="18"/>
                <w:szCs w:val="18"/>
                <w:b w:val="1"/>
                <w:bCs w:val="1"/>
                <w:color w:val="0000FF"/>
              </w:rPr>
              <w:t>Part I—FINANCIAL INFORMATION</w:t>
            </w:r>
          </w:p>
        </w:tc>
        <w:tc>
          <w:tcPr>
            <w:tcW w:w="7980" w:type="dxa"/>
            <w:vAlign w:val="bottom"/>
            <w:gridSpan w:val="3"/>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0000FF"/>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10"/>
          </w:tcPr>
          <w:p>
            <w:pPr>
              <w:spacing w:after="0" w:line="202" w:lineRule="exact"/>
              <w:rPr>
                <w:sz w:val="20"/>
                <w:szCs w:val="20"/>
                <w:color w:val="auto"/>
              </w:rPr>
            </w:pPr>
            <w:r>
              <w:rPr>
                <w:rFonts w:ascii="Arial" w:cs="Arial" w:eastAsia="Arial" w:hAnsi="Arial"/>
                <w:sz w:val="18"/>
                <w:szCs w:val="18"/>
                <w:color w:val="0000FF"/>
              </w:rPr>
              <w:t>Item 1. Financial Statements</w:t>
            </w:r>
          </w:p>
        </w:tc>
        <w:tc>
          <w:tcPr>
            <w:tcW w:w="7980" w:type="dxa"/>
            <w:vAlign w:val="bottom"/>
            <w:gridSpan w:val="3"/>
          </w:tcPr>
          <w:p>
            <w:pPr>
              <w:spacing w:after="0"/>
              <w:rPr>
                <w:sz w:val="17"/>
                <w:szCs w:val="17"/>
                <w:color w:val="auto"/>
              </w:rPr>
            </w:pPr>
          </w:p>
        </w:tc>
        <w:tc>
          <w:tcPr>
            <w:tcW w:w="2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0000FF"/>
              </w:rPr>
              <w:t>5</w:t>
            </w: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0000FF"/>
            </w:tcBorders>
            <w:gridSpan w:val="12"/>
            <w:shd w:val="clear" w:color="auto" w:fill="CCEEFF"/>
          </w:tcPr>
          <w:p>
            <w:pPr>
              <w:spacing w:after="0" w:line="202" w:lineRule="exact"/>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34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3"/>
          </w:tcPr>
          <w:p>
            <w:pPr>
              <w:spacing w:after="0" w:line="202" w:lineRule="exact"/>
              <w:rPr>
                <w:sz w:val="20"/>
                <w:szCs w:val="20"/>
                <w:color w:val="auto"/>
              </w:rPr>
            </w:pPr>
            <w:r>
              <w:rPr>
                <w:rFonts w:ascii="Arial" w:cs="Arial" w:eastAsia="Arial" w:hAnsi="Arial"/>
                <w:sz w:val="18"/>
                <w:szCs w:val="18"/>
                <w:color w:val="0000FF"/>
              </w:rPr>
              <w:t>Item 3. Quantitative and Qualitative Disclosures About Market Risk</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79"/>
              </w:rPr>
              <w:t>50</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2" w:lineRule="exact"/>
              <w:rPr>
                <w:sz w:val="20"/>
                <w:szCs w:val="20"/>
                <w:color w:val="auto"/>
              </w:rPr>
            </w:pPr>
            <w:r>
              <w:rPr>
                <w:rFonts w:ascii="Arial" w:cs="Arial" w:eastAsia="Arial" w:hAnsi="Arial"/>
                <w:sz w:val="18"/>
                <w:szCs w:val="18"/>
                <w:color w:val="0000FF"/>
                <w:w w:val="94"/>
              </w:rPr>
              <w:t>Item 4.</w:t>
            </w:r>
          </w:p>
        </w:tc>
        <w:tc>
          <w:tcPr>
            <w:tcW w:w="10260" w:type="dxa"/>
            <w:vAlign w:val="bottom"/>
            <w:gridSpan w:val="12"/>
            <w:shd w:val="clear" w:color="auto" w:fill="CCEEFF"/>
          </w:tcPr>
          <w:p>
            <w:pPr>
              <w:ind w:left="20"/>
              <w:spacing w:after="0" w:line="202" w:lineRule="exact"/>
              <w:rPr>
                <w:sz w:val="20"/>
                <w:szCs w:val="20"/>
                <w:color w:val="auto"/>
              </w:rPr>
            </w:pPr>
            <w:r>
              <w:rPr>
                <w:rFonts w:ascii="Arial" w:cs="Arial" w:eastAsia="Arial" w:hAnsi="Arial"/>
                <w:sz w:val="18"/>
                <w:szCs w:val="18"/>
                <w:color w:val="0000FF"/>
              </w:rPr>
              <w:t>Controls and Procedures</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50</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20" w:type="dxa"/>
            <w:vAlign w:val="bottom"/>
            <w:gridSpan w:val="14"/>
          </w:tcPr>
          <w:p>
            <w:pPr>
              <w:spacing w:after="0" w:line="202" w:lineRule="exact"/>
              <w:rPr>
                <w:sz w:val="20"/>
                <w:szCs w:val="20"/>
                <w:color w:val="auto"/>
              </w:rPr>
            </w:pPr>
            <w:r>
              <w:rPr>
                <w:rFonts w:ascii="Arial" w:cs="Arial" w:eastAsia="Arial" w:hAnsi="Arial"/>
                <w:sz w:val="18"/>
                <w:szCs w:val="18"/>
                <w:b w:val="1"/>
                <w:bCs w:val="1"/>
                <w:color w:val="0000FF"/>
              </w:rPr>
              <w:t>Part II—OTHER INFORMATION</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Arial" w:cs="Arial" w:eastAsia="Arial" w:hAnsi="Arial"/>
                <w:sz w:val="18"/>
                <w:szCs w:val="18"/>
                <w:color w:val="0000FF"/>
                <w:w w:val="94"/>
              </w:rPr>
              <w:t>Item 1.</w:t>
            </w:r>
          </w:p>
        </w:tc>
        <w:tc>
          <w:tcPr>
            <w:tcW w:w="1400" w:type="dxa"/>
            <w:vAlign w:val="bottom"/>
            <w:tcBorders>
              <w:bottom w:val="single" w:sz="8" w:color="0000FF"/>
            </w:tcBorders>
            <w:gridSpan w:val="5"/>
            <w:shd w:val="clear" w:color="auto" w:fill="CCEEFF"/>
          </w:tcPr>
          <w:p>
            <w:pPr>
              <w:ind w:left="20"/>
              <w:spacing w:after="0" w:line="202" w:lineRule="exact"/>
              <w:rPr>
                <w:sz w:val="20"/>
                <w:szCs w:val="20"/>
                <w:color w:val="auto"/>
              </w:rPr>
            </w:pPr>
            <w:r>
              <w:rPr>
                <w:rFonts w:ascii="Arial" w:cs="Arial" w:eastAsia="Arial" w:hAnsi="Arial"/>
                <w:sz w:val="18"/>
                <w:szCs w:val="18"/>
                <w:color w:val="0000FF"/>
                <w:w w:val="88"/>
              </w:rPr>
              <w:t>Legal Proceedings.</w:t>
            </w:r>
          </w:p>
        </w:tc>
        <w:tc>
          <w:tcPr>
            <w:tcW w:w="886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51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3"/>
          </w:tcPr>
          <w:p>
            <w:pPr>
              <w:spacing w:after="0" w:line="202" w:lineRule="exact"/>
              <w:rPr>
                <w:sz w:val="20"/>
                <w:szCs w:val="20"/>
                <w:color w:val="auto"/>
              </w:rPr>
            </w:pPr>
            <w:r>
              <w:rPr>
                <w:rFonts w:ascii="Arial" w:cs="Arial" w:eastAsia="Arial" w:hAnsi="Arial"/>
                <w:sz w:val="18"/>
                <w:szCs w:val="18"/>
                <w:color w:val="0000FF"/>
              </w:rPr>
              <w:t>Item 1A. Risk Factors.</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Arial" w:cs="Arial" w:eastAsia="Arial" w:hAnsi="Arial"/>
                <w:sz w:val="18"/>
                <w:szCs w:val="18"/>
                <w:color w:val="0000FF"/>
                <w:w w:val="94"/>
              </w:rPr>
              <w:t>Item 5.</w:t>
            </w:r>
          </w:p>
        </w:tc>
        <w:tc>
          <w:tcPr>
            <w:tcW w:w="1380" w:type="dxa"/>
            <w:vAlign w:val="bottom"/>
            <w:tcBorders>
              <w:bottom w:val="single" w:sz="8" w:color="0000FF"/>
            </w:tcBorders>
            <w:gridSpan w:val="4"/>
            <w:shd w:val="clear" w:color="auto" w:fill="CCEEFF"/>
          </w:tcPr>
          <w:p>
            <w:pPr>
              <w:ind w:left="20"/>
              <w:spacing w:after="0" w:line="202" w:lineRule="exact"/>
              <w:rPr>
                <w:sz w:val="20"/>
                <w:szCs w:val="20"/>
                <w:color w:val="auto"/>
              </w:rPr>
            </w:pPr>
            <w:r>
              <w:rPr>
                <w:rFonts w:ascii="Arial" w:cs="Arial" w:eastAsia="Arial" w:hAnsi="Arial"/>
                <w:sz w:val="18"/>
                <w:szCs w:val="18"/>
                <w:color w:val="0000FF"/>
                <w:w w:val="92"/>
              </w:rPr>
              <w:t>Other Information.</w:t>
            </w:r>
          </w:p>
        </w:tc>
        <w:tc>
          <w:tcPr>
            <w:tcW w:w="8880" w:type="dxa"/>
            <w:vAlign w:val="bottom"/>
            <w:tcBorders>
              <w:bottom w:val="single" w:sz="8" w:color="CCEEFF"/>
            </w:tcBorders>
            <w:gridSpan w:val="8"/>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52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line="202" w:lineRule="exact"/>
              <w:rPr>
                <w:sz w:val="20"/>
                <w:szCs w:val="20"/>
                <w:color w:val="auto"/>
              </w:rPr>
            </w:pPr>
            <w:r>
              <w:rPr>
                <w:rFonts w:ascii="Arial" w:cs="Arial" w:eastAsia="Arial" w:hAnsi="Arial"/>
                <w:sz w:val="18"/>
                <w:szCs w:val="18"/>
                <w:color w:val="0000FF"/>
                <w:w w:val="94"/>
              </w:rPr>
              <w:t>Item 6.</w:t>
            </w:r>
          </w:p>
        </w:tc>
        <w:tc>
          <w:tcPr>
            <w:tcW w:w="10260" w:type="dxa"/>
            <w:vAlign w:val="bottom"/>
            <w:gridSpan w:val="12"/>
          </w:tcPr>
          <w:p>
            <w:pPr>
              <w:ind w:left="20"/>
              <w:spacing w:after="0" w:line="202" w:lineRule="exact"/>
              <w:rPr>
                <w:sz w:val="20"/>
                <w:szCs w:val="20"/>
                <w:color w:val="auto"/>
              </w:rPr>
            </w:pPr>
            <w:r>
              <w:rPr>
                <w:rFonts w:ascii="Arial" w:cs="Arial" w:eastAsia="Arial" w:hAnsi="Arial"/>
                <w:sz w:val="18"/>
                <w:szCs w:val="18"/>
                <w:color w:val="0000FF"/>
              </w:rPr>
              <w:t>Exhibits.</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0" w:type="dxa"/>
            <w:vAlign w:val="bottom"/>
            <w:gridSpan w:val="13"/>
            <w:shd w:val="clear" w:color="auto" w:fill="CCEEFF"/>
          </w:tcPr>
          <w:p>
            <w:pPr>
              <w:spacing w:after="0" w:line="202" w:lineRule="exact"/>
              <w:rPr>
                <w:sz w:val="20"/>
                <w:szCs w:val="20"/>
                <w:color w:val="auto"/>
              </w:rPr>
            </w:pPr>
            <w:r>
              <w:rPr>
                <w:rFonts w:ascii="Arial" w:cs="Arial" w:eastAsia="Arial" w:hAnsi="Arial"/>
                <w:sz w:val="18"/>
                <w:szCs w:val="18"/>
                <w:b w:val="1"/>
                <w:bCs w:val="1"/>
                <w:color w:val="0000FF"/>
              </w:rPr>
              <w:t>SIGNATURES</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54</w:t>
            </w:r>
          </w:p>
        </w:tc>
        <w:tc>
          <w:tcPr>
            <w:tcW w:w="20" w:type="dxa"/>
            <w:vAlign w:val="bottom"/>
            <w:shd w:val="clear" w:color="auto" w:fill="CCEEFF"/>
          </w:tcPr>
          <w:p>
            <w:pPr>
              <w:spacing w:after="0"/>
              <w:rPr>
                <w:sz w:val="21"/>
                <w:szCs w:val="21"/>
                <w:color w:val="auto"/>
              </w:rPr>
            </w:pPr>
          </w:p>
        </w:tc>
      </w:tr>
      <w:tr>
        <w:trPr>
          <w:trHeight w:val="1019"/>
        </w:trPr>
        <w:tc>
          <w:tcPr>
            <w:tcW w:w="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37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192" w:lineRule="exact"/>
        <w:rPr>
          <w:sz w:val="20"/>
          <w:szCs w:val="20"/>
          <w:color w:val="auto"/>
        </w:rPr>
      </w:pPr>
    </w:p>
    <w:p>
      <w:pPr>
        <w:ind w:left="980" w:right="60" w:hanging="324"/>
        <w:spacing w:after="0" w:line="255"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disruption in the availability or supply of, or increases in the price of, ethylene oxide (“EO”), Cobalt-60 (“Co-60”) or our other direct materials, services and supplies, including as a result of current geopolitical instability and/or sanctions arising from United States, Canadian, United Kingdom or European Union relations with Russia;</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rates and changes in those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health and safety regulations or preferences, and general economic, social and business conditions;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health and safety risks associated with the use, storage, transportation and disposal of potentially hazardous materials such as EO and Co-60;</w:t>
      </w:r>
    </w:p>
    <w:p>
      <w:pPr>
        <w:spacing w:after="0" w:line="32" w:lineRule="exact"/>
        <w:rPr>
          <w:rFonts w:ascii="Arial" w:cs="Arial" w:eastAsia="Arial" w:hAnsi="Arial"/>
          <w:sz w:val="16"/>
          <w:szCs w:val="16"/>
          <w:color w:val="auto"/>
        </w:rPr>
      </w:pPr>
    </w:p>
    <w:p>
      <w:pPr>
        <w:jc w:val="both"/>
        <w:ind w:left="980" w:right="46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and outcome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allegations of our failure to properly perform services and potential product liability claims, recalls, penalties and reputational harm;</w:t>
      </w:r>
    </w:p>
    <w:p>
      <w:pPr>
        <w:spacing w:after="0" w:line="20" w:lineRule="exact"/>
        <w:rPr>
          <w:rFonts w:ascii="Arial" w:cs="Arial" w:eastAsia="Arial" w:hAnsi="Arial"/>
          <w:sz w:val="17"/>
          <w:szCs w:val="17"/>
          <w:color w:val="auto"/>
        </w:rPr>
      </w:pPr>
    </w:p>
    <w:p>
      <w:pPr>
        <w:ind w:left="980" w:right="2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the extensive regulatory requirements to which we are subject, the related costs, and any failures to receive or maintain, or delays in receiving, required clearance or approvals;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we face;</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changes, including inflationary trends, that impact our long-term supply contracts with variable price clauses and increase our cost of revenues;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continuity hazards, including supply chain disruptions and other risks associated with our operations;</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doing business internationally, including global and regional economic and political instability and compliance with numerous laws and regulations in multiple jurisdictions;</w:t>
      </w:r>
    </w:p>
    <w:p>
      <w:pPr>
        <w:ind w:left="980" w:right="1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build new facilities in a timely and cost-effective manner and renew leases for our leased facilities;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health events, such as the COVID-19 pandemic, or environmental events;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 security breaches, unauthorized data disclosures, and our dependence on information technology systems;</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inability to pursue strategic transactions or find suitable acquisition targets, or our failure to integrate strategic acquisitions successfully into our business;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ind w:left="980" w:right="2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rapidly evolving data privacy and security laws and regulations and any ineffective compliance efforts with such laws and regulations;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 as well as other long-lived assets and intangible assets with definite lives;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unionization efforts and labor regulations in certain countries in which we operate;</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 and</w:t>
      </w:r>
    </w:p>
    <w:p>
      <w:pPr>
        <w:jc w:val="both"/>
        <w:ind w:left="980" w:right="20" w:hanging="324"/>
        <w:spacing w:after="0" w:line="255"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leverage and how this significant leverage could adversely affect our ability to raise additional capital, limit our ability to react to changes in the economy or our industry, limit our flexibility in operating our business through restrictions contained in our debt agreements and/or prevent us from meeting our obligations under our existing and future indebtedness.</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2022 (the “2022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2023</w:t>
            </w:r>
          </w:p>
        </w:tc>
        <w:tc>
          <w:tcPr>
            <w:tcW w:w="140" w:type="dxa"/>
            <w:vAlign w:val="bottom"/>
          </w:tcPr>
          <w:p>
            <w:pPr>
              <w:spacing w:after="0"/>
              <w:rPr>
                <w:sz w:val="19"/>
                <w:szCs w:val="19"/>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i w:val="1"/>
                <w:iCs w:val="1"/>
                <w:color w:val="auto"/>
                <w:w w:val="92"/>
              </w:rPr>
              <w:t>(Unaudited)</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244,959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395,214</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Restricted cash short-term</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7,575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 net of allowance for uncollectible accounts of $2,100 and $1,871,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118,396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118,482</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Inventories,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37,924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37,145</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84,201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80,995</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Income taxes receivable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26,591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12,094</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519,646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645,010</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884,385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774,527</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24,672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26,481</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4,043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4,101</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Post-retirement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39,342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35,570</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34,563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38,983</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429,112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491,265</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1,100,811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1,101,768</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3,036,574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3,117,705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57,125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74,139</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106,371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490,130</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12,712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12,140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portion of long-term debt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5,235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197,119</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Current portion of finance lease obligations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8,398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portion of operating lease obligations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6,362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7,554</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Current portion of asset retirement obligations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Income taxes payable</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200,594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791,567</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2,222,789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1,747,115</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Finance lease obligations, less current portion</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63,219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56,955</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obligations, less 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20,674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21,577</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44,382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42,586</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lease income</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18,444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18,902</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Post-retirement obligations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7,760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7,910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12,415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12,831</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68,826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68,024</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2,659,103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2,767,467</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See Commitments and contingencies note</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w w:val="91"/>
              </w:rPr>
              <w:t>Common stock, with $0.01 par value, 1,200,000 shares authorized; 286,037 shares issued at September 30, 2023 and December 31, 2022</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2,860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Preferred stock, with $0.01 par value, 120,000 authorized; no shares issued at September 30, 2023 and December 31, 2022</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Treasury stock, at cost (3,414 and 3,616 shares at September 30, 2023 and December 31, 2022, respectively)</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(28,474)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(29,775)</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1,210,346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1,189,622</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Retained deficit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(693,121)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(705,816)</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(114,140)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(106,653)</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equity</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377,471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350,238</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3,036,574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3,117,705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161" w:right="339" w:bottom="1054"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054"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Arial" w:cs="Arial" w:eastAsia="Arial" w:hAnsi="Arial"/>
                <w:sz w:val="16"/>
                <w:szCs w:val="16"/>
                <w:color w:val="auto"/>
              </w:rPr>
              <w:t>Service</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227,120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216,704</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667,680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644,451</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36,057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32,000</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71,369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107,646</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Total net revenues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263,177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248,704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739,049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752,097</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Arial" w:cs="Arial" w:eastAsia="Arial" w:hAnsi="Arial"/>
                <w:sz w:val="16"/>
                <w:szCs w:val="16"/>
                <w:color w:val="auto"/>
              </w:rPr>
              <w:t>Service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103,580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99,772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311,690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292,755</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13,613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12,919</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30,284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44,058</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cost of revenues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117,193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112,691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341,974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336,813</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145,984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136,013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397,075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415,284</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54,112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176,309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179,765</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15,774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48,098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47,337</w:t>
            </w: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69,886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72,818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224,407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227,102</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76,098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63,195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172,668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188,182</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40,627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100,225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47,875</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Georgia EO litigation settlement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investment in unconsolidated affiliate</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Foreign exchange (gain) loss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(4,195)</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42,016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40,357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135,391</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14,130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16,926</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27,662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49,242</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(loss)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(13,660)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25,090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12,695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86,149</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440"/>
              <w:spacing w:after="0"/>
              <w:rPr>
                <w:sz w:val="20"/>
                <w:szCs w:val="20"/>
                <w:color w:val="auto"/>
              </w:rPr>
            </w:pPr>
            <w:r>
              <w:rPr>
                <w:rFonts w:ascii="Arial" w:cs="Arial" w:eastAsia="Arial" w:hAnsi="Arial"/>
                <w:sz w:val="16"/>
                <w:szCs w:val="16"/>
                <w:color w:val="auto"/>
                <w:w w:val="99"/>
              </w:rPr>
              <w:t>Pension and post-retirement benefits (net of taxes of $(43), $357, $(54), and $444,</w:t>
            </w:r>
          </w:p>
        </w:tc>
        <w:tc>
          <w:tcPr>
            <w:tcW w:w="1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680"/>
              <w:spacing w:after="0"/>
              <w:rPr>
                <w:sz w:val="20"/>
                <w:szCs w:val="20"/>
                <w:color w:val="auto"/>
              </w:rPr>
            </w:pPr>
            <w:r>
              <w:rPr>
                <w:rFonts w:ascii="Arial" w:cs="Arial" w:eastAsia="Arial" w:hAnsi="Arial"/>
                <w:sz w:val="16"/>
                <w:szCs w:val="16"/>
                <w:color w:val="auto"/>
              </w:rPr>
              <w:t>respectively)</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 rate derivatives (net of taxes of $(934), $3,368, $(3,294) and $6,718,</w:t>
            </w:r>
          </w:p>
        </w:tc>
        <w:tc>
          <w:tcPr>
            <w:tcW w:w="10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(6,963)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respectively)</w:t>
            </w: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18,765</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Foreign currency translation</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(32,996)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(69,460)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(100,523)</w:t>
            </w:r>
          </w:p>
        </w:tc>
        <w:tc>
          <w:tcPr>
            <w:tcW w:w="0" w:type="dxa"/>
            <w:vAlign w:val="bottom"/>
          </w:tcPr>
          <w:p>
            <w:pPr>
              <w:spacing w:after="0"/>
              <w:rPr>
                <w:sz w:val="1"/>
                <w:szCs w:val="1"/>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(48,496)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(33,897)</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0.04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281,105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280,142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280,898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279,988</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281,105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280,172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283,190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280,093</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12,695</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86,149</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55,913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47,496</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61,290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61,596</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Impairment of investment in unconsolidated affiliate</w:t>
            </w:r>
          </w:p>
        </w:tc>
        <w:tc>
          <w:tcPr>
            <w:tcW w:w="2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9,613</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3,284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17,153</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Share-based compensation expense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24,034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14,955</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Accretion of asset retirement obligations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Unrealized foreign exchange (gain) loss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2,444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(5,610)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Unrealized loss (gain) on derivatives not designated as hedging instruments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(4,323)</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6,522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4,259</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(6,109)</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Accounts receivable</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(8,558)</w:t>
            </w:r>
          </w:p>
        </w:tc>
        <w:tc>
          <w:tcPr>
            <w:tcW w:w="0" w:type="dxa"/>
            <w:vAlign w:val="bottom"/>
          </w:tcPr>
          <w:p>
            <w:pPr>
              <w:spacing w:after="0"/>
              <w:rPr>
                <w:sz w:val="1"/>
                <w:szCs w:val="1"/>
                <w:color w:val="auto"/>
              </w:rPr>
            </w:pPr>
          </w:p>
        </w:tc>
      </w:tr>
      <w:tr>
        <w:trPr>
          <w:trHeight w:val="190"/>
        </w:trPr>
        <w:tc>
          <w:tcPr>
            <w:tcW w:w="8280" w:type="dxa"/>
            <w:vAlign w:val="bottom"/>
          </w:tcPr>
          <w:p>
            <w:pPr>
              <w:ind w:left="68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(866)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13,896</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(13,066)</w:t>
            </w:r>
          </w:p>
        </w:tc>
        <w:tc>
          <w:tcPr>
            <w:tcW w:w="0" w:type="dxa"/>
            <w:vAlign w:val="bottom"/>
          </w:tcPr>
          <w:p>
            <w:pPr>
              <w:spacing w:after="0"/>
              <w:rPr>
                <w:sz w:val="1"/>
                <w:szCs w:val="1"/>
                <w:color w:val="auto"/>
              </w:rPr>
            </w:pPr>
          </w:p>
        </w:tc>
      </w:tr>
      <w:tr>
        <w:trPr>
          <w:trHeight w:val="190"/>
        </w:trPr>
        <w:tc>
          <w:tcPr>
            <w:tcW w:w="8280" w:type="dxa"/>
            <w:vAlign w:val="bottom"/>
          </w:tcPr>
          <w:p>
            <w:pPr>
              <w:ind w:left="6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(17,412)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(13,367)</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Accrued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(11,389)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91"/>
        </w:trPr>
        <w:tc>
          <w:tcPr>
            <w:tcW w:w="8280" w:type="dxa"/>
            <w:vAlign w:val="bottom"/>
          </w:tcPr>
          <w:p>
            <w:pPr>
              <w:ind w:left="680"/>
              <w:spacing w:after="0"/>
              <w:rPr>
                <w:sz w:val="20"/>
                <w:szCs w:val="20"/>
                <w:color w:val="auto"/>
              </w:rPr>
            </w:pPr>
            <w:r>
              <w:rPr>
                <w:rFonts w:ascii="Arial" w:cs="Arial" w:eastAsia="Arial" w:hAnsi="Arial"/>
                <w:sz w:val="14"/>
                <w:szCs w:val="14"/>
                <w:color w:val="auto"/>
              </w:rPr>
              <w:t>Illinois EO litigation settlement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(407,712)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Georgia EO litigation settlement</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280" w:type="dxa"/>
            <w:vAlign w:val="bottom"/>
          </w:tcPr>
          <w:p>
            <w:pPr>
              <w:ind w:left="680"/>
              <w:spacing w:after="0"/>
              <w:rPr>
                <w:sz w:val="20"/>
                <w:szCs w:val="20"/>
                <w:color w:val="auto"/>
              </w:rPr>
            </w:pPr>
            <w:r>
              <w:rPr>
                <w:rFonts w:ascii="Arial" w:cs="Arial" w:eastAsia="Arial" w:hAnsi="Arial"/>
                <w:sz w:val="14"/>
                <w:szCs w:val="14"/>
                <w:color w:val="auto"/>
              </w:rPr>
              <w:t>Income taxes payable / receivable, net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(18,366)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(25,050)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191"/>
        </w:trPr>
        <w:tc>
          <w:tcPr>
            <w:tcW w:w="8280" w:type="dxa"/>
            <w:vAlign w:val="bottom"/>
          </w:tcPr>
          <w:p>
            <w:pPr>
              <w:ind w:left="680"/>
              <w:spacing w:after="0"/>
              <w:rPr>
                <w:sz w:val="20"/>
                <w:szCs w:val="20"/>
                <w:color w:val="auto"/>
              </w:rPr>
            </w:pPr>
            <w:r>
              <w:rPr>
                <w:rFonts w:ascii="Arial" w:cs="Arial" w:eastAsia="Arial" w:hAnsi="Arial"/>
                <w:sz w:val="14"/>
                <w:szCs w:val="14"/>
                <w:color w:val="auto"/>
              </w:rPr>
              <w:t>Other long-term assets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(4,171)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(4,259)</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(260,855)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176,035</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(150,149)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(110,642)</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Adjustment to purchase of Regulatory Compliance Associates Inc.</w:t>
            </w:r>
          </w:p>
        </w:tc>
        <w:tc>
          <w:tcPr>
            <w:tcW w:w="2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investing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(150,080)</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(110,158)</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500,000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 of revolving credit facility</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(200,000)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Payment of long-term borrowings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(1,250)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of debt issuance costs and debt discount</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(25,645)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(3,353)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269,752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(2,577)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(6,357)</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 including restricted cash</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(143,760)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58,037</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396,294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106,924</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cash,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252,534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164,961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paid during the period for interest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150,696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65,045</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Cash paid during the period for income taxes, net of tax refunds received</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42,587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56,474</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property, plant and equipment included in accounts payable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16,383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18,583</w:t>
            </w:r>
          </w:p>
        </w:tc>
        <w:tc>
          <w:tcPr>
            <w:tcW w:w="0" w:type="dxa"/>
            <w:vAlign w:val="bottom"/>
          </w:tcPr>
          <w:p>
            <w:pPr>
              <w:spacing w:after="0"/>
              <w:rPr>
                <w:sz w:val="1"/>
                <w:szCs w:val="1"/>
                <w:color w:val="auto"/>
              </w:rPr>
            </w:pPr>
          </w:p>
        </w:tc>
      </w:tr>
      <w:tr>
        <w:trPr>
          <w:trHeight w:val="39"/>
        </w:trPr>
        <w:tc>
          <w:tcPr>
            <w:tcW w:w="8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3"/>
              </w:rPr>
              <w:t>Three Months Ended September 30, 2023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214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Retained</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5"/>
              </w:rPr>
              <w:t>Treasury</w:t>
            </w: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Earnings /</w:t>
            </w:r>
          </w:p>
        </w:tc>
        <w:tc>
          <w:tcPr>
            <w:tcW w:w="120" w:type="dxa"/>
            <w:vAlign w:val="bottom"/>
          </w:tcPr>
          <w:p>
            <w:pPr>
              <w:spacing w:after="0"/>
              <w:rPr>
                <w:sz w:val="5"/>
                <w:szCs w:val="5"/>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5"/>
                <w:szCs w:val="5"/>
                <w:color w:val="auto"/>
              </w:rPr>
            </w:pPr>
          </w:p>
        </w:tc>
        <w:tc>
          <w:tcPr>
            <w:tcW w:w="780" w:type="dxa"/>
            <w:vAlign w:val="bottom"/>
            <w:vMerge w:val="restart"/>
          </w:tcPr>
          <w:p>
            <w:pPr>
              <w:jc w:val="center"/>
              <w:ind w:right="15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7"/>
        </w:trPr>
        <w:tc>
          <w:tcPr>
            <w:tcW w:w="3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760" w:type="dxa"/>
            <w:vAlign w:val="bottom"/>
          </w:tcPr>
          <w:p>
            <w:pPr>
              <w:spacing w:after="0"/>
              <w:rPr>
                <w:sz w:val="10"/>
                <w:szCs w:val="10"/>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(Accumulated</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79"/>
              </w:rPr>
              <w:t>Stock</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Deficit)</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(Loss) Income</w:t>
            </w:r>
          </w:p>
        </w:tc>
        <w:tc>
          <w:tcPr>
            <w:tcW w:w="200" w:type="dxa"/>
            <w:vAlign w:val="bottom"/>
          </w:tcPr>
          <w:p>
            <w:pPr>
              <w:spacing w:after="0"/>
              <w:rPr>
                <w:sz w:val="13"/>
                <w:szCs w:val="13"/>
                <w:color w:val="auto"/>
              </w:rPr>
            </w:pPr>
          </w:p>
        </w:tc>
        <w:tc>
          <w:tcPr>
            <w:tcW w:w="780" w:type="dxa"/>
            <w:vAlign w:val="bottom"/>
          </w:tcPr>
          <w:p>
            <w:pPr>
              <w:jc w:val="center"/>
              <w:ind w:right="132"/>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3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282,544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(28,700)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1,202,972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(679,461)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(79,304)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418,367</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7,600</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180"/>
              <w:spacing w:after="0"/>
              <w:rPr>
                <w:sz w:val="20"/>
                <w:szCs w:val="20"/>
                <w:color w:val="auto"/>
              </w:rPr>
            </w:pPr>
            <w:r>
              <w:rPr>
                <w:rFonts w:ascii="Arial" w:cs="Arial" w:eastAsia="Arial" w:hAnsi="Arial"/>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(32,996)</w:t>
            </w:r>
          </w:p>
        </w:tc>
        <w:tc>
          <w:tcPr>
            <w:tcW w:w="0" w:type="dxa"/>
            <w:vAlign w:val="bottom"/>
          </w:tcPr>
          <w:p>
            <w:pPr>
              <w:spacing w:after="0"/>
              <w:rPr>
                <w:sz w:val="1"/>
                <w:szCs w:val="1"/>
                <w:color w:val="auto"/>
              </w:rPr>
            </w:pPr>
          </w:p>
        </w:tc>
      </w:tr>
      <w:tr>
        <w:trPr>
          <w:trHeight w:val="191"/>
        </w:trPr>
        <w:tc>
          <w:tcPr>
            <w:tcW w:w="376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(1,714)</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(13,660)</w:t>
            </w:r>
          </w:p>
        </w:tc>
        <w:tc>
          <w:tcPr>
            <w:tcW w:w="0" w:type="dxa"/>
            <w:vAlign w:val="bottom"/>
          </w:tcPr>
          <w:p>
            <w:pPr>
              <w:spacing w:after="0"/>
              <w:rPr>
                <w:sz w:val="1"/>
                <w:szCs w:val="1"/>
                <w:color w:val="auto"/>
              </w:rPr>
            </w:pPr>
          </w:p>
        </w:tc>
      </w:tr>
      <w:tr>
        <w:trPr>
          <w:trHeight w:val="217"/>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282,623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(28,474)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1,210,346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(693,121)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(114,140)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377,471</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2"/>
        </w:trPr>
        <w:tc>
          <w:tcPr>
            <w:tcW w:w="3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3"/>
              </w:rPr>
              <w:t>Nine Months Ended September 30, 2023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3760" w:type="dxa"/>
            <w:vAlign w:val="bottom"/>
          </w:tcPr>
          <w:p>
            <w:pPr>
              <w:spacing w:after="0"/>
              <w:rPr>
                <w:sz w:val="21"/>
                <w:szCs w:val="21"/>
                <w:color w:val="auto"/>
              </w:rPr>
            </w:pPr>
          </w:p>
        </w:tc>
        <w:tc>
          <w:tcPr>
            <w:tcW w:w="214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Retained</w:t>
            </w: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37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5"/>
              </w:rPr>
              <w:t>Treasury</w:t>
            </w: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Earnings /</w:t>
            </w: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6"/>
                <w:szCs w:val="6"/>
                <w:color w:val="auto"/>
              </w:rPr>
            </w:pPr>
          </w:p>
        </w:tc>
        <w:tc>
          <w:tcPr>
            <w:tcW w:w="780" w:type="dxa"/>
            <w:vAlign w:val="bottom"/>
            <w:vMerge w:val="restart"/>
          </w:tcPr>
          <w:p>
            <w:pPr>
              <w:jc w:val="center"/>
              <w:ind w:right="15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34"/>
        </w:trPr>
        <w:tc>
          <w:tcPr>
            <w:tcW w:w="3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760" w:type="dxa"/>
            <w:vAlign w:val="bottom"/>
          </w:tcPr>
          <w:p>
            <w:pPr>
              <w:spacing w:after="0"/>
              <w:rPr>
                <w:sz w:val="11"/>
                <w:szCs w:val="11"/>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(Accumulated</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Comprehensive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79"/>
              </w:rPr>
              <w:t>Stock</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Deficit)</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(Loss) Income</w:t>
            </w:r>
          </w:p>
        </w:tc>
        <w:tc>
          <w:tcPr>
            <w:tcW w:w="200" w:type="dxa"/>
            <w:vAlign w:val="bottom"/>
          </w:tcPr>
          <w:p>
            <w:pPr>
              <w:spacing w:after="0"/>
              <w:rPr>
                <w:sz w:val="12"/>
                <w:szCs w:val="12"/>
                <w:color w:val="auto"/>
              </w:rPr>
            </w:pPr>
          </w:p>
        </w:tc>
        <w:tc>
          <w:tcPr>
            <w:tcW w:w="780" w:type="dxa"/>
            <w:vAlign w:val="bottom"/>
          </w:tcPr>
          <w:p>
            <w:pPr>
              <w:jc w:val="center"/>
              <w:ind w:right="132"/>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36"/>
        </w:trPr>
        <w:tc>
          <w:tcPr>
            <w:tcW w:w="37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282,421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(29,775)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1,189,622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(705,816)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(106,653)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350,238</w:t>
            </w: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20,724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22,025</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180"/>
              <w:spacing w:after="0"/>
              <w:rPr>
                <w:sz w:val="20"/>
                <w:szCs w:val="20"/>
                <w:color w:val="auto"/>
              </w:rPr>
            </w:pPr>
            <w:r>
              <w:rPr>
                <w:rFonts w:ascii="Arial" w:cs="Arial" w:eastAsia="Arial" w:hAnsi="Arial"/>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(159)</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191"/>
        </w:trPr>
        <w:tc>
          <w:tcPr>
            <w:tcW w:w="376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(6,963)</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12,695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12,695</w:t>
            </w:r>
          </w:p>
        </w:tc>
        <w:tc>
          <w:tcPr>
            <w:tcW w:w="0" w:type="dxa"/>
            <w:vAlign w:val="bottom"/>
          </w:tcPr>
          <w:p>
            <w:pPr>
              <w:spacing w:after="0"/>
              <w:rPr>
                <w:sz w:val="1"/>
                <w:szCs w:val="1"/>
                <w:color w:val="auto"/>
              </w:rPr>
            </w:pPr>
          </w:p>
        </w:tc>
      </w:tr>
      <w:tr>
        <w:trPr>
          <w:trHeight w:val="217"/>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282,623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(28,474)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1,210,346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(693,121)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(114,140)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377,471</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ind w:left="140"/>
              <w:spacing w:after="0"/>
              <w:rPr>
                <w:sz w:val="20"/>
                <w:szCs w:val="20"/>
                <w:color w:val="auto"/>
              </w:rPr>
            </w:pPr>
            <w:r>
              <w:rPr>
                <w:rFonts w:ascii="Arial" w:cs="Arial" w:eastAsia="Arial" w:hAnsi="Arial"/>
                <w:sz w:val="14"/>
                <w:szCs w:val="14"/>
                <w:b w:val="1"/>
                <w:bCs w:val="1"/>
                <w:color w:val="auto"/>
              </w:rPr>
              <w:t>Three Months Ended September 30, 2022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214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Retained</w:t>
            </w: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5"/>
              </w:rPr>
              <w:t>Treasury</w:t>
            </w:r>
          </w:p>
        </w:tc>
        <w:tc>
          <w:tcPr>
            <w:tcW w:w="160" w:type="dxa"/>
            <w:vAlign w:val="bottom"/>
          </w:tcPr>
          <w:p>
            <w:pPr>
              <w:spacing w:after="0"/>
              <w:rPr>
                <w:sz w:val="5"/>
                <w:szCs w:val="5"/>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5"/>
                <w:szCs w:val="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Earnings /</w:t>
            </w:r>
          </w:p>
        </w:tc>
        <w:tc>
          <w:tcPr>
            <w:tcW w:w="120" w:type="dxa"/>
            <w:vAlign w:val="bottom"/>
          </w:tcPr>
          <w:p>
            <w:pPr>
              <w:spacing w:after="0"/>
              <w:rPr>
                <w:sz w:val="5"/>
                <w:szCs w:val="5"/>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5"/>
                <w:szCs w:val="5"/>
                <w:color w:val="auto"/>
              </w:rPr>
            </w:pPr>
          </w:p>
        </w:tc>
        <w:tc>
          <w:tcPr>
            <w:tcW w:w="780" w:type="dxa"/>
            <w:vAlign w:val="bottom"/>
            <w:vMerge w:val="restart"/>
          </w:tcPr>
          <w:p>
            <w:pPr>
              <w:jc w:val="right"/>
              <w:ind w:right="3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47"/>
        </w:trPr>
        <w:tc>
          <w:tcPr>
            <w:tcW w:w="3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760" w:type="dxa"/>
            <w:vAlign w:val="bottom"/>
          </w:tcPr>
          <w:p>
            <w:pPr>
              <w:spacing w:after="0"/>
              <w:rPr>
                <w:sz w:val="10"/>
                <w:szCs w:val="10"/>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(Accumulated</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79"/>
              </w:rPr>
              <w:t>Stock</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Deficit)</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(Loss) Income</w:t>
            </w:r>
          </w:p>
        </w:tc>
        <w:tc>
          <w:tcPr>
            <w:tcW w:w="200" w:type="dxa"/>
            <w:vAlign w:val="bottom"/>
          </w:tcPr>
          <w:p>
            <w:pPr>
              <w:spacing w:after="0"/>
              <w:rPr>
                <w:sz w:val="13"/>
                <w:szCs w:val="13"/>
                <w:color w:val="auto"/>
              </w:rPr>
            </w:pPr>
          </w:p>
        </w:tc>
        <w:tc>
          <w:tcPr>
            <w:tcW w:w="780" w:type="dxa"/>
            <w:vAlign w:val="bottom"/>
          </w:tcPr>
          <w:p>
            <w:pPr>
              <w:jc w:val="right"/>
              <w:ind w:right="272"/>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3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282,902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(32,654)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1,181,995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(411,187)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(105,014)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636,000</w:t>
            </w: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(789)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4,626</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760" w:type="dxa"/>
            <w:vAlign w:val="bottom"/>
          </w:tcPr>
          <w:p>
            <w:pPr>
              <w:ind w:left="180"/>
              <w:spacing w:after="0"/>
              <w:rPr>
                <w:sz w:val="20"/>
                <w:szCs w:val="20"/>
                <w:color w:val="auto"/>
              </w:rPr>
            </w:pPr>
            <w:r>
              <w:rPr>
                <w:rFonts w:ascii="Arial" w:cs="Arial" w:eastAsia="Arial" w:hAnsi="Arial"/>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(69,460)</w:t>
            </w:r>
          </w:p>
        </w:tc>
        <w:tc>
          <w:tcPr>
            <w:tcW w:w="0" w:type="dxa"/>
            <w:vAlign w:val="bottom"/>
          </w:tcPr>
          <w:p>
            <w:pPr>
              <w:spacing w:after="0"/>
              <w:rPr>
                <w:sz w:val="1"/>
                <w:szCs w:val="1"/>
                <w:color w:val="auto"/>
              </w:rPr>
            </w:pPr>
          </w:p>
        </w:tc>
      </w:tr>
      <w:tr>
        <w:trPr>
          <w:trHeight w:val="190"/>
        </w:trPr>
        <w:tc>
          <w:tcPr>
            <w:tcW w:w="376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9,408</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25,090</w:t>
            </w:r>
          </w:p>
        </w:tc>
        <w:tc>
          <w:tcPr>
            <w:tcW w:w="0" w:type="dxa"/>
            <w:vAlign w:val="bottom"/>
          </w:tcPr>
          <w:p>
            <w:pPr>
              <w:spacing w:after="0"/>
              <w:rPr>
                <w:sz w:val="1"/>
                <w:szCs w:val="1"/>
                <w:color w:val="auto"/>
              </w:rPr>
            </w:pPr>
          </w:p>
        </w:tc>
      </w:tr>
      <w:tr>
        <w:trPr>
          <w:trHeight w:val="217"/>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282,113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(32,653)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1,186,620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(386,097)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(164,001)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606,729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ind w:left="180"/>
              <w:spacing w:after="0"/>
              <w:rPr>
                <w:sz w:val="20"/>
                <w:szCs w:val="20"/>
                <w:color w:val="auto"/>
              </w:rPr>
            </w:pPr>
            <w:r>
              <w:rPr>
                <w:rFonts w:ascii="Arial" w:cs="Arial" w:eastAsia="Arial" w:hAnsi="Arial"/>
                <w:sz w:val="14"/>
                <w:szCs w:val="14"/>
                <w:b w:val="1"/>
                <w:bCs w:val="1"/>
                <w:color w:val="auto"/>
              </w:rPr>
              <w:t>Nine Months Ended September 30, 2022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214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Retained</w:t>
            </w: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37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Treasury</w:t>
            </w: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Earnings /</w:t>
            </w: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6"/>
                <w:szCs w:val="6"/>
                <w:color w:val="auto"/>
              </w:rPr>
            </w:pPr>
          </w:p>
        </w:tc>
        <w:tc>
          <w:tcPr>
            <w:tcW w:w="780" w:type="dxa"/>
            <w:vAlign w:val="bottom"/>
            <w:vMerge w:val="restart"/>
          </w:tcPr>
          <w:p>
            <w:pPr>
              <w:jc w:val="right"/>
              <w:ind w:right="3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4"/>
        </w:trPr>
        <w:tc>
          <w:tcPr>
            <w:tcW w:w="3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760" w:type="dxa"/>
            <w:vAlign w:val="bottom"/>
          </w:tcPr>
          <w:p>
            <w:pPr>
              <w:spacing w:after="0"/>
              <w:rPr>
                <w:sz w:val="11"/>
                <w:szCs w:val="11"/>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(Accumulated</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Comprehensive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2"/>
                <w:szCs w:val="12"/>
                <w:color w:val="auto"/>
              </w:rPr>
            </w:pP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Stock</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Deficit)</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(Loss) Income</w:t>
            </w:r>
          </w:p>
        </w:tc>
        <w:tc>
          <w:tcPr>
            <w:tcW w:w="200" w:type="dxa"/>
            <w:vAlign w:val="bottom"/>
          </w:tcPr>
          <w:p>
            <w:pPr>
              <w:spacing w:after="0"/>
              <w:rPr>
                <w:sz w:val="12"/>
                <w:szCs w:val="12"/>
                <w:color w:val="auto"/>
              </w:rPr>
            </w:pPr>
          </w:p>
        </w:tc>
        <w:tc>
          <w:tcPr>
            <w:tcW w:w="780" w:type="dxa"/>
            <w:vAlign w:val="bottom"/>
          </w:tcPr>
          <w:p>
            <w:pPr>
              <w:jc w:val="right"/>
              <w:ind w:right="272"/>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36"/>
        </w:trPr>
        <w:tc>
          <w:tcPr>
            <w:tcW w:w="37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282,985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(33,545)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1,172,593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(472,246)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(83,566)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586,096</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(872)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14,919</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60" w:type="dxa"/>
            <w:vAlign w:val="bottom"/>
          </w:tcPr>
          <w:p>
            <w:pPr>
              <w:ind w:left="180"/>
              <w:spacing w:after="0"/>
              <w:rPr>
                <w:sz w:val="20"/>
                <w:szCs w:val="20"/>
                <w:color w:val="auto"/>
              </w:rPr>
            </w:pPr>
            <w:r>
              <w:rPr>
                <w:rFonts w:ascii="Arial" w:cs="Arial" w:eastAsia="Arial" w:hAnsi="Arial"/>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(100,523)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(100,523)</w:t>
            </w:r>
          </w:p>
        </w:tc>
        <w:tc>
          <w:tcPr>
            <w:tcW w:w="0" w:type="dxa"/>
            <w:vAlign w:val="bottom"/>
          </w:tcPr>
          <w:p>
            <w:pPr>
              <w:spacing w:after="0"/>
              <w:rPr>
                <w:sz w:val="1"/>
                <w:szCs w:val="1"/>
                <w:color w:val="auto"/>
              </w:rPr>
            </w:pPr>
          </w:p>
        </w:tc>
      </w:tr>
      <w:tr>
        <w:trPr>
          <w:trHeight w:val="190"/>
        </w:trPr>
        <w:tc>
          <w:tcPr>
            <w:tcW w:w="376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18,765</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86,149</w:t>
            </w:r>
          </w:p>
        </w:tc>
        <w:tc>
          <w:tcPr>
            <w:tcW w:w="0" w:type="dxa"/>
            <w:vAlign w:val="bottom"/>
          </w:tcPr>
          <w:p>
            <w:pPr>
              <w:spacing w:after="0"/>
              <w:rPr>
                <w:sz w:val="1"/>
                <w:szCs w:val="1"/>
                <w:color w:val="auto"/>
              </w:rPr>
            </w:pPr>
          </w:p>
        </w:tc>
      </w:tr>
      <w:tr>
        <w:trPr>
          <w:trHeight w:val="217"/>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282,113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(32,653)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1,186,620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(386,097)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(164,001)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606,729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Sotera Health Company (also referred to herein as the “Company,” “we,” “our,” “us” or “its”), is a leading global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mission-critical end-to-end sterilization solutions, lab testing and advisory services for the healthcare industry with operations primarily in the Americas, Europe and Asia.</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operate and report in three segments, Sterigenics, Nordion and Nelson Labs. We describe our reportable segments in Note 17, “Segment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2020, we acquired a 60% equity ownership interest in a joint venture to construct an E-beam facility in Alberta, Canada in connection with our acquisition of Iotron Industries Canada, Inc. (“Iotron”). Our equity ownership interest in the joint venture was determined to be an investment in a variable interest entity (“VIE”). The investment was not consolidated as the Company concluded that it was not the primary beneficiary of the VIE. The Company accounted for the joint venture using the equity method.</w:t>
      </w:r>
    </w:p>
    <w:p>
      <w:pPr>
        <w:spacing w:after="0" w:line="18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During the year ended December 31, 2022, we identified certain events and circumstances that indicated a decline in value of our investment in this joint venture that was other-than-temporary. Consequently, in the second quarter of 2022, we wrote down the investment in the joint venture to its fair value of $0, resulting in an impairment charge of approximately $9.6 million. In February 2023, we entered into a Share Purchase Agreement to transfer our equity ownership interest to the joint venture partner, thereby terminating our equity ownership interest.</w:t>
      </w:r>
    </w:p>
    <w:p>
      <w:pPr>
        <w:spacing w:after="0" w:line="17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In preparing our consolidated financial statements in conformity with U.S. Generally Accepted Accounting Principles (“GAAP”), we</w:t>
      </w:r>
      <w:r>
        <w:rPr>
          <w:rFonts w:ascii="Arial" w:cs="Arial" w:eastAsia="Arial" w:hAnsi="Arial"/>
          <w:sz w:val="18"/>
          <w:szCs w:val="18"/>
          <w:i w:val="1"/>
          <w:iCs w:val="1"/>
          <w:color w:val="auto"/>
        </w:rPr>
        <w:t xml:space="preserve"> </w:t>
      </w:r>
      <w:r>
        <w:rPr>
          <w:rFonts w:ascii="Arial" w:cs="Arial" w:eastAsia="Arial" w:hAnsi="Arial"/>
          <w:sz w:val="18"/>
          <w:szCs w:val="18"/>
          <w:color w:val="auto"/>
        </w:rPr>
        <w:t>make estimates and assumptions that affect the amounts reported and the accompanying notes. We regularly evaluate the estimates and assumptions used and revise them as new information becomes available. Actual results may vary from those estimates.</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Interim Financial Statements </w:t>
      </w:r>
      <w:r>
        <w:rPr>
          <w:rFonts w:ascii="Arial" w:cs="Arial" w:eastAsia="Arial" w:hAnsi="Arial"/>
          <w:sz w:val="17"/>
          <w:szCs w:val="17"/>
          <w:color w:val="auto"/>
        </w:rPr>
        <w:t>– The accompanying consolidated financial statements include the assets, liabilities, operating results, and cash flows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wholly owned subsidiaries. These financial statements are prepared in accordance with GAAP for interim financial information, the instructions to the Quarterly Report on Form 10-Q and Rule 10-01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in our 2022 10-K.</w:t>
      </w:r>
    </w:p>
    <w:p>
      <w:pPr>
        <w:spacing w:after="0" w:line="28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Effective January 1, 2023, we adopted </w:t>
      </w:r>
      <w:r>
        <w:rPr>
          <w:rFonts w:ascii="Arial" w:cs="Arial" w:eastAsia="Arial" w:hAnsi="Arial"/>
          <w:sz w:val="18"/>
          <w:szCs w:val="18"/>
          <w:i w:val="1"/>
          <w:iCs w:val="1"/>
          <w:color w:val="auto"/>
        </w:rPr>
        <w:t>ASU 2021-08 - 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2021-08”). The amendments in ASU 2021-08 require that an acquiring entity recognize and measure contract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liabilities acquired in a business combination in accordance with Accounting Standards Codification (“ASC”) Topic 606, Revenue from Contracts with Customers (“ASC Topic 606”). At the acquisition date, an acquirer should account for the related revenue contracts in accordance with ASC Topic 606 as if it had originated the contracts. The adoption of this standard did not have a material impact on our consolidated financial statements and disclosures.</w:t>
      </w:r>
    </w:p>
    <w:p>
      <w:pPr>
        <w:spacing w:after="0" w:line="29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disaggregated net revenues from contracts with external customers by timing of revenue and by segment for the three and nine months ended September 30, 2023 and 2022:</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200" w:type="dxa"/>
            <w:vAlign w:val="bottom"/>
            <w:gridSpan w:val="2"/>
          </w:tcPr>
          <w:p>
            <w:pPr>
              <w:ind w:left="340"/>
              <w:spacing w:after="0"/>
              <w:rPr>
                <w:sz w:val="20"/>
                <w:szCs w:val="20"/>
                <w:color w:val="auto"/>
              </w:rPr>
            </w:pPr>
            <w:r>
              <w:rPr>
                <w:rFonts w:ascii="Arial" w:cs="Arial" w:eastAsia="Arial" w:hAnsi="Arial"/>
                <w:sz w:val="14"/>
                <w:szCs w:val="14"/>
                <w:b w:val="1"/>
                <w:bCs w:val="1"/>
                <w:color w:val="auto"/>
              </w:rPr>
              <w:t>Three Months Ended September 30, 2023</w:t>
            </w:r>
          </w:p>
        </w:tc>
        <w:tc>
          <w:tcPr>
            <w:tcW w:w="1420" w:type="dxa"/>
            <w:vAlign w:val="bottom"/>
          </w:tcPr>
          <w:p>
            <w:pPr>
              <w:spacing w:after="0"/>
              <w:rPr>
                <w:sz w:val="14"/>
                <w:szCs w:val="14"/>
                <w:color w:val="auto"/>
              </w:rPr>
            </w:pPr>
          </w:p>
        </w:tc>
      </w:tr>
      <w:tr>
        <w:trPr>
          <w:trHeight w:val="48"/>
        </w:trPr>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184"/>
        </w:trPr>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80" w:type="dxa"/>
            <w:vAlign w:val="bottom"/>
          </w:tcPr>
          <w:p>
            <w:pPr>
              <w:ind w:left="380"/>
              <w:spacing w:after="0"/>
              <w:rPr>
                <w:sz w:val="20"/>
                <w:szCs w:val="20"/>
                <w:color w:val="auto"/>
              </w:rPr>
            </w:pPr>
            <w:r>
              <w:rPr>
                <w:rFonts w:ascii="Arial" w:cs="Arial" w:eastAsia="Arial" w:hAnsi="Arial"/>
                <w:sz w:val="14"/>
                <w:szCs w:val="14"/>
                <w:b w:val="1"/>
                <w:bCs w:val="1"/>
                <w:color w:val="auto"/>
              </w:rPr>
              <w:t>Sterigenics</w:t>
            </w:r>
          </w:p>
        </w:tc>
        <w:tc>
          <w:tcPr>
            <w:tcW w:w="1560" w:type="dxa"/>
            <w:vAlign w:val="bottom"/>
          </w:tcPr>
          <w:p>
            <w:pPr>
              <w:ind w:left="600"/>
              <w:spacing w:after="0"/>
              <w:rPr>
                <w:sz w:val="20"/>
                <w:szCs w:val="20"/>
                <w:color w:val="auto"/>
              </w:rPr>
            </w:pPr>
            <w:r>
              <w:rPr>
                <w:rFonts w:ascii="Arial" w:cs="Arial" w:eastAsia="Arial" w:hAnsi="Arial"/>
                <w:sz w:val="14"/>
                <w:szCs w:val="14"/>
                <w:b w:val="1"/>
                <w:bCs w:val="1"/>
                <w:color w:val="auto"/>
              </w:rPr>
              <w:t>Nordion</w:t>
            </w: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Nelson Labs</w:t>
            </w:r>
          </w:p>
        </w:tc>
        <w:tc>
          <w:tcPr>
            <w:tcW w:w="1420" w:type="dxa"/>
            <w:vAlign w:val="bottom"/>
          </w:tcPr>
          <w:p>
            <w:pPr>
              <w:ind w:left="300"/>
              <w:spacing w:after="0"/>
              <w:rPr>
                <w:sz w:val="20"/>
                <w:szCs w:val="20"/>
                <w:color w:val="auto"/>
              </w:rPr>
            </w:pPr>
            <w:r>
              <w:rPr>
                <w:rFonts w:ascii="Arial" w:cs="Arial" w:eastAsia="Arial" w:hAnsi="Arial"/>
                <w:sz w:val="14"/>
                <w:szCs w:val="14"/>
                <w:b w:val="1"/>
                <w:bCs w:val="1"/>
                <w:color w:val="auto"/>
              </w:rPr>
              <w:t>Consolidated</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168,347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205,415</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54,732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57,762</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168,347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40,098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54,732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263,177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Consolidated</w:t>
            </w: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191,553</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57,151</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157,723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 September 30, 2023</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Consolidated</w:t>
            </w:r>
          </w:p>
        </w:tc>
      </w:tr>
      <w:tr>
        <w:trPr>
          <w:trHeight w:val="39"/>
        </w:trPr>
        <w:tc>
          <w:tcPr>
            <w:tcW w:w="20" w:type="dxa"/>
            <w:vAlign w:val="bottom"/>
            <w:tcBorders>
              <w:bottom w:val="single" w:sz="8" w:color="CCEEFF"/>
            </w:tcBorders>
          </w:tcPr>
          <w:p>
            <w:pPr>
              <w:spacing w:after="0"/>
              <w:rPr>
                <w:sz w:val="3"/>
                <w:szCs w:val="3"/>
                <w:color w:val="auto"/>
              </w:rPr>
            </w:pPr>
          </w:p>
        </w:tc>
        <w:tc>
          <w:tcPr>
            <w:tcW w:w="52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570,243</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163,491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168,806</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494,934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80,624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163,491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739,049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 September 30, 2022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Consolidated</w:t>
            </w:r>
          </w:p>
        </w:tc>
      </w:tr>
      <w:tr>
        <w:trPr>
          <w:trHeight w:val="39"/>
        </w:trPr>
        <w:tc>
          <w:tcPr>
            <w:tcW w:w="20" w:type="dxa"/>
            <w:vAlign w:val="bottom"/>
            <w:tcBorders>
              <w:bottom w:val="single" w:sz="8" w:color="CCEEFF"/>
            </w:tcBorders>
          </w:tcPr>
          <w:p>
            <w:pPr>
              <w:spacing w:after="0"/>
              <w:rPr>
                <w:sz w:val="3"/>
                <w:szCs w:val="3"/>
                <w:color w:val="auto"/>
              </w:rPr>
            </w:pPr>
          </w:p>
        </w:tc>
        <w:tc>
          <w:tcPr>
            <w:tcW w:w="52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578,478</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167,569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173,619</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167,569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When we receive consideration from a customer prior to transferring goods or services under the terms of a sales contract, we record deferred revenue, which represents a contract liability. Deferred revenue totaled $12.7 million and $12.1 million at September 30, 2023 and December 31, 2022, respectively. We recognize deferred revenue after all revenue recognition criteria are met.</w:t>
      </w:r>
    </w:p>
    <w:p>
      <w:pPr>
        <w:spacing w:after="0" w:line="28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Regulatory Compliance Associates Inc.</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4, 2021, we acquired Regulatory Compliance Associates Inc. (“RCA”) for approximately $30.6 million, net of $0.6 million of cash acquired. RCA is an industry leader in providing life sciences consulting focused on quality, regulatory, and technical advisory services for the pharmaceutical, medical device and combination device industries. Headquartered in Pleasant Prairie, Wisconsin, RCA expands and further strengthens our technical consulting and expert advisory capabilities within our Nelson Labs segment.</w:t>
      </w:r>
    </w:p>
    <w:p>
      <w:pPr>
        <w:spacing w:after="0" w:line="18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purchase price of RCA was allocated to the underlying assets acquired and liabilities assumed based upon management's estimated fair values at the date of acquisition. As of September 30, 2023, approximately $25.3 million of goodwill was recorded related to the RCA acquisition, representing the excess of the purchase price over the estimated fair values of all the assets acquired and liabilities assumed. We also recorded $6.4 million of finite-lived intangible assets, primarily related to customer relationships. We funded this acquisition using available cash. The acquisition price and the results of operations for this acquired entity are not material in relation to our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left="413"/>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33,563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590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38,040</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w w:val="95"/>
              </w:rPr>
              <w:t>(116)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center"/>
              <w:ind w:right="168"/>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37,924</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37,145</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2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gridSpan w:val="3"/>
          </w:tcPr>
          <w:p>
            <w:pPr>
              <w:spacing w:after="0"/>
              <w:rPr>
                <w:sz w:val="20"/>
                <w:szCs w:val="20"/>
                <w:color w:val="auto"/>
              </w:rPr>
            </w:pPr>
            <w:r>
              <w:rPr>
                <w:rFonts w:ascii="Arial" w:cs="Arial" w:eastAsia="Arial" w:hAnsi="Arial"/>
                <w:sz w:val="18"/>
                <w:szCs w:val="18"/>
                <w:color w:val="auto"/>
                <w:w w:val="94"/>
              </w:rPr>
              <w:t>Prepaid expenses and other current assets consisted of the following:</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September 30, 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5220" w:type="dxa"/>
            <w:vAlign w:val="bottom"/>
            <w:tcBorders>
              <w:bottom w:val="single" w:sz="8" w:color="CCEEFF"/>
            </w:tcBorders>
            <w:gridSpan w:val="2"/>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taxes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29,515</w:t>
            </w:r>
          </w:p>
        </w:tc>
        <w:tc>
          <w:tcPr>
            <w:tcW w:w="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Prepaid business insurance</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rent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Customer contract assets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25,531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Current deposits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Value added tax receivable</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software licensing</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Stock supplies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Embedded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10,965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84,201</w:t>
            </w:r>
          </w:p>
        </w:tc>
        <w:tc>
          <w:tcPr>
            <w:tcW w:w="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7.  Goodwill and Other Intangible Assets</w:t>
            </w: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2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6"/>
          </w:tcPr>
          <w:p>
            <w:pPr>
              <w:spacing w:after="0"/>
              <w:rPr>
                <w:sz w:val="20"/>
                <w:szCs w:val="20"/>
                <w:color w:val="auto"/>
              </w:rPr>
            </w:pPr>
            <w:r>
              <w:rPr>
                <w:rFonts w:ascii="Arial" w:cs="Arial" w:eastAsia="Arial" w:hAnsi="Arial"/>
                <w:sz w:val="18"/>
                <w:szCs w:val="18"/>
                <w:color w:val="auto"/>
                <w:w w:val="95"/>
              </w:rPr>
              <w:t>Changes to goodwill during the nine months ended September 30, 2023 were as follows: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0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Sterigenics</w:t>
            </w:r>
          </w:p>
        </w:tc>
        <w:tc>
          <w:tcPr>
            <w:tcW w:w="280" w:type="dxa"/>
            <w:vAlign w:val="bottom"/>
          </w:tcPr>
          <w:p>
            <w:pPr>
              <w:spacing w:after="0"/>
              <w:rPr>
                <w:sz w:val="24"/>
                <w:szCs w:val="24"/>
                <w:color w:val="auto"/>
              </w:rPr>
            </w:pPr>
          </w:p>
        </w:tc>
        <w:tc>
          <w:tcPr>
            <w:tcW w:w="108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Nordion</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Nelson Labs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Goodwill at December 31, 2022</w:t>
            </w: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657,458</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center"/>
              <w:ind w:left="413"/>
              <w:spacing w:after="0"/>
              <w:rPr>
                <w:sz w:val="20"/>
                <w:szCs w:val="20"/>
                <w:color w:val="auto"/>
              </w:rPr>
            </w:pPr>
            <w:r>
              <w:rPr>
                <w:rFonts w:ascii="Arial" w:cs="Arial" w:eastAsia="Arial" w:hAnsi="Arial"/>
                <w:sz w:val="18"/>
                <w:szCs w:val="18"/>
                <w:color w:val="auto"/>
                <w:w w:val="89"/>
              </w:rPr>
              <w:t>270,966</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4"/>
          </w:tcPr>
          <w:p>
            <w:pPr>
              <w:ind w:left="560"/>
              <w:spacing w:after="0"/>
              <w:rPr>
                <w:sz w:val="20"/>
                <w:szCs w:val="20"/>
                <w:color w:val="auto"/>
              </w:rPr>
            </w:pPr>
            <w:r>
              <w:rPr>
                <w:rFonts w:ascii="Arial" w:cs="Arial" w:eastAsia="Arial" w:hAnsi="Arial"/>
                <w:sz w:val="18"/>
                <w:szCs w:val="18"/>
                <w:color w:val="auto"/>
                <w:w w:val="92"/>
              </w:rPr>
              <w:t>173,344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1,101,768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due to foreign currency exchange rates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Goodwill at September 30, 2023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657,589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gridSpan w:val="3"/>
          </w:tcPr>
          <w:p>
            <w:pPr>
              <w:jc w:val="center"/>
              <w:ind w:left="413"/>
              <w:spacing w:after="0"/>
              <w:rPr>
                <w:sz w:val="20"/>
                <w:szCs w:val="20"/>
                <w:color w:val="auto"/>
              </w:rPr>
            </w:pPr>
            <w:r>
              <w:rPr>
                <w:rFonts w:ascii="Arial" w:cs="Arial" w:eastAsia="Arial" w:hAnsi="Arial"/>
                <w:sz w:val="18"/>
                <w:szCs w:val="18"/>
                <w:b w:val="1"/>
                <w:bCs w:val="1"/>
                <w:color w:val="auto"/>
                <w:w w:val="89"/>
              </w:rPr>
              <w:t>270,276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w w:val="92"/>
              </w:rPr>
              <w:t>172,946</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1,100,811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36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8"/>
                <w:szCs w:val="18"/>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85"/>
        </w:trPr>
        <w:tc>
          <w:tcPr>
            <w:tcW w:w="20" w:type="dxa"/>
            <w:vAlign w:val="bottom"/>
          </w:tcPr>
          <w:p>
            <w:pPr>
              <w:spacing w:after="0"/>
              <w:rPr>
                <w:sz w:val="16"/>
                <w:szCs w:val="16"/>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 2023</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652,421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466,828</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54,474</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1,081</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1,748</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203,865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101,918</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2,647</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955,346</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628,696</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76,781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25,681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102,462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1,057,808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628,696</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24"/>
                <w:szCs w:val="2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75"/>
        </w:trPr>
        <w:tc>
          <w:tcPr>
            <w:tcW w:w="20" w:type="dxa"/>
            <w:vAlign w:val="bottom"/>
          </w:tcPr>
          <w:p>
            <w:pPr>
              <w:spacing w:after="0"/>
              <w:rPr>
                <w:sz w:val="15"/>
                <w:szCs w:val="15"/>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652,811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422,277</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50,952</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204,391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93,034</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959,264</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570,626</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74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102,627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1,061,891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570,626</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60" w:hanging="332"/>
        <w:spacing w:after="0"/>
        <w:tabs>
          <w:tab w:leader="none" w:pos="335"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75 years of history.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pacing w:after="0" w:line="225"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Amortization expense for other intangible assets was $20.2 million ($4.4 million is included in “Cost of revenues”) and $61.3 million ($13.2 million is included in “Cost of revenues”) in the Consolidated Statements of Operations and Comprehensive Income (Loss) for the three and nine months ended September 30, 2023, respectively.</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Amortization expense for other intangible assets was $20.2 million ($4.5 million is included in “Cost of revenues”) and $61.6 million ($14.3 million is included in “Cost of revenues”) in the Consolidated Statements of Operations and Comprehensive Income (Loss) for the three and nine months ended September 30,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 the remainder of 2023</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19,988</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79,336</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42,208</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22,130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21,053</w:t>
            </w:r>
          </w:p>
        </w:tc>
      </w:tr>
      <w:tr>
        <w:trPr>
          <w:trHeight w:val="243"/>
        </w:trPr>
        <w:tc>
          <w:tcPr>
            <w:tcW w:w="20" w:type="dxa"/>
            <w:vAlign w:val="bottom"/>
          </w:tcPr>
          <w:p>
            <w:pPr>
              <w:spacing w:after="0"/>
              <w:rPr>
                <w:sz w:val="21"/>
                <w:szCs w:val="21"/>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141,935</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326,650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useful life of the finite-lived intangible assets was approximately nine years as of September 30, 2023.</w:t>
      </w:r>
    </w:p>
    <w:p>
      <w:pPr>
        <w:spacing w:after="0" w:line="3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6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20"/>
                <w:szCs w:val="20"/>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2660" w:type="dxa"/>
            <w:vAlign w:val="bottom"/>
            <w:tcBorders>
              <w:bottom w:val="single" w:sz="8" w:color="CCEEFF"/>
            </w:tcBorders>
          </w:tcPr>
          <w:p>
            <w:pPr>
              <w:spacing w:after="0"/>
              <w:rPr>
                <w:sz w:val="3"/>
                <w:szCs w:val="3"/>
                <w:color w:val="auto"/>
              </w:rPr>
            </w:pPr>
          </w:p>
        </w:tc>
        <w:tc>
          <w:tcPr>
            <w:tcW w:w="37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3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Georgia EO litigation settlement reserve</w:t>
            </w:r>
          </w:p>
        </w:tc>
        <w:tc>
          <w:tcPr>
            <w:tcW w:w="3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Illinois EO litigation settlement reserve</w:t>
            </w:r>
          </w:p>
        </w:tc>
        <w:tc>
          <w:tcPr>
            <w:tcW w:w="3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Legal reserves</w:t>
            </w:r>
          </w:p>
        </w:tc>
        <w:tc>
          <w:tcPr>
            <w:tcW w:w="3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3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Embedded derivatives</w:t>
            </w:r>
          </w:p>
        </w:tc>
        <w:tc>
          <w:tcPr>
            <w:tcW w:w="3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Accrued utilities</w:t>
            </w:r>
          </w:p>
        </w:tc>
        <w:tc>
          <w:tcPr>
            <w:tcW w:w="3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1,946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3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3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3,507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37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780" w:type="dxa"/>
            <w:vAlign w:val="bottom"/>
            <w:vMerge w:val="restart"/>
          </w:tcPr>
          <w:p>
            <w:pPr>
              <w:jc w:val="right"/>
              <w:ind w:right="221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2660" w:type="dxa"/>
            <w:vAlign w:val="bottom"/>
            <w:tcBorders>
              <w:bottom w:val="single" w:sz="8" w:color="9A9A9A"/>
            </w:tcBorders>
          </w:tcPr>
          <w:p>
            <w:pPr>
              <w:spacing w:after="0"/>
              <w:rPr>
                <w:sz w:val="12"/>
                <w:szCs w:val="12"/>
                <w:color w:val="auto"/>
              </w:rPr>
            </w:pPr>
          </w:p>
        </w:tc>
        <w:tc>
          <w:tcPr>
            <w:tcW w:w="37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Unamortized Debt</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Unamortized Debt</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2023</w:t>
            </w: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Issuance Costs</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Discount</w:t>
            </w:r>
          </w:p>
        </w:tc>
        <w:tc>
          <w:tcPr>
            <w:tcW w:w="260" w:type="dxa"/>
            <w:vAlign w:val="bottom"/>
          </w:tcPr>
          <w:p>
            <w:pPr>
              <w:spacing w:after="0"/>
              <w:rPr>
                <w:sz w:val="16"/>
                <w:szCs w:val="16"/>
                <w:color w:val="auto"/>
              </w:rPr>
            </w:pPr>
          </w:p>
        </w:tc>
        <w:tc>
          <w:tcPr>
            <w:tcW w:w="1300" w:type="dxa"/>
            <w:vAlign w:val="bottom"/>
          </w:tcPr>
          <w:p>
            <w:pPr>
              <w:jc w:val="right"/>
              <w:ind w:right="31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1,750,185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Term loan B, due 2026</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498,750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(13,357)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477,390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2,262,300</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(24,512)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2,228,024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2,256,850</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2,222,789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(thousands of U.S. dollars)</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7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Unamortized Debt</w:t>
            </w:r>
          </w:p>
        </w:tc>
        <w:tc>
          <w:tcPr>
            <w:tcW w:w="16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Unamortized Debt</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Issuance Costs</w:t>
            </w: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Discount</w:t>
            </w:r>
          </w:p>
        </w:tc>
        <w:tc>
          <w:tcPr>
            <w:tcW w:w="260" w:type="dxa"/>
            <w:vAlign w:val="bottom"/>
          </w:tcPr>
          <w:p>
            <w:pPr>
              <w:spacing w:after="0"/>
              <w:rPr>
                <w:sz w:val="17"/>
                <w:szCs w:val="17"/>
                <w:color w:val="auto"/>
              </w:rPr>
            </w:pPr>
          </w:p>
        </w:tc>
        <w:tc>
          <w:tcPr>
            <w:tcW w:w="1300" w:type="dxa"/>
            <w:vAlign w:val="bottom"/>
          </w:tcPr>
          <w:p>
            <w:pPr>
              <w:jc w:val="right"/>
              <w:ind w:right="31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470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1,763,100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1,747,115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196,672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1,963,550</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1,944,234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200,450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197,119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1,763,100</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1,747,115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Term Loan mature on June 13, 2026 and December 13, 2026, respectively. After giving effect to the Revolving Credit Facility Amendment (defined below),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 As of September 30, 2023 and December 31, 2022, total borrowings under the Term Loan were $1,763.1 million. The weighted average interest rate on borrowings under the Term Loan for the three months ended September 30, 2023 and September 30, 2022 was 8.14% and 4.96%, respectively, and 7.82% and 3.92% for the nine months ended September 30, 2023 and September 30, 2022, respectively.</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February 23, 2023, we entered into the First Lien Credit Agreement (the “2023 Credit Agreement”), which provides for, among other things, a new Term Loan B facility (the “2023 Term Loan”) in an aggregate principal amount of $500.0 million and bears interest, at the Company’s option, at a variable rate per annum equal to either (x) the Term Secured Overnight Financing Rate (“Term SOFR”)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the 2023 Term Loan to fund a previously announced $408.0 million EO litigation settlement in Cook County, Illinois and pay down the $200.0 million of existing borrowings under the Revolving Credit Facility concurrent with the funding of the 2023 Term Loan on February 23, 2023. In addition, the Company plans to use the remaining proceeds to further enhance liquidity and for general corporate purposes. The weighted average interest rate on borrowings under the 2023 Term Loan for the three and nine months ended September 30, 2023 was 8.84% and 8.83%, respectively.</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March 21, 2023, the Company entered into an Incremental Facility Amendment to the Credit Agreement (“Revolving Credit Facility Amendment”), which provides for an increase in the commitments under the existing Revolving Credit Facility in an aggregate principal amount of $76.3 million. In addition, certain of the lenders providing revolving credit commitments provided additional commitments for the issuance of the letters of credit under the Revolving Credit Facility in an aggregate principal amount of $165.1 million. The Revolving Credit Facility Amendment also provides for the replacement of the reference interest rate option for Revolving Loans from London Interbank Offered Rate (“LIBOR”) to Secured Overnight Financing Rate (“SOFR”) plus an applicable credit spread adjustment of 0.10% (subject to a minimum floor of 0.00%). After giving effect to the Revolving Credit Facility Amendment, the aggregate amount of the lenders’ revolving commitments is $423.8 million. The maturity date of the Revolving Credit Facility remains June 13, 2026. The Company borrowed $200.0 million under the Revolving Credit Facility during the fourth quarter of 2022, which was repaid in the first quarter of 2023, as noted above. As of September 30, 2023, there were no borrowings outstanding under the Revolving Credit Facility.</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Senior Secured Credit Facilities and 2023 Credit Agreement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and 2023 Credit Agreement. The Senior Secured Credit Facilities and 2023 Credit Agreement also contain certain customary affirmative covenants and events of default, including upon a change of control. An event of default under the Senior Secured Credit Facilities and 2023 Credit Agreement would occur if the Company or certain of its subsidiaries received one or more enforceable judgments for payment in an aggregate amount in excess of $100.0 million, which judgment or judgments are not stayed or remain undischarged for a period of 60 consecutive days or if, in order to enforce such a judgment, a judgment creditor attached or levied upon assets that are material to the business and operations, taken as a whole, of the Company and certain of its subsidiaries. As of September 30, 2023, we were in compliance with all of the Senior Secured Credit Facilities and 2023 Credit Agreement covenants.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of SHH’s obligations under the Senior Secured Credit Facilities and 2023 Credit Agreement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2023 Credit Agreement, and the guarantees of such obligations, are secured by substantially all assets of the borrower and guarantors, subject to permitted liens and other exceptions and exclusions, as outlined in the Senior Secured Credit Facilities and 2023 Credit Agreement.</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September 30, 2023, the Company had $24.0 million of letters of credit issued against the Revolving Credit Facility, resulting in total availability under the Revolving Credit Facility of $399.8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The Company utilizes interest rate derivatives to reduce the variability of cash flows in the interest payments associated with our variable rate debt due to changes in LIBOR (up to June 22, 2023) and Term SOFR. For additional information on the derivative instruments described above, refer to Note 16, “Financial Instruments and Financial Risk”, </w:t>
      </w:r>
      <w:r>
        <w:rPr>
          <w:rFonts w:ascii="Arial" w:cs="Arial" w:eastAsia="Arial" w:hAnsi="Arial"/>
          <w:sz w:val="18"/>
          <w:szCs w:val="18"/>
          <w:i w:val="1"/>
          <w:iCs w:val="1"/>
          <w:color w:val="auto"/>
        </w:rPr>
        <w:t>“Derivative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 Transition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Publication of all U.S. LIBOR tenors ceased after June 30, 2023. To align with the market phaseout of LIBOR, SHH entered into an amendment to the Senior Secured Credit Facilities to replace the LIBOR-based reference interest rate option under the Term Loan with a reference interest rate option based on Term SOFR plus an applicable credit spread adjustment of 0.11448% (for one-month interest periods), 0.26161% (for three-month interest periods) and 0.42826% (for six-month interest periods) (in all cases, subject to a minimum floor of 0.50%).</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In accordance with ASC 848 </w:t>
      </w:r>
      <w:r>
        <w:rPr>
          <w:rFonts w:ascii="Arial" w:cs="Arial" w:eastAsia="Arial" w:hAnsi="Arial"/>
          <w:sz w:val="18"/>
          <w:szCs w:val="18"/>
          <w:i w:val="1"/>
          <w:iCs w:val="1"/>
          <w:color w:val="auto"/>
        </w:rPr>
        <w:t>Reference Rate Reform</w:t>
      </w:r>
      <w:r>
        <w:rPr>
          <w:rFonts w:ascii="Arial" w:cs="Arial" w:eastAsia="Arial" w:hAnsi="Arial"/>
          <w:sz w:val="18"/>
          <w:szCs w:val="18"/>
          <w:color w:val="auto"/>
        </w:rPr>
        <w:t>, we have elected to apply certain optional expedients for contract modifications and hedging relationships for derivative instruments impacted by the benchmark interest rate transition. The optional expedients remove the requirement to remeasure contract modifications or dedesignate hedging relationships impacted by reference rate reform.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long-term debt, excluding debt discounts, as of September 30,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2,250,600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2,262,300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Income tax expense for the three months ended September 30, 2023 differed from the statutory rate primarily due to a net increase in the valuation allowance attributable to the limitation on the deductibility of interest expense, the impact of the foreign rate differential, and global intangible low-tax income (“GILTI”), partially offset by a benefit for state income taxes. The increase in the valuation allowance was a direct result of the $35.0 million Georgia EO litigation settlement, as described in Note 15, “Commitments and Contingencies”. Income tax expense for the three months ended September 30, 2022 differed from the statutory rate primarily due to a net increase in the valuation allowance, the impact of the foreign rate differential, and GILTI. The increase in the valuation allowance for the three months ended September 30, 2022 was attributable to the limitation on the deductibility of interest expense and the impairment of an investment in a joint venture.</w:t>
      </w:r>
    </w:p>
    <w:p>
      <w:pPr>
        <w:spacing w:after="0" w:line="1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Income tax expense for the nine months ended September 30, 2023 differed from the statutory rate primarily due to a net increase in the valuation allowance attributable to the limitation on the deductibility of interest expense, the impact of the foreign rate differential, and GILTI, partially offset by a benefit for state income taxes. Income tax expense for the nine months ended September 30, 2022 differed from the statutory rate primarily due to a net increase in the valuation allowance, the impact of the foreign rate differential, and GILTI.</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12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defined benefit pension plan disclosure relates to Nordion. Certain immaterial foreign defined benefit pension plans have been excluded from the table below. The interest cost, expected return on plan assets and amortization of net actuarial gain are recorded in “Other expense (income), net” and the service cost component is included in the same financial statement line item as the applicable employee’s wages in the Consolidated Statements of Operations and Comprehensive Income (Loss). The components of net periodic pension benefit for the defined benefit plans for the three and nine months ended September 30, 2023 and 2022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9"/>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56"/>
        </w:trPr>
        <w:tc>
          <w:tcPr>
            <w:tcW w:w="20" w:type="dxa"/>
            <w:vAlign w:val="bottom"/>
          </w:tcPr>
          <w:p>
            <w:pPr>
              <w:spacing w:after="0"/>
              <w:rPr>
                <w:sz w:val="13"/>
                <w:szCs w:val="13"/>
                <w:color w:val="auto"/>
              </w:rPr>
            </w:pPr>
          </w:p>
        </w:tc>
        <w:tc>
          <w:tcPr>
            <w:tcW w:w="51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3"/>
                <w:szCs w:val="13"/>
                <w:color w:val="auto"/>
              </w:rPr>
            </w:pPr>
          </w:p>
        </w:tc>
        <w:tc>
          <w:tcPr>
            <w:tcW w:w="1180" w:type="dxa"/>
            <w:vAlign w:val="bottom"/>
          </w:tcPr>
          <w:p>
            <w:pPr>
              <w:jc w:val="right"/>
              <w:ind w:right="476"/>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4"/>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496"/>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4"/>
              <w:spacing w:after="0" w:line="155" w:lineRule="exact"/>
              <w:rPr>
                <w:sz w:val="20"/>
                <w:szCs w:val="20"/>
                <w:color w:val="auto"/>
              </w:rPr>
            </w:pPr>
            <w:r>
              <w:rPr>
                <w:rFonts w:ascii="Arial" w:cs="Arial" w:eastAsia="Arial" w:hAnsi="Arial"/>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2,745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8,211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(12,115)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(10,975)</w:t>
            </w:r>
          </w:p>
        </w:tc>
      </w:tr>
      <w:tr>
        <w:trPr>
          <w:trHeight w:val="263"/>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(3,509)</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(4,597)</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 plans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but one non-pension post-employment benefit plans are unfunded. The components of net periodic pension cost for the other benefit plans for the three and nine months ended September 30, 2023 and 2022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9"/>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100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496"/>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4"/>
              <w:spacing w:after="0" w:line="155" w:lineRule="exact"/>
              <w:rPr>
                <w:sz w:val="20"/>
                <w:szCs w:val="20"/>
                <w:color w:val="auto"/>
              </w:rPr>
            </w:pPr>
            <w:r>
              <w:rPr>
                <w:rFonts w:ascii="Arial" w:cs="Arial" w:eastAsia="Arial" w:hAnsi="Arial"/>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gain</w:t>
            </w:r>
          </w:p>
        </w:tc>
        <w:tc>
          <w:tcPr>
            <w:tcW w:w="1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periodic cost</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expect funding requirements of approximately $0.3 million in each of the next five years to fund the regulatory solvency deficit, as defined by Canadian federal regulation, which requires solvency testing on defined benefit pension plans.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paying cash into the pension fund. As of September 30, 2023, and December 31, 2022, we had letters of credit outstanding relating to the defined benefit plans totaling $16.0 million and $44.1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Other Comprehensive Income (Loss)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Amounts in accumulated other comprehensive income (loss) are presented net of the related tax. Foreign currency translation is not adjusted for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accumulated other comprehensive income (loss) balances, net of applicable tax,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center"/>
              <w:ind w:right="640"/>
              <w:spacing w:after="0"/>
              <w:rPr>
                <w:sz w:val="20"/>
                <w:szCs w:val="20"/>
                <w:color w:val="auto"/>
              </w:rPr>
            </w:pPr>
            <w:r>
              <w:rPr>
                <w:rFonts w:ascii="Arial" w:cs="Arial" w:eastAsia="Arial" w:hAnsi="Arial"/>
                <w:sz w:val="16"/>
                <w:szCs w:val="16"/>
                <w:b w:val="1"/>
                <w:bCs w:val="1"/>
                <w:color w:val="auto"/>
                <w:w w:val="91"/>
              </w:rPr>
              <w:t>Defined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Foreign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Interest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4"/>
          </w:tcPr>
          <w:p>
            <w:pPr>
              <w:jc w:val="center"/>
              <w:ind w:right="640"/>
              <w:spacing w:after="0"/>
              <w:rPr>
                <w:sz w:val="20"/>
                <w:szCs w:val="20"/>
                <w:color w:val="auto"/>
              </w:rPr>
            </w:pPr>
            <w:r>
              <w:rPr>
                <w:rFonts w:ascii="Arial" w:cs="Arial" w:eastAsia="Arial" w:hAnsi="Arial"/>
                <w:sz w:val="16"/>
                <w:szCs w:val="16"/>
                <w:b w:val="1"/>
                <w:bCs w:val="1"/>
                <w:color w:val="auto"/>
                <w:w w:val="92"/>
              </w:rPr>
              <w:t>Benefit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6"/>
              </w:rPr>
              <w:t>Currency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232"/>
              <w:spacing w:after="0"/>
              <w:rPr>
                <w:sz w:val="20"/>
                <w:szCs w:val="20"/>
                <w:color w:val="auto"/>
              </w:rPr>
            </w:pPr>
            <w:r>
              <w:rPr>
                <w:rFonts w:ascii="Arial" w:cs="Arial" w:eastAsia="Arial" w:hAnsi="Arial"/>
                <w:sz w:val="16"/>
                <w:szCs w:val="16"/>
                <w:b w:val="1"/>
                <w:bCs w:val="1"/>
                <w:color w:val="auto"/>
                <w:w w:val="92"/>
              </w:rPr>
              <w:t>Rate</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gridSpan w:val="2"/>
          </w:tcPr>
          <w:p>
            <w:pPr>
              <w:spacing w:after="0" w:line="143" w:lineRule="exact"/>
              <w:rPr>
                <w:sz w:val="20"/>
                <w:szCs w:val="20"/>
                <w:color w:val="auto"/>
              </w:rPr>
            </w:pPr>
            <w:r>
              <w:rPr>
                <w:rFonts w:ascii="Arial" w:cs="Arial" w:eastAsia="Arial" w:hAnsi="Arial"/>
                <w:sz w:val="14"/>
                <w:szCs w:val="14"/>
                <w:i w:val="1"/>
                <w:iCs w:val="1"/>
                <w:color w:val="auto"/>
              </w:rPr>
              <w:t>(thousands of U.S. dollars)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center"/>
              <w:ind w:right="640"/>
              <w:spacing w:after="0" w:line="142" w:lineRule="exact"/>
              <w:rPr>
                <w:sz w:val="20"/>
                <w:szCs w:val="20"/>
                <w:color w:val="auto"/>
              </w:rPr>
            </w:pPr>
            <w:r>
              <w:rPr>
                <w:rFonts w:ascii="Arial" w:cs="Arial" w:eastAsia="Arial" w:hAnsi="Arial"/>
                <w:sz w:val="16"/>
                <w:szCs w:val="16"/>
                <w:b w:val="1"/>
                <w:bCs w:val="1"/>
                <w:color w:val="auto"/>
                <w:w w:val="88"/>
              </w:rPr>
              <w:t>Plans</w:t>
            </w:r>
          </w:p>
        </w:tc>
        <w:tc>
          <w:tcPr>
            <w:tcW w:w="180" w:type="dxa"/>
            <w:vAlign w:val="bottom"/>
          </w:tcPr>
          <w:p>
            <w:pPr>
              <w:spacing w:after="0"/>
              <w:rPr>
                <w:sz w:val="14"/>
                <w:szCs w:val="14"/>
                <w:color w:val="auto"/>
              </w:rPr>
            </w:pPr>
          </w:p>
        </w:tc>
        <w:tc>
          <w:tcPr>
            <w:tcW w:w="1260" w:type="dxa"/>
            <w:vAlign w:val="bottom"/>
            <w:gridSpan w:val="3"/>
          </w:tcPr>
          <w:p>
            <w:pPr>
              <w:jc w:val="center"/>
              <w:ind w:right="340"/>
              <w:spacing w:after="0" w:line="142" w:lineRule="exact"/>
              <w:rPr>
                <w:sz w:val="20"/>
                <w:szCs w:val="20"/>
                <w:color w:val="auto"/>
              </w:rPr>
            </w:pPr>
            <w:r>
              <w:rPr>
                <w:rFonts w:ascii="Arial" w:cs="Arial" w:eastAsia="Arial" w:hAnsi="Arial"/>
                <w:sz w:val="16"/>
                <w:szCs w:val="16"/>
                <w:b w:val="1"/>
                <w:bCs w:val="1"/>
                <w:color w:val="auto"/>
                <w:w w:val="92"/>
              </w:rPr>
              <w:t>Translation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72"/>
              <w:spacing w:after="0" w:line="142" w:lineRule="exact"/>
              <w:rPr>
                <w:sz w:val="20"/>
                <w:szCs w:val="20"/>
                <w:color w:val="auto"/>
              </w:rPr>
            </w:pPr>
            <w:r>
              <w:rPr>
                <w:rFonts w:ascii="Arial" w:cs="Arial" w:eastAsia="Arial" w:hAnsi="Arial"/>
                <w:sz w:val="16"/>
                <w:szCs w:val="16"/>
                <w:b w:val="1"/>
                <w:bCs w:val="1"/>
                <w:color w:val="auto"/>
                <w:w w:val="91"/>
              </w:rPr>
              <w:t>Derivatives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July 1,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3,176</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(98,574)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16,094</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(32,996)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2,976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4"/>
            <w:vMerge w:val="restart"/>
            <w:shd w:val="clear" w:color="auto" w:fill="CCEEFF"/>
          </w:tcPr>
          <w:p>
            <w:pPr>
              <w:ind w:left="660"/>
              <w:spacing w:after="0"/>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1"/>
                <w:szCs w:val="11"/>
                <w:color w:val="auto"/>
              </w:rPr>
              <w:t>(a)</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(4,690)</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4"/>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vMerge w:val="continue"/>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vMerge w:val="continue"/>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(b)</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loss</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(32,996)</w:t>
            </w:r>
          </w:p>
        </w:tc>
        <w:tc>
          <w:tcPr>
            <w:tcW w:w="1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(1,714)</w:t>
            </w: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(34,836)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3,050</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(131,570)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14,380</w:t>
            </w:r>
          </w:p>
        </w:tc>
        <w:tc>
          <w:tcPr>
            <w:tcW w:w="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6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3,209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(131,205)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21,343</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11,531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4"/>
            <w:vMerge w:val="restart"/>
            <w:shd w:val="clear" w:color="auto" w:fill="CCEEFF"/>
          </w:tcPr>
          <w:p>
            <w:pPr>
              <w:ind w:left="560"/>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1"/>
                <w:szCs w:val="11"/>
                <w:color w:val="auto"/>
              </w:rPr>
              <w:t>(a)</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(18,494)</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4"/>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vMerge w:val="continue"/>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vMerge w:val="continue"/>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(b)</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loss</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(365)</w:t>
            </w:r>
          </w:p>
        </w:tc>
        <w:tc>
          <w:tcPr>
            <w:tcW w:w="1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(6,963)</w:t>
            </w: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3,050</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(131,570)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14,380</w:t>
            </w:r>
          </w:p>
        </w:tc>
        <w:tc>
          <w:tcPr>
            <w:tcW w:w="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1"/>
              </w:rPr>
              <w:t>Defined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Foreign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left="32"/>
              <w:spacing w:after="0"/>
              <w:rPr>
                <w:sz w:val="20"/>
                <w:szCs w:val="20"/>
                <w:color w:val="auto"/>
              </w:rPr>
            </w:pPr>
            <w:r>
              <w:rPr>
                <w:rFonts w:ascii="Arial" w:cs="Arial" w:eastAsia="Arial" w:hAnsi="Arial"/>
                <w:sz w:val="16"/>
                <w:szCs w:val="16"/>
                <w:b w:val="1"/>
                <w:bCs w:val="1"/>
                <w:color w:val="auto"/>
                <w:w w:val="89"/>
              </w:rPr>
              <w:t>Interest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Benefit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Currency</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left="32"/>
              <w:spacing w:after="0"/>
              <w:rPr>
                <w:sz w:val="20"/>
                <w:szCs w:val="20"/>
                <w:color w:val="auto"/>
              </w:rPr>
            </w:pPr>
            <w:r>
              <w:rPr>
                <w:rFonts w:ascii="Arial" w:cs="Arial" w:eastAsia="Arial" w:hAnsi="Arial"/>
                <w:sz w:val="16"/>
                <w:szCs w:val="16"/>
                <w:b w:val="1"/>
                <w:bCs w:val="1"/>
                <w:color w:val="auto"/>
                <w:w w:val="92"/>
              </w:rPr>
              <w:t>Rate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4"/>
          </w:tcPr>
          <w:p>
            <w:pPr>
              <w:jc w:val="center"/>
              <w:ind w:right="320"/>
              <w:spacing w:after="0" w:line="176" w:lineRule="exact"/>
              <w:rPr>
                <w:sz w:val="20"/>
                <w:szCs w:val="20"/>
                <w:color w:val="auto"/>
              </w:rPr>
            </w:pPr>
            <w:r>
              <w:rPr>
                <w:rFonts w:ascii="Arial" w:cs="Arial" w:eastAsia="Arial" w:hAnsi="Arial"/>
                <w:sz w:val="16"/>
                <w:szCs w:val="16"/>
                <w:b w:val="1"/>
                <w:bCs w:val="1"/>
                <w:color w:val="auto"/>
                <w:w w:val="88"/>
              </w:rPr>
              <w:t>Plans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60"/>
              <w:spacing w:after="0" w:line="176" w:lineRule="exact"/>
              <w:rPr>
                <w:sz w:val="20"/>
                <w:szCs w:val="20"/>
                <w:color w:val="auto"/>
              </w:rPr>
            </w:pPr>
            <w:r>
              <w:rPr>
                <w:rFonts w:ascii="Arial" w:cs="Arial" w:eastAsia="Arial" w:hAnsi="Arial"/>
                <w:sz w:val="16"/>
                <w:szCs w:val="16"/>
                <w:b w:val="1"/>
                <w:bCs w:val="1"/>
                <w:color w:val="auto"/>
                <w:w w:val="92"/>
              </w:rPr>
              <w:t>Translation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32"/>
              <w:spacing w:after="0" w:line="176" w:lineRule="exact"/>
              <w:rPr>
                <w:sz w:val="20"/>
                <w:szCs w:val="20"/>
                <w:color w:val="auto"/>
              </w:rPr>
            </w:pPr>
            <w:r>
              <w:rPr>
                <w:rFonts w:ascii="Arial" w:cs="Arial" w:eastAsia="Arial" w:hAnsi="Arial"/>
                <w:sz w:val="16"/>
                <w:szCs w:val="16"/>
                <w:b w:val="1"/>
                <w:bCs w:val="1"/>
                <w:color w:val="auto"/>
                <w:w w:val="93"/>
              </w:rPr>
              <w:t>Derivatives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July 1, 2022</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2"/>
              </w:rPr>
              <w:t>(17,323)</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(97,452)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rPr>
              <w:t>9,761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(69,460)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2"/>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(58,985)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4"/>
            <w:shd w:val="clear" w:color="auto" w:fill="CCEEFF"/>
          </w:tcPr>
          <w:p>
            <w:pPr>
              <w:ind w:left="900"/>
              <w:spacing w:after="0"/>
              <w:rPr>
                <w:sz w:val="20"/>
                <w:szCs w:val="20"/>
                <w:color w:val="auto"/>
              </w:rPr>
            </w:pPr>
            <w:r>
              <w:rPr>
                <w:rFonts w:ascii="Arial" w:cs="Arial" w:eastAsia="Arial" w:hAnsi="Arial"/>
                <w:sz w:val="18"/>
                <w:szCs w:val="18"/>
                <w:color w:val="auto"/>
                <w:w w:val="93"/>
              </w:rPr>
              <w:t xml:space="preserve">(2) </w:t>
            </w:r>
            <w:r>
              <w:rPr>
                <w:rFonts w:ascii="Arial" w:cs="Arial" w:eastAsia="Arial" w:hAnsi="Arial"/>
                <w:sz w:val="11"/>
                <w:szCs w:val="11"/>
                <w:color w:val="auto"/>
                <w:w w:val="93"/>
              </w:rPr>
              <w:t>(a)</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(69,460)</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(58,987)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2"/>
              </w:rPr>
              <w:t>(16,258)</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(166,912)</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19,169</w:t>
            </w:r>
          </w:p>
        </w:tc>
        <w:tc>
          <w:tcPr>
            <w:tcW w:w="10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62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2022</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2"/>
              </w:rPr>
              <w:t>(17,581)</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(66,389)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1,329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(100,523)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2"/>
              <w:spacing w:after="0"/>
              <w:rPr>
                <w:sz w:val="20"/>
                <w:szCs w:val="20"/>
                <w:color w:val="auto"/>
              </w:rPr>
            </w:pPr>
            <w:r>
              <w:rPr>
                <w:rFonts w:ascii="Arial" w:cs="Arial" w:eastAsia="Arial" w:hAnsi="Arial"/>
                <w:sz w:val="18"/>
                <w:szCs w:val="18"/>
                <w:color w:val="auto"/>
              </w:rPr>
              <w:t>18,765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(80,429)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4"/>
            <w:shd w:val="clear" w:color="auto" w:fill="CCEEFF"/>
          </w:tcPr>
          <w:p>
            <w:pPr>
              <w:ind w:left="900"/>
              <w:spacing w:after="0"/>
              <w:rPr>
                <w:sz w:val="20"/>
                <w:szCs w:val="20"/>
                <w:color w:val="auto"/>
              </w:rPr>
            </w:pPr>
            <w:r>
              <w:rPr>
                <w:rFonts w:ascii="Arial" w:cs="Arial" w:eastAsia="Arial" w:hAnsi="Arial"/>
                <w:sz w:val="18"/>
                <w:szCs w:val="18"/>
                <w:color w:val="auto"/>
                <w:w w:val="93"/>
              </w:rPr>
              <w:t xml:space="preserve">(6) </w:t>
            </w:r>
            <w:r>
              <w:rPr>
                <w:rFonts w:ascii="Arial" w:cs="Arial" w:eastAsia="Arial" w:hAnsi="Arial"/>
                <w:sz w:val="11"/>
                <w:szCs w:val="11"/>
                <w:color w:val="auto"/>
                <w:w w:val="93"/>
              </w:rPr>
              <w:t>(a)</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1,323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(100,523)</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8"/>
                <w:szCs w:val="18"/>
                <w:color w:val="auto"/>
              </w:rPr>
              <w:t>18,765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(80,435)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2"/>
              </w:rPr>
              <w:t>(16,258)</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(166,912)</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19,169</w:t>
            </w:r>
          </w:p>
        </w:tc>
        <w:tc>
          <w:tcPr>
            <w:tcW w:w="10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0" w:right="580" w:hanging="492"/>
        <w:spacing w:after="0" w:line="277" w:lineRule="auto"/>
        <w:tabs>
          <w:tab w:leader="none" w:pos="4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defined benefit pension plans, amounts reclassified from accumulated other comprehensive income (loss) are recorded to “Other expense (income), net” within the Consolidated Statements of Operations and Comprehensive Income (Loss).</w:t>
      </w:r>
    </w:p>
    <w:p>
      <w:pPr>
        <w:spacing w:after="0" w:line="62" w:lineRule="exact"/>
        <w:rPr>
          <w:rFonts w:ascii="Arial" w:cs="Arial" w:eastAsia="Arial" w:hAnsi="Arial"/>
          <w:sz w:val="18"/>
          <w:szCs w:val="18"/>
          <w:color w:val="auto"/>
        </w:rPr>
      </w:pPr>
    </w:p>
    <w:p>
      <w:pPr>
        <w:ind w:left="500" w:right="500" w:hanging="492"/>
        <w:spacing w:after="0" w:line="277" w:lineRule="auto"/>
        <w:tabs>
          <w:tab w:leader="none" w:pos="4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interest rate derivatives, amounts reclassified from accumulated other comprehensive income (loss) are recorded to “Interest expense, net” within the Consolidated Statements of Operations and Comprehensive Income (Loss).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Awards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become vested as of the date of consummation of such change in control, subject to the grantee’s continued services through the consummation of the change in control.</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Sotera Health Topco Parent, L.P. (of which the Company was a direct wholly owned subsidiary prior to the IPO) and (ii) the Sponsors’ internal rate of return exceeds 20%, subject to such grantee’s continued services through such date.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 Stock based compensation expense attributed to the pre-IPO Class B-2 awards was recorded in the fourth quarter of 2020 as the related performance conditions were considered probable of achievement and the implied service conditions were met. As of September 30, 2023, these awards remain unvested.</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recognized $0.5 million of share-based compensation expense related to the pre-IPO Class B-1 awards for each of the three months ended September 30, 2023 and 2022, and $1.5 million and $1.6 million for the nine months ended September 30, 2023 and 2022, respectively.</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summary of the activity for the nine months ended September 30, 2023 related to the restricted stock awards distributed in respect of the pre-IPO awards (Class B-1 and B-2 Units)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Restricted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r>
      <w:tr>
        <w:trPr>
          <w:trHeight w:val="175"/>
        </w:trPr>
        <w:tc>
          <w:tcPr>
            <w:tcW w:w="82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Stock - Pre-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Stock - Pre-</w:t>
            </w:r>
          </w:p>
        </w:tc>
      </w:tr>
      <w:tr>
        <w:trPr>
          <w:trHeight w:val="186"/>
        </w:trPr>
        <w:tc>
          <w:tcPr>
            <w:tcW w:w="82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IPO B-1</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IPO B-2</w:t>
            </w:r>
          </w:p>
        </w:tc>
      </w:tr>
      <w:tr>
        <w:trPr>
          <w:trHeight w:val="25"/>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716,091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1,098,415</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(5,378)</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(80,051)</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(260,208)</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Unvested at September 30, 2023</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450,505</w:t>
            </w: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1,018,364</w:t>
            </w: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recognized $7.9 million ($3.8 million for stock options and $4.1 million for RSUs) and $4.1 million ($1.5 million for stock options and $2.6 million for RSUs) of share-based compensation expense for these awards for the three months ended September 30, 2023 and 2022, respectively. We recognized $22.7 million ($10.7 million for stock options and $12.0 million for RSUs) and $13.3 million ($5.2 million for stock options and $8.1 million for RSUs) for the nine months ended September 30, 2023 and 2022, respectively, in our Consolidated Statements of Operations and Comprehensive Income (Loss), in “Selling, general and administrative expenses.”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nine months ended September 30,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5"/>
                <w:szCs w:val="15"/>
                <w:color w:val="auto"/>
              </w:rPr>
            </w:pPr>
          </w:p>
        </w:tc>
        <w:tc>
          <w:tcPr>
            <w:tcW w:w="1660" w:type="dxa"/>
            <w:vAlign w:val="bottom"/>
          </w:tcPr>
          <w:p>
            <w:pPr>
              <w:jc w:val="right"/>
              <w:ind w:right="316"/>
              <w:spacing w:after="0"/>
              <w:rPr>
                <w:sz w:val="20"/>
                <w:szCs w:val="20"/>
                <w:color w:val="auto"/>
              </w:rPr>
            </w:pPr>
            <w:r>
              <w:rPr>
                <w:rFonts w:ascii="Arial" w:cs="Arial" w:eastAsia="Arial" w:hAnsi="Arial"/>
                <w:sz w:val="14"/>
                <w:szCs w:val="14"/>
                <w:b w:val="1"/>
                <w:bCs w:val="1"/>
                <w:color w:val="auto"/>
              </w:rPr>
              <w:t>Weighted Average</w:t>
            </w:r>
          </w:p>
        </w:tc>
      </w:tr>
      <w:tr>
        <w:trPr>
          <w:trHeight w:val="186"/>
        </w:trPr>
        <w:tc>
          <w:tcPr>
            <w:tcW w:w="73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1660" w:type="dxa"/>
            <w:vAlign w:val="bottom"/>
          </w:tcPr>
          <w:p>
            <w:pPr>
              <w:jc w:val="right"/>
              <w:ind w:right="436"/>
              <w:spacing w:after="0"/>
              <w:rPr>
                <w:sz w:val="20"/>
                <w:szCs w:val="20"/>
                <w:color w:val="auto"/>
              </w:rPr>
            </w:pPr>
            <w:r>
              <w:rPr>
                <w:rFonts w:ascii="Arial" w:cs="Arial" w:eastAsia="Arial" w:hAnsi="Arial"/>
                <w:sz w:val="14"/>
                <w:szCs w:val="14"/>
                <w:b w:val="1"/>
                <w:bCs w:val="1"/>
                <w:color w:val="auto"/>
              </w:rPr>
              <w:t>Exercise Price</w:t>
            </w:r>
          </w:p>
        </w:tc>
      </w:tr>
      <w:tr>
        <w:trPr>
          <w:trHeight w:val="39"/>
        </w:trPr>
        <w:tc>
          <w:tcPr>
            <w:tcW w:w="732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5,990,470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43"/>
        </w:trPr>
        <w:tc>
          <w:tcPr>
            <w:tcW w:w="7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1,098,136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17.53</w:t>
            </w:r>
          </w:p>
        </w:tc>
      </w:tr>
      <w:tr>
        <w:trPr>
          <w:trHeight w:val="27"/>
        </w:trPr>
        <w:tc>
          <w:tcPr>
            <w:tcW w:w="7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r>
      <w:tr>
        <w:trPr>
          <w:trHeight w:val="263"/>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At September 30, 2023</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7,009,362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15.20</w:t>
            </w:r>
          </w:p>
        </w:tc>
      </w:tr>
      <w:tr>
        <w:trPr>
          <w:trHeight w:val="20"/>
        </w:trPr>
        <w:tc>
          <w:tcPr>
            <w:tcW w:w="7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there were 1.4 million stock options vested and exercisable.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RSUs generally vest ratably over a period of one to four years and are valued based on our market price on the date of grant. The following table summarizes our unvested RSUs activity for the nine months ended September 30,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Weighted Average Grant Date</w:t>
            </w:r>
          </w:p>
        </w:tc>
      </w:tr>
      <w:tr>
        <w:trPr>
          <w:trHeight w:val="186"/>
        </w:trPr>
        <w:tc>
          <w:tcPr>
            <w:tcW w:w="776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6"/>
                <w:szCs w:val="16"/>
                <w:color w:val="auto"/>
              </w:rPr>
            </w:pPr>
          </w:p>
        </w:tc>
        <w:tc>
          <w:tcPr>
            <w:tcW w:w="1580" w:type="dxa"/>
            <w:vAlign w:val="bottom"/>
          </w:tcPr>
          <w:p>
            <w:pPr>
              <w:jc w:val="right"/>
              <w:ind w:right="573"/>
              <w:spacing w:after="0"/>
              <w:rPr>
                <w:sz w:val="20"/>
                <w:szCs w:val="20"/>
                <w:color w:val="auto"/>
              </w:rPr>
            </w:pPr>
            <w:r>
              <w:rPr>
                <w:rFonts w:ascii="Arial" w:cs="Arial" w:eastAsia="Arial" w:hAnsi="Arial"/>
                <w:sz w:val="14"/>
                <w:szCs w:val="14"/>
                <w:b w:val="1"/>
                <w:bCs w:val="1"/>
                <w:color w:val="auto"/>
              </w:rPr>
              <w:t>Fair Value</w:t>
            </w:r>
          </w:p>
        </w:tc>
      </w:tr>
      <w:tr>
        <w:trPr>
          <w:trHeight w:val="52"/>
        </w:trPr>
        <w:tc>
          <w:tcPr>
            <w:tcW w:w="776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2,482,435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43"/>
        </w:trPr>
        <w:tc>
          <w:tcPr>
            <w:tcW w:w="77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917,972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7"/>
        </w:trPr>
        <w:tc>
          <w:tcPr>
            <w:tcW w:w="7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43"/>
        </w:trPr>
        <w:tc>
          <w:tcPr>
            <w:tcW w:w="7760" w:type="dxa"/>
            <w:vAlign w:val="bottom"/>
          </w:tcPr>
          <w:p>
            <w:pPr>
              <w:ind w:left="24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(401,892)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21.17</w:t>
            </w:r>
          </w:p>
        </w:tc>
      </w:tr>
      <w:tr>
        <w:trPr>
          <w:trHeight w:val="27"/>
        </w:trPr>
        <w:tc>
          <w:tcPr>
            <w:tcW w:w="77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September 30, 2023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2,866,865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(Loss) Per Share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Diluted earnings per share is computed using the more dilutive of (a) the two-class method, or (b) treasury stock method, as applicable, to the potentially dilutive instruments.</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periods in which the Company has a net loss, the two-class method is not applicable because the pre-IPO Class B-1 and B-2 restricted stock awards do not participate in losses.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Our basic and diluted earnings per common share are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 of U.S. dollars and share amounts (except per share amounts)</w:t>
            </w:r>
          </w:p>
        </w:tc>
        <w:tc>
          <w:tcPr>
            <w:tcW w:w="26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434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Net income (loss)</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(13,660)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25,090</w:t>
            </w:r>
          </w:p>
        </w:tc>
        <w:tc>
          <w:tcPr>
            <w:tcW w:w="18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12,695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Less: Allocation to participating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w w:val="98"/>
              </w:rPr>
              <w:t>Net income (loss) attributable to Sotera Health Company common shareholders</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(13,660)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24,867</w:t>
            </w:r>
          </w:p>
        </w:tc>
        <w:tc>
          <w:tcPr>
            <w:tcW w:w="180" w:type="dxa"/>
            <w:vAlign w:val="bottom"/>
          </w:tcPr>
          <w:p>
            <w:pPr>
              <w:spacing w:after="0"/>
              <w:rPr>
                <w:sz w:val="20"/>
                <w:szCs w:val="20"/>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12,621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281,105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280,142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280,898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279,988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20" w:type="dxa"/>
            <w:vAlign w:val="bottom"/>
            <w:shd w:val="clear" w:color="auto" w:fill="CCEEFF"/>
          </w:tcPr>
          <w:p>
            <w:pPr>
              <w:spacing w:after="0"/>
              <w:rPr>
                <w:sz w:val="24"/>
                <w:szCs w:val="24"/>
                <w:color w:val="auto"/>
              </w:rPr>
            </w:pPr>
          </w:p>
        </w:tc>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Dilutive effect of potential common shares</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281,105</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280,172</w:t>
            </w:r>
          </w:p>
        </w:tc>
        <w:tc>
          <w:tcPr>
            <w:tcW w:w="1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283,190</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w w:val="92"/>
              </w:rPr>
              <w:t>Net income (loss) per common share attributable to Sotera Health Company common</w:t>
            </w:r>
          </w:p>
        </w:tc>
        <w:tc>
          <w:tcPr>
            <w:tcW w:w="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gridSpan w:val="2"/>
          </w:tcPr>
          <w:p>
            <w:pPr>
              <w:ind w:left="500"/>
              <w:spacing w:after="0"/>
              <w:rPr>
                <w:sz w:val="20"/>
                <w:szCs w:val="20"/>
                <w:color w:val="auto"/>
              </w:rPr>
            </w:pPr>
            <w:r>
              <w:rPr>
                <w:rFonts w:ascii="Arial" w:cs="Arial" w:eastAsia="Arial" w:hAnsi="Arial"/>
                <w:sz w:val="18"/>
                <w:szCs w:val="18"/>
                <w:color w:val="auto"/>
              </w:rPr>
              <w:t>shareholders - basic</w:t>
            </w:r>
          </w:p>
        </w:tc>
        <w:tc>
          <w:tcPr>
            <w:tcW w:w="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Net income (loss) per common share attributable to Sotera Health Company common</w:t>
            </w: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shareholders - diluted</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20" w:hanging="332"/>
        <w:spacing w:after="0" w:line="277" w:lineRule="auto"/>
        <w:tabs>
          <w:tab w:leader="none" w:pos="3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the Company reported a net loss for the three months ended September 30, 2023, the calculation of diluted weighted average common shares outstanding is not applicable because the effect of including the potential common shares would be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does not consider the following potential common shares as the effect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460" w:type="dxa"/>
            <w:vAlign w:val="bottom"/>
            <w:gridSpan w:val="3"/>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3360" w:type="dxa"/>
            <w:vAlign w:val="bottom"/>
            <w:gridSpan w:val="2"/>
          </w:tcPr>
          <w:p>
            <w:pPr>
              <w:jc w:val="right"/>
              <w:ind w:right="515"/>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440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 of share amounts</w:t>
            </w:r>
          </w:p>
        </w:tc>
        <w:tc>
          <w:tcPr>
            <w:tcW w:w="1980" w:type="dxa"/>
            <w:vAlign w:val="bottom"/>
          </w:tcPr>
          <w:p>
            <w:pPr>
              <w:jc w:val="right"/>
              <w:ind w:right="937"/>
              <w:spacing w:after="0" w:line="155" w:lineRule="exact"/>
              <w:rPr>
                <w:sz w:val="20"/>
                <w:szCs w:val="20"/>
                <w:color w:val="auto"/>
              </w:rPr>
            </w:pPr>
            <w:r>
              <w:rPr>
                <w:rFonts w:ascii="Arial" w:cs="Arial" w:eastAsia="Arial" w:hAnsi="Arial"/>
                <w:sz w:val="14"/>
                <w:szCs w:val="14"/>
                <w:b w:val="1"/>
                <w:bCs w:val="1"/>
                <w:color w:val="auto"/>
              </w:rPr>
              <w:t>2023</w:t>
            </w:r>
          </w:p>
        </w:tc>
        <w:tc>
          <w:tcPr>
            <w:tcW w:w="1380" w:type="dxa"/>
            <w:vAlign w:val="bottom"/>
          </w:tcPr>
          <w:p>
            <w:pPr>
              <w:jc w:val="right"/>
              <w:ind w:right="575"/>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980" w:type="dxa"/>
            <w:vAlign w:val="bottom"/>
          </w:tcPr>
          <w:p>
            <w:pPr>
              <w:jc w:val="right"/>
              <w:ind w:right="937"/>
              <w:spacing w:after="0" w:line="155" w:lineRule="exact"/>
              <w:rPr>
                <w:sz w:val="20"/>
                <w:szCs w:val="20"/>
                <w:color w:val="auto"/>
              </w:rPr>
            </w:pPr>
            <w:r>
              <w:rPr>
                <w:rFonts w:ascii="Arial" w:cs="Arial" w:eastAsia="Arial" w:hAnsi="Arial"/>
                <w:sz w:val="14"/>
                <w:szCs w:val="14"/>
                <w:b w:val="1"/>
                <w:bCs w:val="1"/>
                <w:color w:val="auto"/>
              </w:rPr>
              <w:t>2023</w:t>
            </w:r>
          </w:p>
        </w:tc>
        <w:tc>
          <w:tcPr>
            <w:tcW w:w="1380" w:type="dxa"/>
            <w:vAlign w:val="bottom"/>
          </w:tcPr>
          <w:p>
            <w:pPr>
              <w:jc w:val="right"/>
              <w:ind w:right="595"/>
              <w:spacing w:after="0" w:line="155" w:lineRule="exact"/>
              <w:rPr>
                <w:sz w:val="20"/>
                <w:szCs w:val="20"/>
                <w:color w:val="auto"/>
              </w:rPr>
            </w:pPr>
            <w:r>
              <w:rPr>
                <w:rFonts w:ascii="Arial" w:cs="Arial" w:eastAsia="Arial" w:hAnsi="Arial"/>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760" w:type="dxa"/>
            <w:vAlign w:val="bottom"/>
            <w:tcBorders>
              <w:top w:val="single" w:sz="8" w:color="auto"/>
              <w:bottom w:val="single" w:sz="8" w:color="CCEEFF"/>
            </w:tcBorders>
          </w:tcPr>
          <w:p>
            <w:pPr>
              <w:spacing w:after="0"/>
              <w:rPr>
                <w:sz w:val="4"/>
                <w:szCs w:val="4"/>
                <w:color w:val="auto"/>
              </w:rPr>
            </w:pPr>
          </w:p>
        </w:tc>
        <w:tc>
          <w:tcPr>
            <w:tcW w:w="2640" w:type="dxa"/>
            <w:vAlign w:val="bottom"/>
            <w:tcBorders>
              <w:bottom w:val="single" w:sz="8" w:color="CCEEFF"/>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98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8"/>
                <w:szCs w:val="18"/>
                <w:b w:val="1"/>
                <w:bCs w:val="1"/>
                <w:color w:val="auto"/>
              </w:rPr>
              <w:t>7,001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8"/>
                <w:szCs w:val="18"/>
                <w:b w:val="1"/>
                <w:bCs w:val="1"/>
                <w:color w:val="auto"/>
              </w:rPr>
              <w:t>4,049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RSUs</w:t>
            </w:r>
          </w:p>
        </w:tc>
        <w:tc>
          <w:tcPr>
            <w:tcW w:w="1980" w:type="dxa"/>
            <w:vAlign w:val="bottom"/>
          </w:tcPr>
          <w:p>
            <w:pPr>
              <w:jc w:val="right"/>
              <w:ind w:right="337"/>
              <w:spacing w:after="0"/>
              <w:rPr>
                <w:sz w:val="20"/>
                <w:szCs w:val="20"/>
                <w:color w:val="auto"/>
              </w:rPr>
            </w:pPr>
            <w:r>
              <w:rPr>
                <w:rFonts w:ascii="Arial" w:cs="Arial" w:eastAsia="Arial" w:hAnsi="Arial"/>
                <w:sz w:val="18"/>
                <w:szCs w:val="18"/>
                <w:b w:val="1"/>
                <w:bCs w:val="1"/>
                <w:color w:val="auto"/>
              </w:rPr>
              <w:t>3,315</w:t>
            </w:r>
          </w:p>
        </w:tc>
        <w:tc>
          <w:tcPr>
            <w:tcW w:w="138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980" w:type="dxa"/>
            <w:vAlign w:val="bottom"/>
          </w:tcPr>
          <w:p>
            <w:pPr>
              <w:jc w:val="right"/>
              <w:ind w:right="337"/>
              <w:spacing w:after="0"/>
              <w:rPr>
                <w:sz w:val="20"/>
                <w:szCs w:val="20"/>
                <w:color w:val="auto"/>
              </w:rPr>
            </w:pPr>
            <w:r>
              <w:rPr>
                <w:rFonts w:ascii="Arial" w:cs="Arial" w:eastAsia="Arial" w:hAnsi="Arial"/>
                <w:sz w:val="18"/>
                <w:szCs w:val="18"/>
                <w:b w:val="1"/>
                <w:bCs w:val="1"/>
                <w:color w:val="auto"/>
              </w:rPr>
              <w:t>303</w:t>
            </w: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anti-dilutive securities</w:t>
            </w:r>
          </w:p>
        </w:tc>
        <w:tc>
          <w:tcPr>
            <w:tcW w:w="198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b w:val="1"/>
                <w:bCs w:val="1"/>
                <w:color w:val="auto"/>
              </w:rPr>
              <w:t>10,316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b w:val="1"/>
                <w:bCs w:val="1"/>
                <w:color w:val="auto"/>
              </w:rPr>
              <w:t>4,352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establish reserves for specific liabilities in connection with regulatory and legal actions that we determine to be both probable and reasonably estimable.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While it is not possible to determine the ultimate disposition of each of these matters,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Ethylene Oxide Tort Litigation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Sterigenics U.S., LLC (“Sterigenics”) and other medical supply sterilization companies have been subjected to tort lawsuits alleging various injuries caused by low-level environmental exposure to EO emissions from sterilization facilities. Those lawsuits, as detailed further below, are individual claims, as opposed to class 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More than 854 plaintiffs filed lawsuits, and approximately 28 individuals threatened to file lawsuits, alleging personal injuries or wrongful death resulting from purported emissions and releases of EO from Sterigenics’ former Willowbrook facility. The lawsuits were consolidated for pre-trial purposes by the Circuit Court of Cook County, Illinois (the “Consolidated Case”). The first jury trial began in August 2022 and, on September 19, 2022, the jury rendered a verdict in favor of the plaintiff and awarded damages in the amount of $358.7 million, including $36.1 million of compensatory damages, $320.0 million of punitive damages and $2.6 million of prejudgment interest against Sterigenics and Sotera Health LLC (the “Defendant Subsidiaries”). The Defendant Subsidiaries filed a Motion for Post Trial Relief, which was denied on December 19, 2022. On January 9, 2023, the Defendant Subsidiaries filed a Notice of Appeal to the First District Appellate Court in Illinois. The second jury trial began in October 2022 and, on November 18, 2022, the jury returned a defense verdict on all counts. On January 4, 2023, the plaintiff in the second trial filed a motion for post-trial relief seeking an order reversing and/or vacating the verdict, granting a new trial, and/or entering judgment in the plaintiff’s favor notwithstanding the verdict.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On January 9, 2023, the Defendant Subsidiaries entered into binding term sheets (the “Willowbrook Term Sheets”) with the “Plaintiffs’ Executive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Committee” (the “PEC”) appointed to act on behalf of the more than 20 law firms (“Plaintiffs’ Counsel”) representing the plaintiffs in the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Case and other clients with personal injury claims that had not yet been filed (each an “Eligible Claimant” and collectively, the “Eligible Claimants”).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Based on our assessment that it was probable that the conditions to the Willowbrook Term Sheets would be satisfied or waived, we recorded a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$408.0 million for the year ended December 31, 2022. The Willowbrook Term Sheets provided an agreed path to final settlement of the Eligible Claimants’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claims, subject to the satisfaction or waiver of certain conditions, including the negotiation and execution of full settlement agreements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Willowbrook Term Sheets.</w:t>
      </w:r>
    </w:p>
    <w:p>
      <w:pPr>
        <w:spacing w:after="0" w:line="21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March 28, 2023, the Defendant Subsidiaries and the PEC entered into full settlement agreements (the “Willowbrook Settlement Agreements”) to resolve the claims that were or could have been alleged by 882 Eligible Claimants related to or arising from alleged emissions of EO from Sterigenics’ operations in or around Willowbrook and related claims that were or could have been alleged by Eligible Claimants seeking to challenge any transfer of assets to or from the Company, its subsidiaries and certain affiliates to any other entity or person (the “Willowbrook Covered Claims”). The Company and Defendant Subsidiaries deny any liability for the Willowbrook Covered Claims and, per their express terms, the Willowbrook Settlement Agreements are not to be construed as an admission of liability or that the Company or Defendant Subsidiaries engaged in any wrongful, tortious, or unlawful activity or that use and/or emissions of EO from Sterigenics’ operations posed any safety hazard to the surrounding communities.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Willowbrook Settlement Agreements provided that final settlement was conditioned, among other things, on successful completion of a claims administration process and satisfaction (or waiver by the Defendant Subsidiaries) of specific participation requirements, the dismissal with prejudice of the Willowbrook Covered Claims of all Eligible Claimants participating in the settlement, and court approval of the settlement as a good faith settlement under the Illinois Joint Contribution Among Tortfeasors Act.</w:t>
      </w:r>
    </w:p>
    <w:p>
      <w:pPr>
        <w:spacing w:after="0" w:line="187"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On May 1, 2023, Sterigenics contributed $408.0 million to settlement escrow funds (the “Settlement Funds”) to be used, if the conditions of the Willowbrook Settlement Agreements were satisfied or waived, to pay all settlement fees and expenses and cash payments to the Eligible Claimants participating in the settlement.</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claims administration process concluded with 879 of 882 Eligible Claimants providing opt-in consents to participate in the settlement (the “Settling Claimants”). Pursuant to the Willowbrook Settlement Agreements, the three Eligible Claimants who did not opt in (each a “Non-Settling Willowbrook Claimant,” and collectively the “Non-Settling Willowbrook Claimants”) created an option for the Defendant Subsidiaries to exercise walkaway rights. On June 22, 2023, after evaluating the available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about the claims of the Non-Settling Willowbrook Claimants, the Defendant Subsidiaries waived their walkaway rights and chose to proceed to final settlement with the Settling Claimants (the “Willowbrook Settlement”).</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June 23, 2023, the Circuit Court of Cook County entered an order confirming that the Willowbrook Settlement was a good-faith settlement under the Illinois Contribution Among Joint Tortfeasors Act. On June 30, 2023, the Settlement Funds were released from escrow to the PEC’s Qualified Settlement Funds. The amounts allocated by the PEC to the Non-Settling Willowbrook Claimants represent an immaterial fraction of the Settlement Funds and will remain in escrow until December 31, 2023, at which point, absent an opt-in election by a Non-Settling Willowbrook Claimant, the funds allocated to that Non-Settling Willowbrook Claimant will revert to Sterigenics. On July 6, 2023, the claims of the Settling Claimants against the Defendant Subsidiaries were dismissed with prejudice, with the Circuit Court of Cook County retaining jurisdiction to adjudicate disputes over liens on the settlement proceeds to be paid to the Settling Claimants and to oversee the administration of the settlements of the wrongful death cases.</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three Non-Settling Willowbrook Claimants’ cases will proceed in the Circuit Court of Cook County, Illinois. Between June 2023 and September 2023, eight new personal injury lawsuits relating to the Willowbrook facility were filed in the Circuit Court of Cook County against Sterigenics, Sotera Health Services, LLC and other parties (the “Post-Settlement Willowbrook Cases”). One Post-Settlement Willowbrook Case has been removed to the United States District Court for the Northern District of Illinois, and a motion to remand is pending. The remaining Post-Settlement Willowbrook Cases will proceed in the Circuit Court of Cook County.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Georgia</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Subsidiaries of the Company and other parties are defendants in lawsuits in the State Court of Cobb County, Georgia and the State Court of Gwinnett County, Georgia in which plaintiffs allege personal injuries and property devaluation resulting from emissions or releases of EO from or at Sterigenics’ Atlanta facility and seek damages and other forms of relief.</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One personal injury lawsuit pending in Gwinnett County (the “Buczek case”) was scheduled to begin trial in late October 2023. Approximately 300 personal injury claims pending in Cobb County have been consolidated for pretrial purposes (the “Consolidated Personal Injury Cases”) and are proceeding under a case management order pursuant to which a “pool” of these cases will proceed to determination of general causation issues in Phase 1 and specific causation issues in Phase 2; the first trial of any “pool” case that survives Phases 1 and 2 is expected to begin in September or October 2025. The remaining Consolidated Personal Injury Cases are stayed. One personal injury lawsuit pending in Cobb County has not been consolidated and is proceeding independently. Nine lawsuits pending in Cobb County include both personal injury and property claims (the “Dual Injury Cases”). By agreement of the parties, the Dual Injury Cases will be included in the Consolidated Personal Injury Cases and stayed.</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subsidiaries are also defendants in approximately 365 property devaluation lawsuits. One property lawsuit was filed in the State Court of Gwinnett County. The remaining property lawsuits were filed in the State Court of Cobb County, have been consolidated for pretrial purposes (the “Consolidated Property Cases”) and are proceeding under a case management order pursuant to which ten cases will proceed with dispositive motions and discovery while the remaining cases are stayed.</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On October 16, 2023, Sterigenics and Sotera Health LLC entered into a binding term sheet (the “October 2023 Term Sheet”) outlining an agreement in principle to resolve the </w:t>
      </w:r>
      <w:r>
        <w:rPr>
          <w:rFonts w:ascii="Arial" w:cs="Arial" w:eastAsia="Arial" w:hAnsi="Arial"/>
          <w:sz w:val="17"/>
          <w:szCs w:val="17"/>
          <w:i w:val="1"/>
          <w:iCs w:val="1"/>
          <w:color w:val="auto"/>
        </w:rPr>
        <w:t>Buczek</w:t>
      </w:r>
      <w:r>
        <w:rPr>
          <w:rFonts w:ascii="Arial" w:cs="Arial" w:eastAsia="Arial" w:hAnsi="Arial"/>
          <w:sz w:val="17"/>
          <w:szCs w:val="17"/>
          <w:color w:val="auto"/>
        </w:rPr>
        <w:t xml:space="preserve"> case and the 78 other Georgia EO claims being pursued by Plaintiff’s counsel in the </w:t>
      </w:r>
      <w:r>
        <w:rPr>
          <w:rFonts w:ascii="Arial" w:cs="Arial" w:eastAsia="Arial" w:hAnsi="Arial"/>
          <w:sz w:val="17"/>
          <w:szCs w:val="17"/>
          <w:i w:val="1"/>
          <w:iCs w:val="1"/>
          <w:color w:val="auto"/>
        </w:rPr>
        <w:t>Buczek</w:t>
      </w:r>
      <w:r>
        <w:rPr>
          <w:rFonts w:ascii="Arial" w:cs="Arial" w:eastAsia="Arial" w:hAnsi="Arial"/>
          <w:sz w:val="17"/>
          <w:szCs w:val="17"/>
          <w:color w:val="auto"/>
        </w:rPr>
        <w:t xml:space="preserve"> case (the “Gwinnett and Cobb Counties Settlement”), including the property devaluation case pending in the State Court of Gwinnett County and 77 personal injury claims pending in the State Court of Cobb Country (each individually a “Covered Claim” and collectively the “Covered Claims”). Pursuant to the October 2023 Term Sheet, Sterigenics will pay $35.0 million and the Covered Claims will be dismissed with prejudice. The settlement process is expected to be finalized by the end of the year. The Gwinnett and Cobb Counties Settlement is subject to 100% of the plaintiffs with Covered Claims consenting to their respective settlement payment allocations, which will be determined by the plaintiffs’ lawyers. Sterigenics has the right to waive the 100% participation requirement, in which case the Gwinnett and Cobb Counties Settlement will be binding on only those plaintiffs who opt into the settlement. On October 17, 2023, the State Court of Gwinnett County stayed the </w:t>
      </w:r>
      <w:r>
        <w:rPr>
          <w:rFonts w:ascii="Arial" w:cs="Arial" w:eastAsia="Arial" w:hAnsi="Arial"/>
          <w:sz w:val="17"/>
          <w:szCs w:val="17"/>
          <w:i w:val="1"/>
          <w:iCs w:val="1"/>
          <w:color w:val="auto"/>
        </w:rPr>
        <w:t>Buczek</w:t>
      </w:r>
      <w:r>
        <w:rPr>
          <w:rFonts w:ascii="Arial" w:cs="Arial" w:eastAsia="Arial" w:hAnsi="Arial"/>
          <w:sz w:val="17"/>
          <w:szCs w:val="17"/>
          <w:color w:val="auto"/>
        </w:rPr>
        <w:t xml:space="preserve"> trial.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final settlement of the Covered Claims in the Gwinnett and Cobb Counties Settlement may not occur or may not occur for all Covered Claims if the conditions of the settlement are not met, including, but not limited to, a failure to satisfy the 100% participation requirement.</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October 2023 Term Sheet expressly provides that Sterigenics and Sotera Health LLC deny all liability and that nothing in the October 2023 Term Sheet constitutes an admission of any alleged fact, liability, or fault or that the use and/or emission of EO by and/or from the Atlanta Facility or any other Sterigenics facility have ever caused or created health risks or other hazards to any person or surrounding communities. The Company intends to vigorously defend the remaining EO cases, including the balance of the cases in Georgia, which are all pending in the State Court of Cobb County.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Mexico</w:t>
      </w:r>
    </w:p>
    <w:p>
      <w:pPr>
        <w:spacing w:after="0" w:line="117"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On December 22, 2020, the New Mexico Attorney General filed a lawsuit in the Third Judicial District Court, Doña Ana County, New Mexico against the Company and certain subsidiaries alleging that emissions and releases of EO from Sterigenics’ facility in Santa Teresa, New Mexico have deteriorated the air quality in Santa Teresa and surrounding communities and materially contributed to increased health risks suffered by residents of those communities.</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Complaint asserted claims for public nuisance, negligence, strict liability, violations of New Mexico’s Public Nuisance Statute and Unfair Practices Act and sought various forms of relief, including injunctive relief and damages. On June 29, 2021, the Court entered an Order Granting Preliminary Injunction prohibiting Sterigenics from allowing any uncontrolled emissions or releases of EO from the Santa Teresa facility. On December 20, 2021, the Court entered an order establishing a protocol to monitor Sterigenics’ compliance with the preliminary injunction. Operations at the facility continue to comply with the June 2021 and December 2021 orders.</w:t>
      </w:r>
    </w:p>
    <w:p>
      <w:pPr>
        <w:spacing w:after="0" w:line="19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September 13, 2022, the Court entered a Scheduling Order that set a trial date of June 3, 2024. On August 10, 2023, the Court granted Sterigenics’ motion for summary judgment on strict liability, the Unfair Practices Act claim, and claims for decreased property values, increased healthcare costs and medical monitoring costs, and instructed the State to amend its Complaint in compliance with the order and to exclude any claim for injunctive relief (the “Summary Judgment Order”). On August 25, 2023, the State filed a Motion for Reconsideration of the Summary Judgment Order, which remains pending. On September 12, 2023, the State filed its Amended Complaint; the Company’s response will be due after the Court rules on the motion for reconsideration. A defense motion challenging the Court’s jurisdiction over Sotera Health Company and another defendant also remain pending.</w:t>
      </w:r>
    </w:p>
    <w:p>
      <w:pPr>
        <w:spacing w:after="0" w:line="164"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On April 24, 2023, a lawsuit was filed against the Company, Sterigenics and certain other subsidiaries alleging wrongful death caused by exposure to emissions and releases of EO from Sterigenics’ facility in Santa Teresa, New Mexico while the decedent was working at a different company’s facility approximately one mile away. Motions to dismiss filed in June and August 2023 remain pending.</w:t>
      </w:r>
    </w:p>
    <w:p>
      <w:pPr>
        <w:spacing w:after="0" w:line="77"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w:t>
      </w:r>
    </w:p>
    <w:p>
      <w:pPr>
        <w:spacing w:after="0" w:line="11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212121"/>
        </w:rPr>
        <w:t>Additional EO tort lawsuits may be filed in the future against the Company and/or its subsidiaries relating to Sterigenics’ Willowbrook, Atlanta, Santa Teresa or other EO facilities. Based on our view of the strength of the science and related evidence that emissions of EO from Sterigenics’ operations have not caused and could not have caused the harms alleged in such lawsuits, we believe that losses in the remaining or future EO cases are not probable.</w:t>
      </w:r>
    </w:p>
    <w:p>
      <w:pPr>
        <w:spacing w:after="0" w:line="4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212121"/>
        </w:rPr>
        <w:t>Although the Company intends to defend itself vigorously on the merits of the remaining EO cases, future settlements of EO cases are reasonably possible. The Willowbrook Settlement and the Gwinnett and Cobb Counties Settlement were driven by dynamics unique to the cases that were settled and thus should not give rise to presumptions that the Company will settle additional EO cases and/or that any such settlements will be for comparable amounts.</w:t>
      </w:r>
    </w:p>
    <w:p>
      <w:pPr>
        <w:spacing w:after="0" w:line="14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212121"/>
        </w:rPr>
        <w:t>Potential trial and settlement outcomes can vary widely based a host of factors. Future cases will be presided over by different judges, tried by different counsel presenting different evidence and decided by different juries. The substantive and procedural laws of the various jurisdictions in which the EO tort cases are pending vary and can meaningfully impact the litigation process and outcome of a case. Each plaintiff’s claim involves unique facts and evidence, including the circumstances of the plaintiff’s alleged exposure, the type and severity of the plaintiff’s disease and the plaintiff’s medical history and course of treatment. The outcomes of trials before juries are rarely certain and a judgment entered or settlement reached in one case is not representative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color w:val="212121"/>
        </w:rPr>
        <w:t>of the outcome of other seemingly comparable cases. As a result, it is not possible to estimate a reasonably possible loss or range of loss with respect to any future settlements.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Insurance Coverage for Environmental Liabilities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undisputed insurance coverage for litigation related to past alleged environmental liabilities, like the litigation pending in Illinois, Georgia and New Mexico described above, has limits of $10.0 million per occurrence and $20.0 million in the aggregate. The per occurrence limit related to the Willowbrook, Illinois litigation was fully utilized by June 30, 2020. The remaining $10.0 million was fully utilized by March 31, 2023 for occurrences related to the EO litigation in Georgia and New Mexico described above. Our insurance for future alleged environmental liabilities excludes coverage for EO claims.</w:t>
      </w:r>
    </w:p>
    <w:p>
      <w:pPr>
        <w:spacing w:after="0" w:line="188"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We are pursuing additional insurance coverage for our legal expenses related to litigation like the Illinois, Georgia and New Mexico matters described above. In 2021, Sterigenics filed an insurance coverage lawsuit in the U.S. District Court for the Northern District of Illinois relating to two commercial general liability policies issued in the 1980s (the “No. Dist. of IL Coverage Lawsuit”). The court has issued an order declaring that the defendant insurer owes Sterigenics and another insured party a duty to defend the EO tort litigation relating to the Willowbrook facility (the “Duty to Defend Order”) and</w:t>
      </w:r>
    </w:p>
    <w:p>
      <w:pPr>
        <w:spacing w:after="0" w:line="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owes Sterigenics approximately $75.5 million in defense costs through September 30, 2022 (the “Past Defense Costs Judgment”). Motions for awards of pre-judgment and post-judgment interest on the Past Defense Costs Judgment and additional defense costs through July 31, 2023 are pending. The defendant insurer is appealing the Duty to Defend Order and Past Defense Costs Judgment. Sterigenics is also a party in insurance coverage lawsuits pending in the Delaware Superior Court and the Circuit Court of Cook County seeking insurance coverage from various historical commercial general liability policies for certain EO litigation settlement amounts and defense costs that the insurer in the No. Dist. of IL Coverage Lawsuit may fail to fund. It is unknown how much, if any, of the insurance proceeds sought will be recovered.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Sotera Health Company Securities Litigation &amp; Related Matters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January 24, 2023, a putative stockholder class action was filed in the U.S. District Court for the Northern District of Ohio against the Company, its directors, certain senior executives, the Company’s private equity stockholders and the underwriters of the Company’s initial public offering (“IPO”) in November 2020 and the Company’s secondary public offering (“SPO”) in March 2021 (the “Michigan Funds Litigation”). On April 17, 2023, the court 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or between November 20, 2020 and September 19, 2022 (the “Proposed Class”). The Michigan Funds allege that statements made regarding the safety of the Company’s use of EO and/or the litigation and other risks of its EO operations violated Sections 11, 12(a)(2) and 15 of the Securities Act of 1933 (when made in the registration statements for the IPO and SPO) and Sections 10(b), Section 20(a) and Rule 10b-5 of the Securities Exchange Act of 1934 (when made in subsequent securities filings and other contexts). On June 1, 2023, the Michigan Funds filed an Amended Complaint. Defendants have moved to dismiss the Amended Complaint and that motion remains pending.</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May 15, 2023, and July 25, 2023, the Company received demands pursuant to 8 Del. C. §220 for inspections of its books and records from shareholders purporting to be investigating the Company’s internal operations, disclosure practices and other matters alleged and at issue in the Michigan Funds Litigation (the “220 Demands”).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believes that the allegations and claims in the Michigan Funds Litigation and 220 Demands are without merit and plans to vigorously defend the Michigan Funds Litigation.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 and Financial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in Hedge Relationships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spacing w:after="0" w:line="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In March 2023, we entered into an interest rate swap agreement with a notional amount of $400.0 million. The interest rate swap has a forward start date of August 23, 2023 and expires on August 23, 2025. We have designated the interest rate swap as a cash flow hedge designed to hedge the variability of cash flows attributable to changes in the SOFR benchmark interest rate of our 2023 Term Loan. We receive interest at the one-month Term SOFR rate and pay a fixed interest rate under the terms of the swap agreement.</w:t>
      </w:r>
    </w:p>
    <w:p>
      <w:pPr>
        <w:spacing w:after="0" w:line="19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May 2022, we entered into two interest rate cap agreements with a combined notional amount of $1,000.0 million for a total option premium of $4.1 million. The interest rate caps became effective as of July 31, 2023 and expire on July 31, 2024. We have designated these interest rate caps as cash flow hedges designed to hedge the variability of cash flows attributable to changes in the benchmark interest rate of our Term Loan. Under the current terms of the loan agreement, the benchmark interest rate index transitioned from LIBOR to Term SOFR on June 30, 2023. Accordingly, the interest rate cap agreements hedge the variability of cash flows attributable to changes in SOFR by limiting our cash flow exposure related to Term SOFR under a portion of our variable rate borrowings to 3.5%.</w:t>
      </w:r>
    </w:p>
    <w:p>
      <w:pPr>
        <w:spacing w:after="0" w:line="19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October 2021, we entered into two interest rate cap agreements with a combined notional amount of $1,000.0 million for a total option premium of $1.8 million. Both interest rate caps were effective on December 31, 2022 and expired on July 31, 2023. These interest rate caps were designated as cash flow hedges and were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in Hedge Relationships</w:t>
      </w:r>
    </w:p>
    <w:p>
      <w:pPr>
        <w:spacing w:after="0" w:line="117"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color w:val="auto"/>
        </w:rPr>
        <w:t>The Company previously entered into interest rate derivatives to manage economic risks associated with our variable rate borrowings that were not designated in hedge relationships. These instruments were recorded at fair value on the Consolidated Balance Sheets, with any changes in fair value recorded in “Interest expense, net” in the Consolidated Statements of Operations and Comprehensive Income (Loss).</w:t>
      </w:r>
    </w:p>
    <w:p>
      <w:pPr>
        <w:spacing w:after="0" w:line="16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expense (income), net” in the Consolidated Statements of Operations and Comprehensive Income (Loss).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notional and fair values of our derivative instruments: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September 30, 2023</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December 31, 2022</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72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U.S. Dollars; notional in millions, fair value in thousands)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ind w:left="660"/>
              <w:spacing w:after="0" w:line="155" w:lineRule="exact"/>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3"/>
          </w:tcPr>
          <w:p>
            <w:pPr>
              <w:jc w:val="right"/>
              <w:ind w:right="713"/>
              <w:spacing w:after="0" w:line="155" w:lineRule="exact"/>
              <w:rPr>
                <w:sz w:val="20"/>
                <w:szCs w:val="20"/>
                <w:color w:val="auto"/>
              </w:rPr>
            </w:pPr>
            <w:r>
              <w:rPr>
                <w:rFonts w:ascii="Arial" w:cs="Arial" w:eastAsia="Arial" w:hAnsi="Arial"/>
                <w:sz w:val="16"/>
                <w:szCs w:val="16"/>
                <w:b w:val="1"/>
                <w:bCs w:val="1"/>
                <w:color w:val="auto"/>
              </w:rPr>
              <w:t>Fair Value</w:t>
            </w:r>
          </w:p>
        </w:tc>
      </w:tr>
      <w:tr>
        <w:trPr>
          <w:trHeight w:val="48"/>
        </w:trPr>
        <w:tc>
          <w:tcPr>
            <w:tcW w:w="20" w:type="dxa"/>
            <w:vAlign w:val="bottom"/>
          </w:tcPr>
          <w:p>
            <w:pPr>
              <w:spacing w:after="0"/>
              <w:rPr>
                <w:sz w:val="4"/>
                <w:szCs w:val="4"/>
                <w:color w:val="auto"/>
              </w:rPr>
            </w:pPr>
          </w:p>
        </w:tc>
        <w:tc>
          <w:tcPr>
            <w:tcW w:w="35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Arial" w:cs="Arial" w:eastAsia="Arial" w:hAnsi="Arial"/>
                <w:sz w:val="16"/>
                <w:szCs w:val="16"/>
                <w:b w:val="1"/>
                <w:bCs w:val="1"/>
                <w:color w:val="auto"/>
                <w:w w:val="96"/>
              </w:rPr>
              <w:t>Notional</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213"/>
              <w:spacing w:after="0"/>
              <w:rPr>
                <w:sz w:val="20"/>
                <w:szCs w:val="20"/>
                <w:color w:val="auto"/>
              </w:rPr>
            </w:pPr>
            <w:r>
              <w:rPr>
                <w:rFonts w:ascii="Arial" w:cs="Arial" w:eastAsia="Arial" w:hAnsi="Arial"/>
                <w:sz w:val="16"/>
                <w:szCs w:val="16"/>
                <w:b w:val="1"/>
                <w:bCs w:val="1"/>
                <w:color w:val="auto"/>
                <w:w w:val="96"/>
              </w:rPr>
              <w:t>Derivative</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w w:val="99"/>
              </w:rPr>
              <w:t>Notional</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w w:val="96"/>
              </w:rPr>
              <w:t>Derivative</w:t>
            </w:r>
          </w:p>
        </w:tc>
        <w:tc>
          <w:tcPr>
            <w:tcW w:w="200" w:type="dxa"/>
            <w:vAlign w:val="bottom"/>
          </w:tcPr>
          <w:p>
            <w:pPr>
              <w:spacing w:after="0"/>
              <w:rPr>
                <w:sz w:val="17"/>
                <w:szCs w:val="17"/>
                <w:color w:val="auto"/>
              </w:rPr>
            </w:pPr>
          </w:p>
        </w:tc>
        <w:tc>
          <w:tcPr>
            <w:tcW w:w="960" w:type="dxa"/>
            <w:vAlign w:val="bottom"/>
          </w:tcPr>
          <w:p>
            <w:pPr>
              <w:jc w:val="right"/>
              <w:ind w:right="113"/>
              <w:spacing w:after="0"/>
              <w:rPr>
                <w:sz w:val="20"/>
                <w:szCs w:val="20"/>
                <w:color w:val="auto"/>
              </w:rPr>
            </w:pPr>
            <w:r>
              <w:rPr>
                <w:rFonts w:ascii="Arial" w:cs="Arial" w:eastAsia="Arial" w:hAnsi="Arial"/>
                <w:sz w:val="16"/>
                <w:szCs w:val="16"/>
                <w:b w:val="1"/>
                <w:bCs w:val="1"/>
                <w:color w:val="auto"/>
                <w:w w:val="96"/>
              </w:rPr>
              <w:t>Derivative</w:t>
            </w: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53"/>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rPr>
              <w:t>Amount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Arial" w:cs="Arial" w:eastAsia="Arial" w:hAnsi="Arial"/>
                <w:sz w:val="16"/>
                <w:szCs w:val="16"/>
                <w:b w:val="1"/>
                <w:bCs w:val="1"/>
                <w:color w:val="auto"/>
              </w:rPr>
              <w:t>Liabilities</w:t>
            </w:r>
          </w:p>
        </w:tc>
      </w:tr>
      <w:tr>
        <w:trPr>
          <w:trHeight w:val="33"/>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Derivatives designated as hedging instruments: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3"/>
              <w:spacing w:after="0"/>
              <w:rPr>
                <w:sz w:val="20"/>
                <w:szCs w:val="20"/>
                <w:color w:val="auto"/>
              </w:rPr>
            </w:pPr>
            <w:r>
              <w:rPr>
                <w:rFonts w:ascii="Arial" w:cs="Arial" w:eastAsia="Arial" w:hAnsi="Arial"/>
                <w:sz w:val="18"/>
                <w:szCs w:val="18"/>
                <w:b w:val="1"/>
                <w:bCs w:val="1"/>
                <w:color w:val="auto"/>
              </w:rPr>
              <w:t>15,327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34,764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6,808</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1"/>
              </w:rPr>
              <w:t>Derivatives not designated as hedging instruments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172.1</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20" w:type="dxa"/>
            <w:vAlign w:val="bottom"/>
          </w:tcPr>
          <w:p>
            <w:pPr>
              <w:spacing w:after="0"/>
              <w:rPr>
                <w:sz w:val="21"/>
                <w:szCs w:val="21"/>
                <w:color w:val="auto"/>
              </w:rPr>
            </w:pPr>
          </w:p>
        </w:tc>
        <w:tc>
          <w:tcPr>
            <w:tcW w:w="3720" w:type="dxa"/>
            <w:vAlign w:val="bottom"/>
            <w:gridSpan w:val="2"/>
          </w:tcPr>
          <w:p>
            <w:pPr>
              <w:ind w:left="220"/>
              <w:spacing w:after="0"/>
              <w:rPr>
                <w:sz w:val="20"/>
                <w:szCs w:val="20"/>
                <w:color w:val="auto"/>
              </w:rPr>
            </w:pPr>
            <w:r>
              <w:rPr>
                <w:rFonts w:ascii="Arial" w:cs="Arial" w:eastAsia="Arial" w:hAnsi="Arial"/>
                <w:sz w:val="18"/>
                <w:szCs w:val="18"/>
                <w:color w:val="auto"/>
              </w:rPr>
              <w:t>Embedded derivatives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157.5</w:t>
            </w:r>
          </w:p>
        </w:tc>
        <w:tc>
          <w:tcPr>
            <w:tcW w:w="480" w:type="dxa"/>
            <w:vAlign w:val="bottom"/>
            <w:gridSpan w:val="2"/>
          </w:tcPr>
          <w:p>
            <w:pPr>
              <w:jc w:val="right"/>
              <w:ind w:right="320"/>
              <w:spacing w:after="0"/>
              <w:rPr>
                <w:sz w:val="20"/>
                <w:szCs w:val="20"/>
                <w:color w:val="auto"/>
              </w:rPr>
            </w:pPr>
            <w:r>
              <w:rPr>
                <w:rFonts w:ascii="Arial" w:cs="Arial" w:eastAsia="Arial" w:hAnsi="Arial"/>
                <w:sz w:val="12"/>
                <w:szCs w:val="12"/>
                <w:color w:val="auto"/>
                <w:w w:val="95"/>
              </w:rPr>
              <w:t>(a)</w:t>
            </w:r>
          </w:p>
        </w:tc>
        <w:tc>
          <w:tcPr>
            <w:tcW w:w="1060" w:type="dxa"/>
            <w:vAlign w:val="bottom"/>
          </w:tcPr>
          <w:p>
            <w:pPr>
              <w:jc w:val="right"/>
              <w:ind w:right="93"/>
              <w:spacing w:after="0"/>
              <w:rPr>
                <w:sz w:val="20"/>
                <w:szCs w:val="20"/>
                <w:color w:val="auto"/>
              </w:rPr>
            </w:pPr>
            <w:r>
              <w:rPr>
                <w:rFonts w:ascii="Arial" w:cs="Arial" w:eastAsia="Arial" w:hAnsi="Arial"/>
                <w:sz w:val="18"/>
                <w:szCs w:val="18"/>
                <w:b w:val="1"/>
                <w:bCs w:val="1"/>
                <w:color w:val="auto"/>
              </w:rPr>
              <w:t>2,287</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179.9</w:t>
            </w:r>
          </w:p>
        </w:tc>
        <w:tc>
          <w:tcPr>
            <w:tcW w:w="520" w:type="dxa"/>
            <w:vAlign w:val="bottom"/>
            <w:gridSpan w:val="2"/>
          </w:tcPr>
          <w:p>
            <w:pPr>
              <w:jc w:val="right"/>
              <w:ind w:right="340"/>
              <w:spacing w:after="0"/>
              <w:rPr>
                <w:sz w:val="20"/>
                <w:szCs w:val="20"/>
                <w:color w:val="auto"/>
              </w:rPr>
            </w:pPr>
            <w:r>
              <w:rPr>
                <w:rFonts w:ascii="Arial" w:cs="Arial" w:eastAsia="Arial" w:hAnsi="Arial"/>
                <w:sz w:val="12"/>
                <w:szCs w:val="12"/>
                <w:color w:val="auto"/>
              </w:rPr>
              <w:t>(a)</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2,721</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3,508</w:t>
            </w: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1,729.6</w:t>
            </w: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24,422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2,331.4</w:t>
            </w:r>
          </w:p>
        </w:tc>
        <w:tc>
          <w:tcPr>
            <w:tcW w:w="5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37,485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Represents the total notional amounts for certain of the Company’s supply and sales contracts accounted for as embedded derivatives.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Embedded derivatives and foreign currency forward contracts are included in “Prepaid expenses and other current assets” and “Accrued liabilities” on our Consolidated Balance Sheets depending upon their position at period end. Interest rate swaps and interest rate caps are included in “Other assets,” and “Noncurrent liabilities” on the Consolidated Balance Sheets depending upon their position at period end.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activities of our derivative instruments for the periods presented, and the line item they are recorded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2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106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5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1"/>
              </w:rPr>
              <w:t xml:space="preserve">Unrealized loss (gain) on interest rate derivatives recorded in interest expense, net  </w:t>
            </w:r>
            <w:r>
              <w:rPr>
                <w:rFonts w:ascii="Arial" w:cs="Arial" w:eastAsia="Arial" w:hAnsi="Arial"/>
                <w:sz w:val="18"/>
                <w:szCs w:val="18"/>
                <w:b w:val="1"/>
                <w:bCs w:val="1"/>
                <w:color w:val="auto"/>
                <w:w w:val="91"/>
              </w:rPr>
              <w:t>$</w:t>
            </w:r>
          </w:p>
        </w:tc>
        <w:tc>
          <w:tcPr>
            <w:tcW w:w="14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Realized gain on interest rate derivatives recorded in interest expense, net</w:t>
            </w:r>
            <w:r>
              <w:rPr>
                <w:rFonts w:ascii="Arial" w:cs="Arial" w:eastAsia="Arial" w:hAnsi="Arial"/>
                <w:sz w:val="23"/>
                <w:szCs w:val="23"/>
                <w:color w:val="auto"/>
                <w:vertAlign w:val="superscript"/>
              </w:rPr>
              <w:t>(a)</w:t>
            </w:r>
          </w:p>
        </w:tc>
        <w:tc>
          <w:tcPr>
            <w:tcW w:w="1060" w:type="dxa"/>
            <w:vAlign w:val="bottom"/>
          </w:tcPr>
          <w:p>
            <w:pPr>
              <w:jc w:val="center"/>
              <w:ind w:left="415"/>
              <w:spacing w:after="0"/>
              <w:rPr>
                <w:sz w:val="20"/>
                <w:szCs w:val="20"/>
                <w:color w:val="auto"/>
              </w:rPr>
            </w:pPr>
            <w:r>
              <w:rPr>
                <w:rFonts w:ascii="Arial" w:cs="Arial" w:eastAsia="Arial" w:hAnsi="Arial"/>
                <w:sz w:val="18"/>
                <w:szCs w:val="18"/>
                <w:b w:val="1"/>
                <w:bCs w:val="1"/>
                <w:color w:val="auto"/>
                <w:w w:val="91"/>
              </w:rPr>
              <w:t>(7,277)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(27,288)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4"/>
              </w:rPr>
              <w:t>Unrealized loss on embedded derivatives recorded in other expense (income), net</w:t>
            </w:r>
          </w:p>
        </w:tc>
        <w:tc>
          <w:tcPr>
            <w:tcW w:w="1060" w:type="dxa"/>
            <w:vAlign w:val="bottom"/>
            <w:tcBorders>
              <w:bottom w:val="single" w:sz="8" w:color="CCEEFF"/>
            </w:tcBorders>
            <w:shd w:val="clear" w:color="auto" w:fill="CCEEFF"/>
          </w:tcPr>
          <w:p>
            <w:pPr>
              <w:jc w:val="center"/>
              <w:ind w:left="435"/>
              <w:spacing w:after="0"/>
              <w:rPr>
                <w:sz w:val="20"/>
                <w:szCs w:val="20"/>
                <w:color w:val="auto"/>
              </w:rPr>
            </w:pPr>
            <w:r>
              <w:rPr>
                <w:rFonts w:ascii="Arial" w:cs="Arial" w:eastAsia="Arial" w:hAnsi="Arial"/>
                <w:sz w:val="18"/>
                <w:szCs w:val="18"/>
                <w:b w:val="1"/>
                <w:bCs w:val="1"/>
                <w:color w:val="auto"/>
                <w:w w:val="93"/>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Realized loss (gain) on foreign currency forward contracts recorded in foreign</w:t>
            </w:r>
          </w:p>
        </w:tc>
        <w:tc>
          <w:tcPr>
            <w:tcW w:w="1060" w:type="dxa"/>
            <w:vAlign w:val="bottom"/>
            <w:vMerge w:val="restart"/>
          </w:tcPr>
          <w:p>
            <w:pPr>
              <w:jc w:val="center"/>
              <w:ind w:left="435"/>
              <w:spacing w:after="0"/>
              <w:rPr>
                <w:sz w:val="20"/>
                <w:szCs w:val="20"/>
                <w:color w:val="auto"/>
              </w:rPr>
            </w:pPr>
            <w:r>
              <w:rPr>
                <w:rFonts w:ascii="Arial" w:cs="Arial" w:eastAsia="Arial" w:hAnsi="Arial"/>
                <w:sz w:val="18"/>
                <w:szCs w:val="18"/>
                <w:b w:val="1"/>
                <w:bCs w:val="1"/>
                <w:color w:val="auto"/>
                <w:w w:val="93"/>
              </w:rPr>
              <w:t>1,946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exchange (gain) loss</w:t>
            </w: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Unrealized loss (gain) on foreign currency forward contracts recorded in foreign</w:t>
            </w:r>
          </w:p>
        </w:tc>
        <w:tc>
          <w:tcPr>
            <w:tcW w:w="1060" w:type="dxa"/>
            <w:vAlign w:val="bottom"/>
            <w:vMerge w:val="restart"/>
            <w:shd w:val="clear" w:color="auto" w:fill="CCEEFF"/>
          </w:tcPr>
          <w:p>
            <w:pPr>
              <w:jc w:val="center"/>
              <w:ind w:left="435"/>
              <w:spacing w:after="0"/>
              <w:rPr>
                <w:sz w:val="20"/>
                <w:szCs w:val="20"/>
                <w:color w:val="auto"/>
              </w:rPr>
            </w:pPr>
            <w:r>
              <w:rPr>
                <w:rFonts w:ascii="Arial" w:cs="Arial" w:eastAsia="Arial" w:hAnsi="Arial"/>
                <w:sz w:val="18"/>
                <w:szCs w:val="18"/>
                <w:b w:val="1"/>
                <w:bCs w:val="1"/>
                <w:color w:val="auto"/>
                <w:w w:val="93"/>
              </w:rPr>
              <w:t>1,230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exchange (gain) loss</w:t>
            </w: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2023, amounts represent periodic settlement of interest rate caps and swaps.</w:t>
      </w:r>
    </w:p>
    <w:p>
      <w:pPr>
        <w:spacing w:after="0" w:line="2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expect to reclassify approximately $16.8 million of net gains on derivative instruments from accumulated other comprehensive income (loss) to income during the next 12 months associated with our cash flow hedges. Refer to Note 12,“Other Comprehensive Income (Loss)” for unrealized gains on interest rate derivatives, net of applicable tax, recorded in other comprehensive income (loss) and amounts reclassified from accumulated other comprehensive income to interest expense, net of applicable tax, during the three and nine months ended September 30, 2023</w:t>
      </w:r>
      <w:r>
        <w:rPr>
          <w:rFonts w:ascii="Arial" w:cs="Arial" w:eastAsia="Arial" w:hAnsi="Arial"/>
          <w:sz w:val="15"/>
          <w:szCs w:val="15"/>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September 30, 2023 and December 31, 2022, accounts receivable was net of an allowance for uncollectible accounts of $2.1 million and $1.9 million, respectively.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the fair value of our financial assets and liabilities: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2023</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78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Level 1</w:t>
            </w: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4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2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780" w:type="dxa"/>
            <w:vAlign w:val="bottom"/>
            <w:gridSpan w:val="3"/>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15,327</w:t>
            </w:r>
          </w:p>
        </w:tc>
        <w:tc>
          <w:tcPr>
            <w:tcW w:w="100" w:type="dxa"/>
            <w:vAlign w:val="bottom"/>
          </w:tcPr>
          <w:p>
            <w:pPr>
              <w:spacing w:after="0"/>
              <w:rPr>
                <w:sz w:val="21"/>
                <w:szCs w:val="21"/>
                <w:color w:val="auto"/>
              </w:rPr>
            </w:pPr>
          </w:p>
        </w:tc>
        <w:tc>
          <w:tcPr>
            <w:tcW w:w="1780" w:type="dxa"/>
            <w:vAlign w:val="bottom"/>
            <w:gridSpan w:val="3"/>
          </w:tcPr>
          <w:p>
            <w:pPr>
              <w:ind w:left="1180"/>
              <w:spacing w:after="0"/>
              <w:rPr>
                <w:sz w:val="20"/>
                <w:szCs w:val="20"/>
                <w:color w:val="auto"/>
              </w:rPr>
            </w:pPr>
            <w:r>
              <w:rPr>
                <w:rFonts w:ascii="Arial" w:cs="Arial" w:eastAsia="Arial" w:hAnsi="Arial"/>
                <w:sz w:val="18"/>
                <w:szCs w:val="18"/>
                <w:b w:val="1"/>
                <w:bCs w:val="1"/>
                <w:color w:val="auto"/>
              </w:rPr>
              <w:t>—  $</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15,327</w:t>
            </w:r>
          </w:p>
        </w:tc>
        <w:tc>
          <w:tcPr>
            <w:tcW w:w="80" w:type="dxa"/>
            <w:vAlign w:val="bottom"/>
          </w:tcPr>
          <w:p>
            <w:pPr>
              <w:spacing w:after="0"/>
              <w:rPr>
                <w:sz w:val="21"/>
                <w:szCs w:val="21"/>
                <w:color w:val="auto"/>
              </w:rPr>
            </w:pPr>
          </w:p>
        </w:tc>
        <w:tc>
          <w:tcPr>
            <w:tcW w:w="1440" w:type="dxa"/>
            <w:vAlign w:val="bottom"/>
          </w:tcPr>
          <w:p>
            <w:pPr>
              <w:ind w:left="1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6,808</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6,808</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forward 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220"/>
              <w:spacing w:after="0"/>
              <w:rPr>
                <w:sz w:val="20"/>
                <w:szCs w:val="20"/>
                <w:color w:val="auto"/>
              </w:rPr>
            </w:pPr>
            <w:r>
              <w:rPr>
                <w:rFonts w:ascii="Arial" w:cs="Arial" w:eastAsia="Arial" w:hAnsi="Arial"/>
                <w:sz w:val="18"/>
                <w:szCs w:val="18"/>
                <w:color w:val="auto"/>
              </w:rPr>
              <w:t>Embedded derivative assets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2,287</w:t>
            </w:r>
          </w:p>
        </w:tc>
        <w:tc>
          <w:tcPr>
            <w:tcW w:w="100" w:type="dxa"/>
            <w:vAlign w:val="bottom"/>
          </w:tcPr>
          <w:p>
            <w:pPr>
              <w:spacing w:after="0"/>
              <w:rPr>
                <w:sz w:val="21"/>
                <w:szCs w:val="21"/>
                <w:color w:val="auto"/>
              </w:rPr>
            </w:pPr>
          </w:p>
        </w:tc>
        <w:tc>
          <w:tcPr>
            <w:tcW w:w="1780" w:type="dxa"/>
            <w:vAlign w:val="bottom"/>
            <w:gridSpan w:val="3"/>
          </w:tcPr>
          <w:p>
            <w:pPr>
              <w:ind w:left="11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2,287</w:t>
            </w:r>
          </w:p>
        </w:tc>
        <w:tc>
          <w:tcPr>
            <w:tcW w:w="80" w:type="dxa"/>
            <w:vAlign w:val="bottom"/>
          </w:tcPr>
          <w:p>
            <w:pPr>
              <w:spacing w:after="0"/>
              <w:rPr>
                <w:sz w:val="21"/>
                <w:szCs w:val="21"/>
                <w:color w:val="auto"/>
              </w:rPr>
            </w:pPr>
          </w:p>
        </w:tc>
        <w:tc>
          <w:tcPr>
            <w:tcW w:w="1440" w:type="dxa"/>
            <w:vAlign w:val="bottom"/>
          </w:tcPr>
          <w:p>
            <w:pPr>
              <w:ind w:left="1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Embedded derivative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4,176</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4,176</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Term loan B, due 2026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4,786</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4,988</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20" w:type="dxa"/>
            <w:vAlign w:val="bottom"/>
            <w:gridSpan w:val="2"/>
          </w:tcPr>
          <w:p>
            <w:pPr>
              <w:ind w:left="220"/>
              <w:spacing w:after="0"/>
              <w:rPr>
                <w:sz w:val="20"/>
                <w:szCs w:val="20"/>
                <w:color w:val="auto"/>
              </w:rPr>
            </w:pPr>
            <w:r>
              <w:rPr>
                <w:rFonts w:ascii="Arial" w:cs="Arial" w:eastAsia="Arial" w:hAnsi="Arial"/>
                <w:sz w:val="18"/>
                <w:szCs w:val="18"/>
                <w:color w:val="auto"/>
              </w:rPr>
              <w:t>Other long-term debt</w:t>
            </w:r>
            <w:r>
              <w:rPr>
                <w:rFonts w:ascii="Arial" w:cs="Arial" w:eastAsia="Arial" w:hAnsi="Arial"/>
                <w:sz w:val="23"/>
                <w:szCs w:val="23"/>
                <w:color w:val="auto"/>
                <w:vertAlign w:val="superscript"/>
              </w:rPr>
              <w:t>(c)</w:t>
            </w: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100" w:type="dxa"/>
            <w:vAlign w:val="bottom"/>
          </w:tcPr>
          <w:p>
            <w:pPr>
              <w:spacing w:after="0"/>
              <w:rPr>
                <w:sz w:val="23"/>
                <w:szCs w:val="23"/>
                <w:color w:val="auto"/>
              </w:rPr>
            </w:pPr>
          </w:p>
        </w:tc>
        <w:tc>
          <w:tcPr>
            <w:tcW w:w="1780" w:type="dxa"/>
            <w:vAlign w:val="bottom"/>
            <w:gridSpan w:val="3"/>
          </w:tcPr>
          <w:p>
            <w:pPr>
              <w:ind w:left="11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80" w:type="dxa"/>
            <w:vAlign w:val="bottom"/>
          </w:tcPr>
          <w:p>
            <w:pPr>
              <w:spacing w:after="0"/>
              <w:rPr>
                <w:sz w:val="23"/>
                <w:szCs w:val="23"/>
                <w:color w:val="auto"/>
              </w:rPr>
            </w:pPr>
          </w:p>
        </w:tc>
        <w:tc>
          <w:tcPr>
            <w:tcW w:w="1440" w:type="dxa"/>
            <w:vAlign w:val="bottom"/>
          </w:tcPr>
          <w:p>
            <w:pPr>
              <w:ind w:left="1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(d)</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220"/>
              <w:spacing w:after="0"/>
              <w:rPr>
                <w:sz w:val="20"/>
                <w:szCs w:val="20"/>
                <w:color w:val="auto"/>
              </w:rPr>
            </w:pPr>
            <w:r>
              <w:rPr>
                <w:rFonts w:ascii="Arial" w:cs="Arial" w:eastAsia="Arial" w:hAnsi="Arial"/>
                <w:sz w:val="18"/>
                <w:szCs w:val="18"/>
                <w:color w:val="auto"/>
              </w:rPr>
              <w:t>Term loan, due 2026</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1,750,185</w:t>
            </w:r>
          </w:p>
        </w:tc>
        <w:tc>
          <w:tcPr>
            <w:tcW w:w="100" w:type="dxa"/>
            <w:vAlign w:val="bottom"/>
          </w:tcPr>
          <w:p>
            <w:pPr>
              <w:spacing w:after="0"/>
              <w:rPr>
                <w:sz w:val="21"/>
                <w:szCs w:val="21"/>
                <w:color w:val="auto"/>
              </w:rPr>
            </w:pPr>
          </w:p>
        </w:tc>
        <w:tc>
          <w:tcPr>
            <w:tcW w:w="1780" w:type="dxa"/>
            <w:vAlign w:val="bottom"/>
            <w:gridSpan w:val="3"/>
          </w:tcPr>
          <w:p>
            <w:pPr>
              <w:ind w:left="11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1,749,877</w:t>
            </w:r>
          </w:p>
        </w:tc>
        <w:tc>
          <w:tcPr>
            <w:tcW w:w="80" w:type="dxa"/>
            <w:vAlign w:val="bottom"/>
          </w:tcPr>
          <w:p>
            <w:pPr>
              <w:spacing w:after="0"/>
              <w:rPr>
                <w:sz w:val="21"/>
                <w:szCs w:val="21"/>
                <w:color w:val="auto"/>
              </w:rPr>
            </w:pPr>
          </w:p>
        </w:tc>
        <w:tc>
          <w:tcPr>
            <w:tcW w:w="1440" w:type="dxa"/>
            <w:vAlign w:val="bottom"/>
          </w:tcPr>
          <w:p>
            <w:pPr>
              <w:ind w:left="1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Term loan B, due 2026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472,604</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493,763</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(e)</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71,617</w:t>
            </w:r>
          </w:p>
        </w:tc>
        <w:tc>
          <w:tcPr>
            <w:tcW w:w="100" w:type="dxa"/>
            <w:vAlign w:val="bottom"/>
          </w:tcPr>
          <w:p>
            <w:pPr>
              <w:spacing w:after="0"/>
              <w:rPr>
                <w:sz w:val="24"/>
                <w:szCs w:val="24"/>
                <w:color w:val="auto"/>
              </w:rPr>
            </w:pPr>
          </w:p>
        </w:tc>
        <w:tc>
          <w:tcPr>
            <w:tcW w:w="1780" w:type="dxa"/>
            <w:vAlign w:val="bottom"/>
            <w:gridSpan w:val="3"/>
          </w:tcPr>
          <w:p>
            <w:pPr>
              <w:ind w:left="11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71,617</w:t>
            </w:r>
          </w:p>
        </w:tc>
        <w:tc>
          <w:tcPr>
            <w:tcW w:w="80" w:type="dxa"/>
            <w:vAlign w:val="bottom"/>
          </w:tcPr>
          <w:p>
            <w:pPr>
              <w:spacing w:after="0"/>
              <w:rPr>
                <w:sz w:val="24"/>
                <w:szCs w:val="24"/>
                <w:color w:val="auto"/>
              </w:rPr>
            </w:pPr>
          </w:p>
        </w:tc>
        <w:tc>
          <w:tcPr>
            <w:tcW w:w="1440" w:type="dxa"/>
            <w:vAlign w:val="bottom"/>
          </w:tcPr>
          <w:p>
            <w:pPr>
              <w:ind w:left="1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49"/>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3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2022</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3"/>
                <w:szCs w:val="13"/>
                <w:color w:val="auto"/>
              </w:rPr>
            </w:pP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20" w:type="dxa"/>
            <w:vAlign w:val="bottom"/>
            <w:gridSpan w:val="3"/>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34,764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34,764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Embedded 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Embedded derivative liabilities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r>
              <w:rPr>
                <w:rFonts w:ascii="Arial" w:cs="Arial" w:eastAsia="Arial" w:hAnsi="Arial"/>
                <w:sz w:val="23"/>
                <w:szCs w:val="23"/>
                <w:color w:val="auto"/>
                <w:vertAlign w:val="superscript"/>
              </w:rPr>
              <w:t>(c)</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196,672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196,672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Other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Term loan, due 2026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1,626,460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(e)</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58,677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58,677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500" w:right="200" w:hanging="492"/>
        <w:spacing w:after="0" w:line="255" w:lineRule="auto"/>
        <w:tabs>
          <w:tab w:leader="none" w:pos="4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Derivatives designated as hedging instruments are measured at fair value with changes in fair value recorded as a component of accumulated other comprehensive income (loss). Interest rate caps and swaps are valued using pricing models that incorporate observable market inputs including interest rate and yield curves.</w:t>
      </w:r>
    </w:p>
    <w:p>
      <w:pPr>
        <w:spacing w:after="0" w:line="2" w:lineRule="exact"/>
        <w:rPr>
          <w:rFonts w:ascii="Arial" w:cs="Arial" w:eastAsia="Arial" w:hAnsi="Arial"/>
          <w:sz w:val="18"/>
          <w:szCs w:val="18"/>
          <w:color w:val="auto"/>
        </w:rPr>
      </w:pPr>
    </w:p>
    <w:p>
      <w:pPr>
        <w:ind w:left="500" w:right="40" w:hanging="492"/>
        <w:spacing w:after="0" w:line="250" w:lineRule="auto"/>
        <w:tabs>
          <w:tab w:leader="none" w:pos="4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Derivatives that are not designated as hedging instruments are measured at fair value with gains or losses recognized immediately in the Consolidated Statements of Operations and Comprehensive Income (Loss). Embedded derivatives are valued using internally developed models that rely on observable market inputs, including foreign currency forward curves. Foreign currency forward contracts are valued by reference to changes in the forward foreign currency exchange rate over the life of the contract.</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Carrying value of other long-term debt and revolving credit facility approximates fair value.</w:t>
      </w:r>
    </w:p>
    <w:p>
      <w:pPr>
        <w:spacing w:after="0" w:line="9" w:lineRule="exact"/>
        <w:rPr>
          <w:rFonts w:ascii="Arial" w:cs="Arial" w:eastAsia="Arial" w:hAnsi="Arial"/>
          <w:sz w:val="18"/>
          <w:szCs w:val="18"/>
          <w:color w:val="auto"/>
        </w:rPr>
      </w:pPr>
    </w:p>
    <w:p>
      <w:pPr>
        <w:ind w:left="500" w:right="120" w:hanging="492"/>
        <w:spacing w:after="0" w:line="281" w:lineRule="auto"/>
        <w:tabs>
          <w:tab w:leader="none" w:pos="494"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Carrying amounts of long-term debt instruments are reported net of discounts and debt issuance costs. The estimated fair value of these instruments is based on quoted prices for the term loans due in 2026 in inactive markets as provided by an independent fixed income security pricing service.</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Fair value approximates carrying value.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 of the Company’s annual consolidated financial statements and accompanying notes in our 2022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pharmaceutical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Revenue Concentrations</w:t>
      </w:r>
    </w:p>
    <w:p>
      <w:pPr>
        <w:spacing w:after="0" w:line="117"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For the three months ended September 30, 2023, four customers reported within the Nordion segment individually represented 10% or more of the segment’s total net revenues. These customers represented 15.4%, 13.5%, 13.5%, and 11.3% of the total segment’s external net revenues for the three months ended September 30, 2023. For the three months ended September 30, 2022, three customers reported within the Nordion segment individually represented 10% or more of the segment’s total net revenues. These customers represented 21.0%, 14.7%, and 10.1% of the total segment’s external net revenues for the three months ended September 30, 2022.</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nine months ended September 30, 2023, four customers reported within the Nordion segment individually represented 10% or more of the segment’s total net revenues. These customers represented 19.9%, 14.4%, 12.7% , and 12.1% of the total segment’s external net revenues for the nine months ended September 30, 2023. For the nine months ended September 30, 2022, four customers reported within the Nordion segment individually represented 10% or more of the segment’s total net revenues. These customers represented 17.1%, 16.2%, 11.8%, and 11.7% of the total segment's external net revenues for the nine months ended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of our segments is presented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0"/>
                <w:szCs w:val="20"/>
                <w:color w:val="auto"/>
              </w:rPr>
            </w:pPr>
          </w:p>
        </w:tc>
        <w:tc>
          <w:tcPr>
            <w:tcW w:w="30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40" w:type="dxa"/>
            <w:vAlign w:val="bottom"/>
          </w:tcPr>
          <w:p>
            <w:pPr>
              <w:spacing w:after="0"/>
              <w:rPr>
                <w:sz w:val="17"/>
                <w:szCs w:val="17"/>
                <w:color w:val="auto"/>
              </w:rPr>
            </w:pPr>
          </w:p>
        </w:tc>
        <w:tc>
          <w:tcPr>
            <w:tcW w:w="138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1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b w:val="1"/>
                <w:bCs w:val="1"/>
                <w:color w:val="auto"/>
              </w:rPr>
              <w:t>Segment revenues</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Sterigenics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168,347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157,723</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494,934</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464,977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Nordion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80,624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Nelson Labs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54,732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55,910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163,491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167,569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263,177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248,704</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739,049</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40" w:type="dxa"/>
            <w:vAlign w:val="bottom"/>
            <w:tcBorders>
              <w:top w:val="single" w:sz="8" w:color="CCEEFF"/>
              <w:bottom w:val="single" w:sz="8" w:color="CCEEFF"/>
            </w:tcBorders>
            <w:gridSpan w:val="2"/>
            <w:vMerge w:val="restart"/>
          </w:tcPr>
          <w:p>
            <w:pPr>
              <w:spacing w:after="0" w:line="257" w:lineRule="exact"/>
              <w:rPr>
                <w:sz w:val="20"/>
                <w:szCs w:val="20"/>
                <w:color w:val="auto"/>
              </w:rPr>
            </w:pPr>
            <w:r>
              <w:rPr>
                <w:rFonts w:ascii="Arial" w:cs="Arial" w:eastAsia="Arial" w:hAnsi="Arial"/>
                <w:sz w:val="18"/>
                <w:szCs w:val="18"/>
                <w:b w:val="1"/>
                <w:bCs w:val="1"/>
                <w:color w:val="auto"/>
              </w:rPr>
              <w:t>Segment income</w:t>
            </w:r>
            <w:r>
              <w:rPr>
                <w:rFonts w:ascii="Arial" w:cs="Arial" w:eastAsia="Arial" w:hAnsi="Arial"/>
                <w:sz w:val="23"/>
                <w:szCs w:val="23"/>
                <w:color w:val="auto"/>
                <w:vertAlign w:val="superscript"/>
              </w:rPr>
              <w:t>(b)</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4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Sterigenics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85,587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267,459</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Nordion</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24,052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20,294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43,362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Nelson Labs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50,460</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segment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134,328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125,152</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361,281</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240" w:hanging="492"/>
        <w:spacing w:after="0" w:line="269" w:lineRule="auto"/>
        <w:tabs>
          <w:tab w:leader="none" w:pos="497"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Revenues are reported net of intersegment sales. Our Nordion segment recognized $11.2 million and $7.4 million in revenues from sales to our Sterigenics segment for the three months ended September 30, 2023 and 2022, respectively, and $28.8 million and $38.7 million in revenues from sales to our Sterigenics segment for the nine months ended September 30, 2023 and 2022, respectively, that is not reflected in net revenues in the table above. Intersegment sales for Sterigenics and Nelson Labs are immaterial for these periods.</w:t>
      </w:r>
    </w:p>
    <w:p>
      <w:pPr>
        <w:spacing w:after="0" w:line="1" w:lineRule="exact"/>
        <w:rPr>
          <w:rFonts w:ascii="Arial" w:cs="Arial" w:eastAsia="Arial" w:hAnsi="Arial"/>
          <w:sz w:val="17"/>
          <w:szCs w:val="17"/>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11"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Corporate operating expenses for executive management, accounting, information technology, legal, human resources, treasury, investor relations, corporate development, tax, purchasing, and marketing not directly incurred by a segment are allocated to the segments based on total net revenue. Corporate operating expenses that are directly incurred by a segment are reflected in each segment’s income.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by segment for the nine months ended September 30, 2023 and 2022 were as follows:</w:t>
      </w:r>
    </w:p>
    <w:p>
      <w:pPr>
        <w:spacing w:after="0" w:line="280"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29210</wp:posOffset>
            </wp:positionV>
            <wp:extent cx="24517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Arial" w:cs="Arial" w:eastAsia="Arial" w:hAnsi="Arial"/>
                <w:sz w:val="14"/>
                <w:szCs w:val="14"/>
                <w:b w:val="1"/>
                <w:bCs w:val="1"/>
                <w:color w:val="auto"/>
              </w:rPr>
              <w:t>2022</w:t>
            </w:r>
          </w:p>
        </w:tc>
      </w:tr>
      <w:tr>
        <w:trPr>
          <w:trHeight w:val="39"/>
        </w:trPr>
        <w:tc>
          <w:tcPr>
            <w:tcW w:w="73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Sterigenics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115,438</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90,444</w:t>
            </w:r>
          </w:p>
        </w:tc>
      </w:tr>
      <w:tr>
        <w:trPr>
          <w:trHeight w:val="243"/>
        </w:trPr>
        <w:tc>
          <w:tcPr>
            <w:tcW w:w="7380" w:type="dxa"/>
            <w:vAlign w:val="bottom"/>
          </w:tcPr>
          <w:p>
            <w:pPr>
              <w:ind w:left="140"/>
              <w:spacing w:after="0"/>
              <w:rPr>
                <w:sz w:val="20"/>
                <w:szCs w:val="20"/>
                <w:color w:val="auto"/>
              </w:rPr>
            </w:pPr>
            <w:r>
              <w:rPr>
                <w:rFonts w:ascii="Arial" w:cs="Arial" w:eastAsia="Arial" w:hAnsi="Arial"/>
                <w:sz w:val="18"/>
                <w:szCs w:val="18"/>
                <w:color w:val="auto"/>
              </w:rPr>
              <w:t>Nordion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23,875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12,045</w:t>
            </w:r>
          </w:p>
        </w:tc>
      </w:tr>
      <w:tr>
        <w:trPr>
          <w:trHeight w:val="27"/>
        </w:trPr>
        <w:tc>
          <w:tcPr>
            <w:tcW w:w="7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Nelson Labs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10,836</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8,153</w:t>
            </w:r>
          </w:p>
        </w:tc>
      </w:tr>
      <w:tr>
        <w:trPr>
          <w:trHeight w:val="26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Total capital expenditures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150,149</w:t>
            </w:r>
          </w:p>
        </w:tc>
        <w:tc>
          <w:tcPr>
            <w:tcW w:w="1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110,642</w:t>
            </w:r>
          </w:p>
        </w:tc>
      </w:tr>
      <w:tr>
        <w:trPr>
          <w:trHeight w:val="21"/>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to consolidated income before taxes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880" w:type="dxa"/>
            <w:vAlign w:val="bottom"/>
            <w:gridSpan w:val="7"/>
          </w:tcPr>
          <w:p>
            <w:pPr>
              <w:ind w:left="100"/>
              <w:spacing w:after="0"/>
              <w:rPr>
                <w:sz w:val="20"/>
                <w:szCs w:val="20"/>
                <w:color w:val="auto"/>
              </w:rPr>
            </w:pPr>
            <w:r>
              <w:rPr>
                <w:rFonts w:ascii="Arial" w:cs="Arial" w:eastAsia="Arial" w:hAnsi="Arial"/>
                <w:sz w:val="18"/>
                <w:szCs w:val="18"/>
                <w:b w:val="1"/>
                <w:bCs w:val="1"/>
                <w:color w:val="auto"/>
                <w:w w:val="99"/>
              </w:rPr>
              <w:t>Three Months Ended September</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7"/>
              </w:rPr>
              <w:t>30,</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39"/>
        </w:trPr>
        <w:tc>
          <w:tcPr>
            <w:tcW w:w="5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134,328</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125,152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376,636</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Less adjustments: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1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30,464</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20,080</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82,275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53,974</w:t>
            </w:r>
          </w:p>
        </w:tc>
      </w:tr>
      <w:tr>
        <w:trPr>
          <w:trHeight w:val="378"/>
        </w:trPr>
        <w:tc>
          <w:tcPr>
            <w:tcW w:w="5620" w:type="dxa"/>
            <w:vAlign w:val="bottom"/>
          </w:tcPr>
          <w:p>
            <w:pPr>
              <w:ind w:left="2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(b)</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38,175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36,104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117,203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109,092</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(c)</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8,378</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14,955</w:t>
            </w:r>
          </w:p>
        </w:tc>
      </w:tr>
      <w:tr>
        <w:trPr>
          <w:trHeight w:val="269"/>
        </w:trPr>
        <w:tc>
          <w:tcPr>
            <w:tcW w:w="5620" w:type="dxa"/>
            <w:vAlign w:val="bottom"/>
          </w:tcPr>
          <w:p>
            <w:pPr>
              <w:ind w:left="180"/>
              <w:spacing w:after="0"/>
              <w:rPr>
                <w:sz w:val="20"/>
                <w:szCs w:val="20"/>
                <w:color w:val="auto"/>
              </w:rPr>
            </w:pPr>
            <w:r>
              <w:rPr>
                <w:rFonts w:ascii="Arial" w:cs="Arial" w:eastAsia="Arial" w:hAnsi="Arial"/>
                <w:sz w:val="18"/>
                <w:szCs w:val="18"/>
                <w:color w:val="auto"/>
              </w:rPr>
              <w:t>Gain on foreign currency and derivatives not designated as hedging</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98"/>
        </w:trPr>
        <w:tc>
          <w:tcPr>
            <w:tcW w:w="5620" w:type="dxa"/>
            <w:vAlign w:val="bottom"/>
          </w:tcPr>
          <w:p>
            <w:pPr>
              <w:ind w:left="440"/>
              <w:spacing w:after="0"/>
              <w:rPr>
                <w:sz w:val="20"/>
                <w:szCs w:val="20"/>
                <w:color w:val="auto"/>
              </w:rPr>
            </w:pPr>
            <w:r>
              <w:rPr>
                <w:rFonts w:ascii="Arial" w:cs="Arial" w:eastAsia="Arial" w:hAnsi="Arial"/>
                <w:sz w:val="18"/>
                <w:szCs w:val="18"/>
                <w:color w:val="auto"/>
              </w:rPr>
              <w:t>instruments, net</w:t>
            </w:r>
            <w:r>
              <w:rPr>
                <w:rFonts w:ascii="Arial" w:cs="Arial" w:eastAsia="Arial" w:hAnsi="Arial"/>
                <w:sz w:val="23"/>
                <w:szCs w:val="23"/>
                <w:color w:val="auto"/>
                <w:vertAlign w:val="superscript"/>
              </w:rPr>
              <w:t>(d)</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1,333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1,459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(4,788)</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(e)</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378"/>
        </w:trPr>
        <w:tc>
          <w:tcPr>
            <w:tcW w:w="5620" w:type="dxa"/>
            <w:vAlign w:val="bottom"/>
          </w:tcPr>
          <w:p>
            <w:pPr>
              <w:ind w:left="22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(f)</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1,237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7,093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(g)</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r>
      <w:tr>
        <w:trPr>
          <w:trHeight w:val="310"/>
        </w:trPr>
        <w:tc>
          <w:tcPr>
            <w:tcW w:w="5620" w:type="dxa"/>
            <w:vAlign w:val="bottom"/>
          </w:tcPr>
          <w:p>
            <w:pPr>
              <w:ind w:left="220"/>
              <w:spacing w:after="0"/>
              <w:rPr>
                <w:sz w:val="20"/>
                <w:szCs w:val="20"/>
                <w:color w:val="auto"/>
              </w:rPr>
            </w:pPr>
            <w:r>
              <w:rPr>
                <w:rFonts w:ascii="Arial" w:cs="Arial" w:eastAsia="Arial" w:hAnsi="Arial"/>
                <w:sz w:val="18"/>
                <w:szCs w:val="18"/>
                <w:color w:val="auto"/>
              </w:rPr>
              <w:t>Impairment of investment in unconsolidated affiliate</w:t>
            </w:r>
            <w:r>
              <w:rPr>
                <w:rFonts w:ascii="Arial" w:cs="Arial" w:eastAsia="Arial" w:hAnsi="Arial"/>
                <w:sz w:val="23"/>
                <w:szCs w:val="23"/>
                <w:color w:val="auto"/>
                <w:vertAlign w:val="superscript"/>
              </w:rPr>
              <w:t>(h)</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9,613</w:t>
            </w:r>
          </w:p>
        </w:tc>
      </w:tr>
      <w:tr>
        <w:trPr>
          <w:trHeight w:val="297"/>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Professional services and other expenses relating to EO sterilization</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337"/>
        </w:trPr>
        <w:tc>
          <w:tcPr>
            <w:tcW w:w="5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facilities</w:t>
            </w:r>
            <w:r>
              <w:rPr>
                <w:rFonts w:ascii="Arial" w:cs="Arial" w:eastAsia="Arial" w:hAnsi="Arial"/>
                <w:sz w:val="23"/>
                <w:szCs w:val="23"/>
                <w:color w:val="auto"/>
                <w:vertAlign w:val="superscript"/>
              </w:rPr>
              <w:t>(i)</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18,518</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50,238</w:t>
            </w:r>
          </w:p>
        </w:tc>
      </w:tr>
      <w:tr>
        <w:trPr>
          <w:trHeight w:val="310"/>
        </w:trPr>
        <w:tc>
          <w:tcPr>
            <w:tcW w:w="5620" w:type="dxa"/>
            <w:vAlign w:val="bottom"/>
          </w:tcPr>
          <w:p>
            <w:pPr>
              <w:ind w:left="220"/>
              <w:spacing w:after="0"/>
              <w:rPr>
                <w:sz w:val="20"/>
                <w:szCs w:val="20"/>
                <w:color w:val="auto"/>
              </w:rPr>
            </w:pPr>
            <w:r>
              <w:rPr>
                <w:rFonts w:ascii="Arial" w:cs="Arial" w:eastAsia="Arial" w:hAnsi="Arial"/>
                <w:sz w:val="18"/>
                <w:szCs w:val="18"/>
                <w:color w:val="auto"/>
              </w:rPr>
              <w:t>Georgia EO litigation settlement</w:t>
            </w:r>
            <w:r>
              <w:rPr>
                <w:rFonts w:ascii="Arial" w:cs="Arial" w:eastAsia="Arial" w:hAnsi="Arial"/>
                <w:sz w:val="23"/>
                <w:szCs w:val="23"/>
                <w:color w:val="auto"/>
                <w:vertAlign w:val="superscript"/>
              </w:rPr>
              <w:t>(j)</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35,000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23"/>
                <w:szCs w:val="23"/>
                <w:color w:val="auto"/>
                <w:vertAlign w:val="superscript"/>
              </w:rPr>
              <w:t>(k)</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r>
      <w:tr>
        <w:trPr>
          <w:trHeight w:val="378"/>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(l)</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8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before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42,016</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hanging="492"/>
        <w:spacing w:after="0" w:line="254" w:lineRule="auto"/>
        <w:tabs>
          <w:tab w:leader="none" w:pos="4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three and nine months ended September 30, 2023 exclude $10.2 million and $18.0 million, respectively, of interest expense, net on Term Loan B attributable to the loan proceeds that were used to fund the $408.0 million Illinois EO litigation settlement. The three and nine months ended September 30, 2022 exclude $3.3 million of unrealized loss and $6.1 million of unrealized gain, respectively, on interest rate derivatives not designated as hedging instruments.</w:t>
      </w:r>
    </w:p>
    <w:p>
      <w:pPr>
        <w:spacing w:after="0" w:line="2" w:lineRule="exact"/>
        <w:rPr>
          <w:rFonts w:ascii="Arial" w:cs="Arial" w:eastAsia="Arial" w:hAnsi="Arial"/>
          <w:sz w:val="18"/>
          <w:szCs w:val="18"/>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share-based compensation expense to employees and non-employee directors.</w:t>
      </w:r>
    </w:p>
    <w:p>
      <w:pPr>
        <w:spacing w:after="0" w:line="9" w:lineRule="exact"/>
        <w:rPr>
          <w:rFonts w:ascii="Arial" w:cs="Arial" w:eastAsia="Arial" w:hAnsi="Arial"/>
          <w:sz w:val="18"/>
          <w:szCs w:val="18"/>
          <w:color w:val="auto"/>
        </w:rPr>
      </w:pPr>
    </w:p>
    <w:p>
      <w:pPr>
        <w:ind w:left="500" w:right="220" w:hanging="492"/>
        <w:spacing w:after="0" w:line="281" w:lineRule="auto"/>
        <w:tabs>
          <w:tab w:leader="none" w:pos="494"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spacing w:after="0" w:line="1" w:lineRule="exact"/>
        <w:rPr>
          <w:rFonts w:ascii="Arial" w:cs="Arial" w:eastAsia="Arial" w:hAnsi="Arial"/>
          <w:sz w:val="16"/>
          <w:szCs w:val="16"/>
          <w:color w:val="auto"/>
        </w:rPr>
      </w:pPr>
    </w:p>
    <w:p>
      <w:pPr>
        <w:ind w:left="500" w:right="60" w:hanging="492"/>
        <w:spacing w:after="0" w:line="250" w:lineRule="auto"/>
        <w:tabs>
          <w:tab w:leader="none" w:pos="4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Arial" w:cs="Arial" w:eastAsia="Arial" w:hAnsi="Arial"/>
          <w:sz w:val="18"/>
          <w:szCs w:val="18"/>
          <w:color w:val="auto"/>
        </w:rPr>
      </w:pPr>
    </w:p>
    <w:p>
      <w:pPr>
        <w:ind w:left="500" w:right="320" w:hanging="492"/>
        <w:spacing w:after="0" w:line="290" w:lineRule="auto"/>
        <w:tabs>
          <w:tab w:leader="none" w:pos="4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professional fees, exit costs, severance and other payroll costs, and other costs associated with business optimization and cost savings projects relating to the integration of acquisitions, operating structure realignment and other process enhancement projects.</w:t>
      </w:r>
    </w:p>
    <w:p>
      <w:pPr>
        <w:sectPr>
          <w:pgSz w:w="11900" w:h="16838" w:orient="portrait"/>
          <w:cols w:equalWidth="0" w:num="1">
            <w:col w:w="11240"/>
          </w:cols>
          <w:pgMar w:left="320" w:top="134" w:right="339" w:bottom="318"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318"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hanging="492"/>
        <w:spacing w:after="0" w:line="255"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 The nine months ended September 30, 2023 also includes a $1.0 million cancellation fee received from a tenant in connection with the termination of an office space lease at the Nordion facility.</w:t>
      </w:r>
    </w:p>
    <w:p>
      <w:pPr>
        <w:spacing w:after="0" w:line="2" w:lineRule="exact"/>
        <w:rPr>
          <w:rFonts w:ascii="Arial" w:cs="Arial" w:eastAsia="Arial" w:hAnsi="Arial"/>
          <w:sz w:val="18"/>
          <w:szCs w:val="18"/>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 impairment charge on our equity method investment in a joint venture. Refer to Note 1, “Basis of Presentation”.</w:t>
      </w:r>
    </w:p>
    <w:p>
      <w:pPr>
        <w:spacing w:after="0" w:line="9" w:lineRule="exact"/>
        <w:rPr>
          <w:rFonts w:ascii="Arial" w:cs="Arial" w:eastAsia="Arial" w:hAnsi="Arial"/>
          <w:sz w:val="18"/>
          <w:szCs w:val="18"/>
          <w:color w:val="auto"/>
        </w:rPr>
      </w:pPr>
    </w:p>
    <w:p>
      <w:pPr>
        <w:ind w:left="500" w:right="20" w:hanging="492"/>
        <w:spacing w:after="0" w:line="25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litigation and other professional fees associated with our EO sterilization facilities. This includes $10.2 million and $18.0 million of interest expense, net for the three and nine months ended September 30, 2023, respectively, associated with Term Loan B that was issued to finance the $408.0 million cost of the Willowbrook Settlement under the Willowbrook Settlement Agreements. See Note 15, “Commitments and Contingencies”.</w:t>
      </w:r>
    </w:p>
    <w:p>
      <w:pPr>
        <w:spacing w:after="0" w:line="1" w:lineRule="exact"/>
        <w:rPr>
          <w:rFonts w:ascii="Arial" w:cs="Arial" w:eastAsia="Arial" w:hAnsi="Arial"/>
          <w:sz w:val="18"/>
          <w:szCs w:val="18"/>
          <w:color w:val="auto"/>
        </w:rPr>
      </w:pPr>
    </w:p>
    <w:p>
      <w:pPr>
        <w:ind w:left="500" w:right="520" w:hanging="492"/>
        <w:spacing w:after="0" w:line="25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cost of the Gwinnett and Cobb Counties Settlement as outlined in the October 2023 Term Sheet, subject to all of the plaintiffs consenting to their respective settlement payment allocations. See Note 15, “Commitments and Contingencies”.</w:t>
      </w:r>
    </w:p>
    <w:p>
      <w:pPr>
        <w:ind w:left="500" w:right="20" w:hanging="492"/>
        <w:spacing w:after="0" w:line="25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8"/>
          <w:szCs w:val="18"/>
          <w:color w:val="auto"/>
        </w:rPr>
      </w:pPr>
    </w:p>
    <w:p>
      <w:pPr>
        <w:ind w:left="500" w:right="280" w:hanging="492"/>
        <w:spacing w:after="0" w:line="26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incremental costs to implement workplace health and safety measures.</w:t>
      </w: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4"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2022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2022 10-K.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8"/>
          <w:szCs w:val="8"/>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w:t>
      </w:r>
    </w:p>
    <w:p>
      <w:pPr>
        <w:spacing w:after="0" w:line="1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three and nine months ended September 30, 2023, respectively, we recorded net revenues of $263.2 million and $739.0 million, net loss of $13.7 million and net income of $12.7 million, Adjusted Net Income of $58.6 million and $156.0 million, and Adjusted EBITDA of $134.3 million and $361.3 million. For the definition of Adjusted Net Income and Adjusted EBITDA and the reconciliation of these non-GAAP measures from net income (loss), please see “Non-GAAP Financial Measures.”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DEVELOPMENTS AND KEY FACTORS AFFECTING OUR RESULTS OF OPERATIONS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summarizes strategic developments and key factors that have impacted our operating results for the three and nine months ended September 30, 2023 and may continue to affect our performance and financial condition in future periods.</w:t>
      </w:r>
    </w:p>
    <w:p>
      <w:pPr>
        <w:spacing w:after="0" w:line="58" w:lineRule="exact"/>
        <w:rPr>
          <w:sz w:val="20"/>
          <w:szCs w:val="20"/>
          <w:color w:val="auto"/>
        </w:rPr>
      </w:pPr>
    </w:p>
    <w:p>
      <w:pPr>
        <w:ind w:left="660" w:right="200" w:hanging="328"/>
        <w:spacing w:after="0" w:line="277"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Business and market conditions</w:t>
      </w:r>
      <w:r>
        <w:rPr>
          <w:rFonts w:ascii="Arial" w:cs="Arial" w:eastAsia="Arial" w:hAnsi="Arial"/>
          <w:sz w:val="17"/>
          <w:szCs w:val="17"/>
          <w:color w:val="auto"/>
        </w:rPr>
        <w:t>. Consolidated revenue and total segment income for the three months ended September 30, 2023 increased</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three months ended September 30, 2022, which was primarily a result of favorable pricing across all three business units and timing of Nordion’s Co-60 harvest volume and shipments, in alignment with management’s expectations. However, year-to-date volume contraction and an unfavorable business mix at Nelson Labs and Sterigenics resulted in a decline in consolidated net revenues and total segment income for the nine months ended September 30, 2023 compared to the same period in the prior year.</w:t>
      </w:r>
    </w:p>
    <w:p>
      <w:pPr>
        <w:spacing w:after="0" w:line="63" w:lineRule="exact"/>
        <w:rPr>
          <w:rFonts w:ascii="Arial" w:cs="Arial" w:eastAsia="Arial" w:hAnsi="Arial"/>
          <w:sz w:val="17"/>
          <w:szCs w:val="17"/>
          <w:color w:val="auto"/>
        </w:rPr>
      </w:pPr>
    </w:p>
    <w:p>
      <w:pPr>
        <w:ind w:left="660" w:right="1880"/>
        <w:spacing w:after="0" w:line="324" w:lineRule="auto"/>
        <w:rPr>
          <w:rFonts w:ascii="Arial" w:cs="Arial" w:eastAsia="Arial" w:hAnsi="Arial"/>
          <w:sz w:val="17"/>
          <w:szCs w:val="17"/>
          <w:color w:val="auto"/>
        </w:rPr>
      </w:pPr>
      <w:r>
        <w:rPr>
          <w:rFonts w:ascii="Arial" w:cs="Arial" w:eastAsia="Arial" w:hAnsi="Arial"/>
          <w:sz w:val="16"/>
          <w:szCs w:val="16"/>
          <w:color w:val="auto"/>
        </w:rPr>
        <w:t>As discussed in more detail in our 2022 10-K, a portion of our supply of Co-60 is generated by Russian nuclear reactors. We continue to monitor the potential for future disruption in the supply of Co-60 from Russian nuclear reactors.</w:t>
      </w:r>
    </w:p>
    <w:p>
      <w:pPr>
        <w:spacing w:after="0" w:line="25" w:lineRule="exact"/>
        <w:rPr>
          <w:rFonts w:ascii="Arial" w:cs="Arial" w:eastAsia="Arial" w:hAnsi="Arial"/>
          <w:sz w:val="17"/>
          <w:szCs w:val="17"/>
          <w:color w:val="auto"/>
        </w:rPr>
      </w:pPr>
    </w:p>
    <w:p>
      <w:pPr>
        <w:ind w:left="660" w:right="140" w:hanging="328"/>
        <w:spacing w:after="0" w:line="303"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Investment initiatives. </w:t>
      </w:r>
      <w:r>
        <w:rPr>
          <w:rFonts w:ascii="Arial" w:cs="Arial" w:eastAsia="Arial" w:hAnsi="Arial"/>
          <w:sz w:val="16"/>
          <w:szCs w:val="16"/>
          <w:color w:val="auto"/>
        </w:rPr>
        <w:t>We continue to advance our growth-related investments including our three active capacity expansion projects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Sterigenics segment and Co-60 development projects in the Nordion segment. In addition, Nelson Labs has progressed with expansion efforts to support pharma testing services alongside enhancements to the lab information management system. For the nine months ended September 30, 2023, capital expenditures increased by $39.5 million compared to the nine months ended September 30, 2022.</w:t>
      </w:r>
    </w:p>
    <w:p>
      <w:pPr>
        <w:spacing w:after="0" w:line="42" w:lineRule="exact"/>
        <w:rPr>
          <w:rFonts w:ascii="Arial" w:cs="Arial" w:eastAsia="Arial" w:hAnsi="Arial"/>
          <w:sz w:val="16"/>
          <w:szCs w:val="16"/>
          <w:color w:val="auto"/>
        </w:rPr>
      </w:pPr>
    </w:p>
    <w:p>
      <w:pPr>
        <w:ind w:left="660" w:right="520" w:hanging="328"/>
        <w:spacing w:after="0" w:line="28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Disciplined and strategic M&amp;A activity</w:t>
      </w:r>
      <w:r>
        <w:rPr>
          <w:rFonts w:ascii="Arial" w:cs="Arial" w:eastAsia="Arial" w:hAnsi="Arial"/>
          <w:sz w:val="18"/>
          <w:szCs w:val="18"/>
          <w:color w:val="auto"/>
        </w:rPr>
        <w:t>. We remain committed to our highly disciplined acquisition strategy and continue to seek suitable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targets.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ind w:left="328" w:right="40" w:hanging="328"/>
        <w:spacing w:after="0" w:line="256"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Litigation costs</w:t>
      </w:r>
      <w:r>
        <w:rPr>
          <w:rFonts w:ascii="Arial" w:cs="Arial" w:eastAsia="Arial" w:hAnsi="Arial"/>
          <w:sz w:val="18"/>
          <w:szCs w:val="18"/>
          <w:color w:val="auto"/>
        </w:rPr>
        <w:t>. We are currently the subject of tort lawsuits alleging personal injury by purported exposure to EO emitted by our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in Atlanta, Georgia and Santa Teresa, New Mexico and our former facility in Willowbrook, Illinois. In addition, we are defendants in a lawsuit brought by the State of New Mexico Attorney General alleging that emissions of EO from our Santa Teresa facility constitute a public nuisance and materially contributed to increased health risks suffered by residents in the area. We maintain that these facilities did not pose and do not pose any safety risk to their surrounding communities. We deny the allegations in these lawsuits and are vigorously defending against these claims.</w:t>
      </w:r>
    </w:p>
    <w:p>
      <w:pPr>
        <w:spacing w:after="0" w:line="83" w:lineRule="exact"/>
        <w:rPr>
          <w:rFonts w:ascii="Arial" w:cs="Arial" w:eastAsia="Arial" w:hAnsi="Arial"/>
          <w:sz w:val="18"/>
          <w:szCs w:val="18"/>
          <w:color w:val="auto"/>
        </w:rPr>
      </w:pPr>
    </w:p>
    <w:p>
      <w:pPr>
        <w:ind w:left="328" w:right="100"/>
        <w:spacing w:after="0" w:line="263" w:lineRule="auto"/>
        <w:rPr>
          <w:rFonts w:ascii="Arial" w:cs="Arial" w:eastAsia="Arial" w:hAnsi="Arial"/>
          <w:sz w:val="18"/>
          <w:szCs w:val="18"/>
          <w:color w:val="auto"/>
        </w:rPr>
      </w:pPr>
      <w:r>
        <w:rPr>
          <w:rFonts w:ascii="Arial" w:cs="Arial" w:eastAsia="Arial" w:hAnsi="Arial"/>
          <w:sz w:val="18"/>
          <w:szCs w:val="18"/>
          <w:color w:val="auto"/>
        </w:rPr>
        <w:t>In connection with ongoing litigation related to our Willowbrook, Illinois, Atlanta, Georgia and Santa Teresa, New Mexico facilities, as described in Note 15, “Commitments and Contingencies”, we recorded costs of $18.5 million and $51.9 million for the three and nine months ended September 30, 2023, respectively.</w:t>
      </w:r>
    </w:p>
    <w:p>
      <w:pPr>
        <w:spacing w:after="0" w:line="75" w:lineRule="exact"/>
        <w:rPr>
          <w:rFonts w:ascii="Arial" w:cs="Arial" w:eastAsia="Arial" w:hAnsi="Arial"/>
          <w:sz w:val="18"/>
          <w:szCs w:val="18"/>
          <w:color w:val="auto"/>
        </w:rPr>
      </w:pPr>
    </w:p>
    <w:p>
      <w:pPr>
        <w:ind w:left="328" w:right="120"/>
        <w:spacing w:after="0" w:line="279" w:lineRule="auto"/>
        <w:rPr>
          <w:rFonts w:ascii="Arial" w:cs="Arial" w:eastAsia="Arial" w:hAnsi="Arial"/>
          <w:sz w:val="18"/>
          <w:szCs w:val="18"/>
          <w:color w:val="auto"/>
        </w:rPr>
      </w:pPr>
      <w:r>
        <w:rPr>
          <w:rFonts w:ascii="Arial" w:cs="Arial" w:eastAsia="Arial" w:hAnsi="Arial"/>
          <w:sz w:val="17"/>
          <w:szCs w:val="17"/>
          <w:color w:val="auto"/>
        </w:rPr>
        <w:t>With respect to the litigation related to our Atlanta, Georgia facility, on October 16, 2023, Sterigenics and Sotera Health LLC (the “Settling Defendants”) entered a binding term sheet to resolve 79 EO claims against the Settling Defendants in Georgia (the “October 2023 Term Sheet”), including a case that was scheduled to begin trial in the State Court of Gwinnett County on October 23, 2023. Pursuant to the October 2023 Term Sheet, Sterigenics will pay $35 million and the settling plaintiffs’ claims will be dismissed with prejudice.</w:t>
      </w:r>
    </w:p>
    <w:p>
      <w:pPr>
        <w:spacing w:after="0" w:line="63" w:lineRule="exact"/>
        <w:rPr>
          <w:rFonts w:ascii="Arial" w:cs="Arial" w:eastAsia="Arial" w:hAnsi="Arial"/>
          <w:sz w:val="18"/>
          <w:szCs w:val="18"/>
          <w:color w:val="auto"/>
        </w:rPr>
      </w:pPr>
    </w:p>
    <w:p>
      <w:pPr>
        <w:ind w:left="328" w:right="20"/>
        <w:spacing w:after="0" w:line="257" w:lineRule="auto"/>
        <w:rPr>
          <w:rFonts w:ascii="Arial" w:cs="Arial" w:eastAsia="Arial" w:hAnsi="Arial"/>
          <w:sz w:val="18"/>
          <w:szCs w:val="18"/>
          <w:color w:val="auto"/>
        </w:rPr>
      </w:pPr>
      <w:r>
        <w:rPr>
          <w:rFonts w:ascii="Arial" w:cs="Arial" w:eastAsia="Arial" w:hAnsi="Arial"/>
          <w:sz w:val="18"/>
          <w:szCs w:val="18"/>
          <w:color w:val="auto"/>
        </w:rPr>
        <w:t>The settlement is subject to 100% of the plaintiffs consenting to their respective settlement payment allocations and to a stay of the trial that was scheduled to begin on October 23, 2023. Sterigenics has the right to waive the 100% participation requirement, in which case the settlement would be binding on only those plaintiffs who opted into the settlement. The Company denies any liability and the October 2023 Term Sheet explicitly provides that the settlement is not to be construed as an admission of any liability or that emissions from Sterigenics’ Atlanta facility have ever posed any safety hazard to the surrounding communities.</w:t>
      </w:r>
    </w:p>
    <w:p>
      <w:pPr>
        <w:spacing w:after="0" w:line="79" w:lineRule="exact"/>
        <w:rPr>
          <w:rFonts w:ascii="Arial" w:cs="Arial" w:eastAsia="Arial" w:hAnsi="Arial"/>
          <w:sz w:val="18"/>
          <w:szCs w:val="18"/>
          <w:color w:val="auto"/>
        </w:rPr>
      </w:pPr>
    </w:p>
    <w:p>
      <w:pPr>
        <w:ind w:left="328" w:right="120"/>
        <w:spacing w:after="0" w:line="254" w:lineRule="auto"/>
        <w:rPr>
          <w:rFonts w:ascii="Arial" w:cs="Arial" w:eastAsia="Arial" w:hAnsi="Arial"/>
          <w:sz w:val="18"/>
          <w:szCs w:val="18"/>
          <w:color w:val="auto"/>
        </w:rPr>
      </w:pPr>
      <w:r>
        <w:rPr>
          <w:rFonts w:ascii="Arial" w:cs="Arial" w:eastAsia="Arial" w:hAnsi="Arial"/>
          <w:sz w:val="18"/>
          <w:szCs w:val="18"/>
          <w:color w:val="auto"/>
        </w:rPr>
        <w:t>With respect to the litigation related to our former Willowbrook, Illinois facility, on January 9, 2023, the Settling Defendants entered into binding term sheets and on March 28, 2023, the Settling Defendants entered into full agreements to settle 879 pending and threatened EO claims against the Settling Defendants in the Circuit Court of Cook County, Illinois, and U.S. District Court for the Northern District of Illinois (the “Willowbrook Settlement” and “Willowbrook Settlement Agreements”). On May 1, 2023, pursuant to the Willowbrook Settlement Agreements, the Company paid $408.0 million into a settlement escrow fund to settle the claims, subject to the satisfaction or waiver of certain conditions, including but not limited to substantially all of the plaintiffs providing opt-in consents to their individual settlement allocations and dismissing their claims with prejudice.</w:t>
      </w:r>
    </w:p>
    <w:p>
      <w:pPr>
        <w:spacing w:after="0" w:line="86" w:lineRule="exact"/>
        <w:rPr>
          <w:rFonts w:ascii="Arial" w:cs="Arial" w:eastAsia="Arial" w:hAnsi="Arial"/>
          <w:sz w:val="18"/>
          <w:szCs w:val="18"/>
          <w:color w:val="auto"/>
        </w:rPr>
      </w:pPr>
    </w:p>
    <w:p>
      <w:pPr>
        <w:ind w:left="328" w:right="160"/>
        <w:spacing w:after="0" w:line="255" w:lineRule="auto"/>
        <w:rPr>
          <w:rFonts w:ascii="Arial" w:cs="Arial" w:eastAsia="Arial" w:hAnsi="Arial"/>
          <w:sz w:val="18"/>
          <w:szCs w:val="18"/>
          <w:color w:val="auto"/>
        </w:rPr>
      </w:pPr>
      <w:r>
        <w:rPr>
          <w:rFonts w:ascii="Arial" w:cs="Arial" w:eastAsia="Arial" w:hAnsi="Arial"/>
          <w:sz w:val="18"/>
          <w:szCs w:val="18"/>
          <w:color w:val="auto"/>
        </w:rPr>
        <w:t>On June 22, 2023, the opt-in process was completed for the January 2023 settlements of the EO claims against the Settling Defendants in the Circuit Court of Cook County, Illinois and the Settling Defendants elected to proceed with settlements with the 879 eligible claimants who opted in (the “Settling Claimants”). On June 30, 2023, all but an immaterial fraction of the settlement funds were released from escrow. The claims of the Settling Claimants against the Settling Defendants were dismissed with prejudice. An immaterial fraction of the settlement funds remains in escrow with respect to three claimants who did not opt in; these funds will revert to Sterigenics if these claimants do not opt in before December 31, 2023.</w:t>
      </w:r>
    </w:p>
    <w:p>
      <w:pPr>
        <w:spacing w:after="0" w:line="84" w:lineRule="exact"/>
        <w:rPr>
          <w:rFonts w:ascii="Arial" w:cs="Arial" w:eastAsia="Arial" w:hAnsi="Arial"/>
          <w:sz w:val="18"/>
          <w:szCs w:val="18"/>
          <w:color w:val="auto"/>
        </w:rPr>
      </w:pPr>
    </w:p>
    <w:p>
      <w:pPr>
        <w:ind w:left="328" w:right="20"/>
        <w:spacing w:after="0" w:line="301" w:lineRule="auto"/>
        <w:rPr>
          <w:rFonts w:ascii="Arial" w:cs="Arial" w:eastAsia="Arial" w:hAnsi="Arial"/>
          <w:sz w:val="18"/>
          <w:szCs w:val="18"/>
          <w:color w:val="auto"/>
        </w:rPr>
      </w:pPr>
      <w:r>
        <w:rPr>
          <w:rFonts w:ascii="Arial" w:cs="Arial" w:eastAsia="Arial" w:hAnsi="Arial"/>
          <w:sz w:val="16"/>
          <w:szCs w:val="16"/>
          <w:color w:val="auto"/>
        </w:rPr>
        <w:t>The Willowbrook Settlement Agreements provided a pathway to comprehensively resolve the claims pending and threatened against the Company in Illinois and thereby enable the Company to focus its attention on operating the business. The Company denies any liability and maintains that its Willowbrook, Illinois operations did not pose a safety risk to the community in which it operated and believes the evidence ultimately would have compelled the rejection of the plaintiffs’ claims. See Note 15, “Commitments and Contingencies” to our consolidated financial statements.</w:t>
      </w:r>
    </w:p>
    <w:p>
      <w:pPr>
        <w:spacing w:after="0" w:line="180" w:lineRule="exact"/>
        <w:rPr>
          <w:rFonts w:ascii="Arial" w:cs="Arial" w:eastAsia="Arial" w:hAnsi="Arial"/>
          <w:sz w:val="18"/>
          <w:szCs w:val="18"/>
          <w:color w:val="auto"/>
        </w:rPr>
      </w:pPr>
    </w:p>
    <w:p>
      <w:pPr>
        <w:jc w:val="both"/>
        <w:ind w:left="328" w:hanging="328"/>
        <w:spacing w:after="0" w:line="281" w:lineRule="auto"/>
        <w:tabs>
          <w:tab w:leader="none" w:pos="323"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Borrowings, financing costs and financial leverage</w:t>
      </w:r>
      <w:r>
        <w:rPr>
          <w:rFonts w:ascii="Arial" w:cs="Arial" w:eastAsia="Arial" w:hAnsi="Arial"/>
          <w:sz w:val="17"/>
          <w:szCs w:val="17"/>
          <w:color w:val="auto"/>
        </w:rPr>
        <w:t>. On February 23, 2023 the Company successfully closed on a new senior secured Term Loan</w:t>
      </w:r>
      <w:r>
        <w:rPr>
          <w:rFonts w:ascii="Arial" w:cs="Arial" w:eastAsia="Arial" w:hAnsi="Arial"/>
          <w:sz w:val="17"/>
          <w:szCs w:val="17"/>
          <w:b w:val="1"/>
          <w:bCs w:val="1"/>
          <w:color w:val="auto"/>
        </w:rPr>
        <w:t xml:space="preserve"> </w:t>
      </w:r>
      <w:r>
        <w:rPr>
          <w:rFonts w:ascii="Arial" w:cs="Arial" w:eastAsia="Arial" w:hAnsi="Arial"/>
          <w:sz w:val="17"/>
          <w:szCs w:val="17"/>
          <w:color w:val="auto"/>
        </w:rPr>
        <w:t>B facility in an aggregate principal amount of $500.0 million. The Company used the proceeds of this debt to pay down existing borrowings under the Company’s Revolving Credit Facility and fund the $408.0 million EO litigation settlement in Cook County, Illinois. In addition, the Company plans to use the remaining proceeds to further enhance liquidity and for other general corporate purposes.</w:t>
      </w:r>
    </w:p>
    <w:p>
      <w:pPr>
        <w:spacing w:after="0" w:line="60" w:lineRule="exact"/>
        <w:rPr>
          <w:rFonts w:ascii="Arial" w:cs="Arial" w:eastAsia="Arial" w:hAnsi="Arial"/>
          <w:sz w:val="17"/>
          <w:szCs w:val="17"/>
          <w:b w:val="1"/>
          <w:bCs w:val="1"/>
          <w:i w:val="1"/>
          <w:iCs w:val="1"/>
          <w:color w:val="auto"/>
        </w:rPr>
      </w:pPr>
    </w:p>
    <w:p>
      <w:pPr>
        <w:ind w:left="328" w:right="280"/>
        <w:spacing w:after="0" w:line="296" w:lineRule="auto"/>
        <w:rPr>
          <w:rFonts w:ascii="Arial" w:cs="Arial" w:eastAsia="Arial" w:hAnsi="Arial"/>
          <w:sz w:val="17"/>
          <w:szCs w:val="17"/>
          <w:b w:val="1"/>
          <w:bCs w:val="1"/>
          <w:i w:val="1"/>
          <w:iCs w:val="1"/>
          <w:color w:val="auto"/>
        </w:rPr>
      </w:pPr>
      <w:r>
        <w:rPr>
          <w:rFonts w:ascii="Arial" w:cs="Arial" w:eastAsia="Arial" w:hAnsi="Arial"/>
          <w:sz w:val="16"/>
          <w:szCs w:val="16"/>
          <w:color w:val="auto"/>
        </w:rPr>
        <w:t>On March 21, 2023, the Company also entered into an Incremental Facility Amendment to the First Lien Credit Agreement (“Revolving Credit Facility Amendment”), which provides for an increase in the commitments under the existing revolving credit facility in an aggregate principal amount of $76.3 million. The Revolving Credit Facility Amendment also provides additional commitments for the issuance of letters of credit under the Revolving Credit Facility in an aggregate principal amount of $165.1 million. After giving effect to the Revolving Credit Facility Amendment, the aggregate amount of the revolving commitments under the Revolving Credit Facility is $423.8 million.</w:t>
      </w:r>
    </w:p>
    <w:p>
      <w:pPr>
        <w:spacing w:after="0" w:line="200" w:lineRule="exact"/>
        <w:rPr>
          <w:sz w:val="20"/>
          <w:szCs w:val="20"/>
          <w:color w:val="auto"/>
        </w:rPr>
      </w:pPr>
    </w:p>
    <w:p>
      <w:pPr>
        <w:spacing w:after="0" w:line="31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87630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3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as compared to Three Months Ended September 30,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three months ended September 30, 2023 and 2022.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60" w:type="dxa"/>
            <w:vAlign w:val="bottom"/>
          </w:tcPr>
          <w:p>
            <w:pPr>
              <w:jc w:val="right"/>
              <w:ind w:right="392"/>
              <w:spacing w:after="0"/>
              <w:rPr>
                <w:sz w:val="20"/>
                <w:szCs w:val="20"/>
                <w:color w:val="auto"/>
              </w:rPr>
            </w:pPr>
            <w:r>
              <w:rPr>
                <w:rFonts w:ascii="Arial" w:cs="Arial" w:eastAsia="Arial" w:hAnsi="Arial"/>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263,177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117,193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112,691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69,886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76,098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20.4 %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58,640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64,508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(a)</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134,328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125,152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500" w:right="80" w:hanging="492"/>
        <w:spacing w:after="0" w:line="238" w:lineRule="auto"/>
        <w:tabs>
          <w:tab w:leader="none" w:pos="495"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please see the reconciliation included below in “Non-GAAP Financial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revenues by type for the three months ended September 30, 2023 to the three months ended September 30, 2022.</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3"/>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Net revenues for the three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40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227,120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36,057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12.7 %</w:t>
            </w:r>
          </w:p>
        </w:tc>
      </w:tr>
      <w:tr>
        <w:trPr>
          <w:trHeight w:val="27"/>
        </w:trPr>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263,177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248,704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revenues were $263.2 million in the three months ended September 30, 2023, an increase of $14.5 million, or 5.8%, as compared with the three months ended September 30, 2022. Excluding the impact of foreign currency exchange rates, net revenues in the three months ended September 30, 2023 increased approximately 4.3% compared with the three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Service revenues increased $10.4 million, or 4.8%, to $227.1 million in the three months ended September 30, 2023 as compared to $216.7 million in the three months ended September 30, 2022. The increase in net service revenue was driven by favorable pricing of $9.9 million and $2.3 million in the Sterigenics and Nelson Labs segments, respectively, coupled with a $4.4 million favorable impact from changes in foreign currency exchange rates across all segments. These growth factors were partially offset by unfavorable service revenue volume and mix of $6.3 million primarily in the Nelson Labs and Sterigenics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Product revenues increased $4.1 million, or 12.7%, to $36.1 million in the three months ended September 30, 2023 as compared to $32.0 million in the three months ended September 30, 2022. The increase in product revenues was attributable to favorable pricing of $3.2 million and volume and mix of $1.5 million, partially offset by a $0.6 million unfavorable impact from changes in foreign currency exchange rates.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cost of revenues by type for the three months ended September 30, 2023 to the three months ended September 30, 2022.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Cost of revenues for the three months ended September 30,</w:t>
            </w: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620" w:type="dxa"/>
            <w:vAlign w:val="bottom"/>
            <w:tcBorders>
              <w:top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99,772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13,613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117,193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112,691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cost of revenues accounted for approximately 44.5% and 45.3% of our consolidated net revenues for the three months ended September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Cost of service revenues increased $3.8 million, or 3.8%, for the three months ended September 30, 2023 as compared to the three months ended September 30, 2022. The key drivers of the increase in cost of service revenues were $2.2 million of higher employee compensation costs and $1.8 million of incremental depreciation related to capital assets recently placed in service, coupled with a $2.0 million unfavorable impact from changes in foreign currency exchange rates. Partially offsetting these factors was a $2.4 million decline in plant closure costs associated with the closure of the Willowbrook, Illinois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Cost of product revenues increased $0.7 million, or 5.4%, for the three months ended September 30, 2023 as compared to the three months ended September 30, 2022. The increase principally reflects higher Co-60 direct material costs compared to the same period in the prior year consistent with the increase in sales volume, partially offset by favorable impacts from changes in foreign currency exchange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operating expenses for the three months ended September 30, 2023 to the three months ended September 30, 2022:</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3"/>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for the three months ended September 30,</w:t>
            </w:r>
          </w:p>
        </w:tc>
        <w:tc>
          <w:tcPr>
            <w:tcW w:w="340" w:type="dxa"/>
            <w:vAlign w:val="bottom"/>
          </w:tcPr>
          <w:p>
            <w:pPr>
              <w:spacing w:after="0"/>
              <w:rPr>
                <w:sz w:val="24"/>
                <w:szCs w:val="24"/>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82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69,886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expenses accounted for approximately 26.6% and 29.3% of our consolidated net revenues for the three months ended September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SG&amp;A decreased $3.0 million, or 5.2%, for the three months ended September 30, 2023 as compared to the three months ended September 30, 2022. The decrease was driven primarily by a $6.1 million decline in litigation and other professional services expense associated with our EO sterilization facilities and $0.5 million decrease in professional services and fees incurred in connection with various business enhancement and compliance efforts. Partially offsetting this decrease was a $3.8 million increase in share-based compensation expense attributable to awards granted under the 2020 Omnibus Incentive Plan.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Amortization of intangible assets increased $0.1 million or 0.3% to $15.8 million for the three months ended September 30, 2023 as compared to the three months ended September 30, 2022 due mainly to changes in foreign currency exchange rates.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Interest expense, net increased $17.2 million, or 73.4%, for the three months ended September 30, 2023 as compared to the three months ended September 30, 2022. The increase was driven by a higher variable interest rate on borrowings previously outstanding in the same period of the prior year, resulting in $14.9 million of incremental interest expense coupled with interest expense of $11.3 million on incremental borrowings. In addition, amortization of debt issuance costs and debt discounts increased by $1.0 million. Partially offsetting the increase was a $3.4 million reduction to interest expense for interest capitalized on fixed assets, a $1.4 million increase in interest income on cash and cash equivalents on deposit at financial institutions and a $5.2 million net favorable change from interest rate derivative activity. The weighted average interest rate on our outstanding debt was 8.38% and 5.87% at September 30, 2023 and 2022,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Georgia EO Litigation Settlement</w:t>
      </w:r>
    </w:p>
    <w:p>
      <w:pPr>
        <w:spacing w:after="0" w:line="117"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On October 16, 2023, the Company reached an agreement to resolve 79 EO claims against the Settling Defendants in the State of Georgia. Under the terms of the agreement, the Company will pay $35.0 million and the settling plaintiffs’ claims will be dismissed with prejudice. The settlement is subject to all of the plaintiffs consenting to their respective settlement payment allocations and to a stay of the trial that was scheduled to begin on October 23,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Foreign exchange gain was $0.4 million for the three months ended September 30, 2023 as compared to a gain of $0.5 million in the three months ended September 30, 2022. The change in foreign exchange (gain) loss in our Consolidated Statements of Operations and Comprehensive Income (Loss) mainly relates to short-term gains and losses on transactions denominated in currencies other than the functional currency of our operating entities. As described in Note 16, “Financial Instruments and Financial Risk”, we enter into monthly U.S. dollar-denominated foreign currency forward contracts to manage foreign currency exchange rate risk related to our international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Other expense, net was $0.4 million for the three months ended September 30, 2023 compared to other income, net of $1.7 million for the three months ended September 30, 2022. The fluctuation was mainly driven by changes in the fair value of the embedded derivatives in Nordion’s contracts, resulting in a $1.5 million increase in other expense. In addition, pension income related to Nordion’s defined benefit pension plans decreased $0.6 million for the three months ended September 30, 2023 as compared to the three months ended September 30,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Provision for income tax decreased $2.8 million to a net provision of $14.1 million for the three months ended September 30, 2023 as compared to $16.9 million in the three months ended September 30, 2022. The change was partially attributable to lower pre-tax income in the three months ended September 30, 2023 compared to the three months ended September 30, 2022 (driven mainly by the $35.0 million Georgia EO litigation settlement accrual), partially offset by an increase in the valuation allowance, which was a direct result of the $35.0 million Georgia EO litigation settlement, as described in Note 15, “Commitments and Contingencies”. This expense will eliminate a current deduction of 2023 U.S. interest and increase the valuation allowance against our excess interest expense carryforward balance.</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Provision for income taxes for the three months ended September 30, 2023 differed from the statutory rate primarily due to an increase in the valuation allowance attributable to the limitation on the deductibility of interest expense, and global intangible low-tax income (“GILTI”). Provision for income taxes for the three months ended September 30, 2022 differed from the statutory rate primarily due to an increase in the valuation allowance, the impact of the foreign rate differential, and GILTI.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Adjusted Net Income and Adjusted EBITDA</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Net loss for the three months ended September 30, 2023 was $13.7 million, as compared to net income of $25.1 million for the three months ended September 30, 2022 due to the factors described above. Adjusted Net Income was $58.6 million for the three months ended September 30, 2023, as compared to $64.5 million for the three months ended September 30, 2022. Adjusted EBITDA was $134.3 million for the three months ended September 30, 2023, as compared to $125.2 million for the three months ended September 30, 2022. Please see “Non-GAAP Financial Measures” below for a reconciliation of Adjusted Net Income and Adjusted EBITDA to their most directly comparable financial measure calculated and presented in accordance with GAAP.</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Nine Months Ended September 30, 2023 as compared to Nine Months Ended September 30,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nine months ended September 30, 2023 and 2022.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60" w:type="dxa"/>
            <w:vAlign w:val="bottom"/>
          </w:tcPr>
          <w:p>
            <w:pPr>
              <w:jc w:val="right"/>
              <w:ind w:right="392"/>
              <w:spacing w:after="0"/>
              <w:rPr>
                <w:sz w:val="20"/>
                <w:szCs w:val="20"/>
                <w:color w:val="auto"/>
              </w:rPr>
            </w:pPr>
            <w:r>
              <w:rPr>
                <w:rFonts w:ascii="Arial" w:cs="Arial" w:eastAsia="Arial" w:hAnsi="Arial"/>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739,049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341,974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336,813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224,407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172,668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(15,514)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(73,454)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155,980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200,587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(44,607)</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(a)</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361,281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376,636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500" w:right="200" w:hanging="492"/>
        <w:spacing w:after="0" w:line="238" w:lineRule="auto"/>
        <w:tabs>
          <w:tab w:leader="none" w:pos="495"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revenues by type for the nine months ended September 30, 2023 to the nine months ended September 30, 2022.</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3"/>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Net revenues for the nine months ended September 30,</w:t>
            </w: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360" w:type="dxa"/>
            <w:vAlign w:val="bottom"/>
            <w:tcBorders>
              <w:top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644,451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ind w:left="435"/>
              <w:spacing w:after="0"/>
              <w:rPr>
                <w:sz w:val="20"/>
                <w:szCs w:val="20"/>
                <w:color w:val="auto"/>
              </w:rPr>
            </w:pPr>
            <w:r>
              <w:rPr>
                <w:rFonts w:ascii="Arial" w:cs="Arial" w:eastAsia="Arial" w:hAnsi="Arial"/>
                <w:sz w:val="18"/>
                <w:szCs w:val="18"/>
                <w:color w:val="auto"/>
                <w:w w:val="90"/>
              </w:rPr>
              <w:t>23,229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71,369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107,646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center"/>
              <w:ind w:left="395"/>
              <w:spacing w:after="0"/>
              <w:rPr>
                <w:sz w:val="20"/>
                <w:szCs w:val="20"/>
                <w:color w:val="auto"/>
              </w:rPr>
            </w:pPr>
            <w:r>
              <w:rPr>
                <w:rFonts w:ascii="Arial" w:cs="Arial" w:eastAsia="Arial" w:hAnsi="Arial"/>
                <w:sz w:val="18"/>
                <w:szCs w:val="18"/>
                <w:color w:val="auto"/>
                <w:w w:val="92"/>
              </w:rPr>
              <w:t>(36,277)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739,049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752,097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center"/>
              <w:ind w:left="395"/>
              <w:spacing w:after="0"/>
              <w:rPr>
                <w:sz w:val="20"/>
                <w:szCs w:val="20"/>
                <w:color w:val="auto"/>
              </w:rPr>
            </w:pPr>
            <w:r>
              <w:rPr>
                <w:rFonts w:ascii="Arial" w:cs="Arial" w:eastAsia="Arial" w:hAnsi="Arial"/>
                <w:sz w:val="18"/>
                <w:szCs w:val="18"/>
                <w:color w:val="auto"/>
                <w:w w:val="92"/>
              </w:rPr>
              <w:t>(13,048)</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Net revenues were $739.0 million in the nine months ended September 30, 2023, a decrease of $13.0 million, or 1.7%, as compared with the nine months ended September 30, 2022. Changes in foreign currency exchange rates had no material impact on consolidated net revenues in the nine months ended September 30, 2023 compared with the nine months ended September 30, 2022, although there were impacts when viewed at the segment reporting level.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Service revenues increased $23.2 million, or 3.6%, to $667.7 million in the nine months ended September 30, 2023 as compared to $644.5 million in the nine months ended September 30, 2022. The growth in net service revenues was driven by favorable pricing of $29.7 million and $6.5 million in the Sterigenics and Nelson Labs segments, respectively, coupled with a $3.2 million favorable impact from changes in foreign currency exchange rates. The increase in service revenue was partially offset by unfavorable volume and mix of $16.2 million across all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Product revenues decreased $36.3 million, or 33.7%, to $71.4 million in the nine months ended September 30, 2023 as compared to $107.6 million in the nine months ended September 30, 2022. The decrease in product revenues was mainly driven by lower volumes of $38.9 million in the Nordion segment and unfavorable changes in foreign currency exchange rates of $3.4 million. Partially offsetting this decline was a favorable pricing impact of $6.0 million.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cost of revenues by type for the nine months ended September 30, 2023 to the nine months ended September 30, 2022.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Cost of revenues for the nine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58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311,690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30,284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341,974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336,813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cost of revenues accounted for approximately 46.3% and 44.8% of our consolidated net revenues for the nine months ended September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Cost of service revenues increased $18.9 million, or 6.5%, for the nine months ended September 30, 2023 as compared to the nine months ended September 30, 2022. The key drivers of the increase in cost of service revenues were $8.4 million of higher employee compensation costs, $8.2 million of incremental depreciation related to capital assets recently placed in service, and $2.5 million of higher energy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Cost of product revenues decreased $13.8 million, or 31.3%, for the nine months ended September 30, 2023 as compared to the nine months ended September 30, 2022. The decrease principally reflects lower shipment volumes compared to the same period in the prior year coupled with a $1.9 million unfavorable impact from changes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operating expenses for the nine months ended September 30, 2023 to the nine months ended September 30, 2022:</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2"/>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for the nine months ended September 30,</w:t>
            </w:r>
          </w:p>
        </w:tc>
        <w:tc>
          <w:tcPr>
            <w:tcW w:w="32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760" w:type="dxa"/>
            <w:vAlign w:val="bottom"/>
            <w:tcBorders>
              <w:top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176,309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48,098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224,407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Operating expenses accounted for approximately 30.4% and 30.2% of our consolidated net revenues for the nine months ended September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SG&amp;A decreased $3.5 million, or 1.9%, for the nine months ended September 30, 2023 as compared to the nine months ended September 30, 2022. The decrease was driven primarily by a $16.1 million decrease in litigation and other professional services expense associated with EO sterilization facilities. This decrease was partially offset by a $9.2 million </w:t>
      </w:r>
      <w:r>
        <w:rPr>
          <w:rFonts w:ascii="Arial" w:cs="Arial" w:eastAsia="Arial" w:hAnsi="Arial"/>
          <w:sz w:val="16"/>
          <w:szCs w:val="16"/>
          <w:color w:val="231F20"/>
        </w:rPr>
        <w:t>increase in share-based compensation expense attributable to awards granted under the 2020 Omnibus</w:t>
      </w:r>
      <w:r>
        <w:rPr>
          <w:rFonts w:ascii="Arial" w:cs="Arial" w:eastAsia="Arial" w:hAnsi="Arial"/>
          <w:sz w:val="16"/>
          <w:szCs w:val="16"/>
          <w:color w:val="auto"/>
        </w:rPr>
        <w:t xml:space="preserve"> </w:t>
      </w:r>
      <w:r>
        <w:rPr>
          <w:rFonts w:ascii="Arial" w:cs="Arial" w:eastAsia="Arial" w:hAnsi="Arial"/>
          <w:sz w:val="16"/>
          <w:szCs w:val="16"/>
          <w:color w:val="231F20"/>
        </w:rPr>
        <w:t xml:space="preserve">Incentive Plan and a </w:t>
      </w:r>
      <w:r>
        <w:rPr>
          <w:rFonts w:ascii="Arial" w:cs="Arial" w:eastAsia="Arial" w:hAnsi="Arial"/>
          <w:sz w:val="16"/>
          <w:szCs w:val="16"/>
          <w:color w:val="000000"/>
        </w:rPr>
        <w:t>$2.0 million</w:t>
      </w:r>
      <w:r>
        <w:rPr>
          <w:rFonts w:ascii="Arial" w:cs="Arial" w:eastAsia="Arial" w:hAnsi="Arial"/>
          <w:sz w:val="16"/>
          <w:szCs w:val="16"/>
          <w:color w:val="231F20"/>
        </w:rPr>
        <w:t xml:space="preserve"> increase in selling and administrative personnel costs in support of various business enhancement and compliance efforts.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Amortization of intangible assets increased $0.8 million or 1.6% to $48.1 million for the nine months ended September 30, 2023 as compared to the nine months ended September 30, 2022 due mainly to changes in foreign currency exchange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expense, net increased $52.4 million, or 109.3%, for the nine months ended September 30, 2023 as compared to the nine months ended September 30, 2022. The increase was driven by a higher variable interest rate on borrowings previously outstanding in the same period of the prior year, resulting in $54.0 million of incremental interest expense coupled with interest expense of $28.9 million on incremental borrowings. In addition, amortization of debt issuance costs and debt discounts increased by $2.3 million. Partially offsetting the increase was a $13.0 million net favorable change from interest rate derivative activity, a $10.8 million increase in interest income on cash and cash equivalents on deposits at financial institutions and a $9.0 million reduction to interest expense for interest capitalized on fixed assets. The weighted average interest rate on our outstanding debt was 8.38% and 5.87% at September 30, 2023 and 2022,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Georgia EO Litigation Settlement</w:t>
      </w:r>
    </w:p>
    <w:p>
      <w:pPr>
        <w:spacing w:after="0" w:line="11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On October 16, 2023, the Company reached an agreement to resolve 79 EO claims against the Settling Defendants in the State of Georgia. Under the terms of the agreement, the Company will pay $35.0 million and the settling plaintiff’s claims will be dismissed with prejudice. The settlement is subject to all of the plaintiffs consenting to their respective settlement payment allocations and to a stay of the trial that was scheduled to begin on October 23,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Foreign exchange loss was $0.4 million for the nine months ended September 30, 2023 as compared to a gain of $0.5 million in the nine months ended September 30, 2022. The change in foreign exchange (gain) loss in our Consolidated Statements of Operations and Comprehensive Income (Loss) mainly relates to short-term losses and gains on transactions denominated in currencies other than the functional currency of our operating entities. As described in Note 16, “Financial Instruments and Financial Risk”, we enter into monthly U.S. dollar-denominated foreign currency forward contracts to manage foreign currency exchange rate risk of our intercompany loans in certain of our international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Other income, net decreased $0.9 million, or 21.3%, for the nine months ended September 30, 2023 compared to the nine months ended September 30, 2022. The fluctuation was mainly driven by a decrease in defined benefit pension income at Nordion of $1.5 million, partially offset by a $0.7 million decrease in the unrealized loss on embedded derivatives at Nordion.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Provision for income tax decreased $21.6 million to a net provision of $27.7 million for the nine months ended September 30, 2023 as compared to $49.2 million for the nine months ended September 30, 2022. The change was attributable to lower pre-tax income for the nine months ended September 30, 2023 compared to the nine months ended September 30, 2022 (driven mainly by the $35.0 million Georgia EO litigation settlement accrual), partially offset by an increase in the valuation allowance against our excess interest expense carryforward balance and the foreign rate differential. The increase in the valuation allowance was a direct result of the $35.0 million Georgia EO litigation settlement, as described in Note 15, “Commitments and Contingencies”. These expenses will eliminate a current deduction of 2023 U.S. interest and increases the valuation allowance against our excess interest expense carryforward balance.</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Provision for income taxes for the nine months ended September 30, 2023 differed from the statutory rate primarily due to a net increase in the valuation allowance attributable to the limitation on the deductibility of interest expense and the foreign rate differential, partially offset by a benefit for state income taxes. Provision for income taxes for the nine months ended September 30, 2022 differed from the statutory rate primarily due to a net increase in the valuation allowance, the impact of the foreign rate differential, and GILTI.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Adjusted Net Income and 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Net income for the nine months ended September 30, 2023 was $12.7 million, as compared to net income of $86.1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due to the factors described above. Adjusted Net Income was $156.0 million for the nine months ended September 30, 2023,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compared to $200.6 million for the nine months ended September 30, 2022. Adjusted EBITDA was $361.3 million for the nine months ended</w:t>
      </w:r>
    </w:p>
    <w:p>
      <w:pPr>
        <w:spacing w:after="0" w:line="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September 30, 2023, as compared to $376.6 million for the nine months ended September 30, 2022. Please see “Non-GAAP Financial Measures” below for a reconciliation of Adjusted Net Income and Adjusted EBITDA to their most directly comparable financial measure calculated and presented in accordance with GAAP.</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three reportable segments: Sterigenics, Nordion and Nelson Labs. Our chief operating decision maker evaluates performance and allocates resources within our business based on Segment Income, which excludes certain items which are included in income before tax as determined in our Consolidated Statements of Operations and Comprehensive Income (Loss). The accounting policies for our reportable segments are the same as those for the consolidated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Results for our Nordion segment are also impacted by Co-60 mix, harvest schedules, as well as customer, product and service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Nelson Labs business provides outsourced microbiological and analytical chemistry testing and advisory services for the medical device and pharmaceutical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our reportable segments please refer to Note 17, “Segment Information” to our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30, 2023 and 2022</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compare segment net revenue and segment income for the three months ended September 30, 2023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5"/>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23"/>
                <w:szCs w:val="23"/>
                <w:color w:val="auto"/>
              </w:rPr>
            </w:pPr>
          </w:p>
        </w:tc>
        <w:tc>
          <w:tcPr>
            <w:tcW w:w="12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5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168,347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157,723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40,098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35,071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280" w:type="dxa"/>
            <w:vAlign w:val="bottom"/>
          </w:tcPr>
          <w:p>
            <w:pPr>
              <w:spacing w:after="0"/>
              <w:rPr>
                <w:sz w:val="21"/>
                <w:szCs w:val="21"/>
                <w:color w:val="auto"/>
              </w:rPr>
            </w:pP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54,732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55,910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93,169</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85,587</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24,052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20,294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280" w:type="dxa"/>
            <w:vAlign w:val="bottom"/>
          </w:tcPr>
          <w:p>
            <w:pPr>
              <w:spacing w:after="0"/>
              <w:rPr>
                <w:sz w:val="21"/>
                <w:szCs w:val="21"/>
                <w:color w:val="auto"/>
              </w:rPr>
            </w:pP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17,107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19,271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17145</wp:posOffset>
            </wp:positionV>
            <wp:extent cx="1783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margin</w:t>
            </w:r>
          </w:p>
        </w:tc>
        <w:tc>
          <w:tcPr>
            <w:tcW w:w="1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55.3 %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54.3 %</w:t>
            </w:r>
          </w:p>
        </w:tc>
        <w:tc>
          <w:tcPr>
            <w:tcW w:w="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57.9 %</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31.3 %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34.5 %</w:t>
            </w:r>
          </w:p>
        </w:tc>
        <w:tc>
          <w:tcPr>
            <w:tcW w:w="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255" w:right="3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Net Revenues by Segment</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Sterigenics net revenues were $168.3 million for the three months ended September 30, 2023, an increase of $10.6 million, or 6.7%, as compared to the three months ended September 30, 2022. The increase was attributable to a 6.3% favorable impact from pricing as well as a 2.2% favorable impact from changes in foreign currency exchange rates. The increase in segment revenue was partially offset by an unfavorable impact from volume and mix of 1.8% compared to the same period in the prior year.</w:t>
      </w:r>
    </w:p>
    <w:p>
      <w:pPr>
        <w:spacing w:after="0" w:line="18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Nordion net revenues were $40.1 million for the three months ended September 30, 2023, an increase of $5.0 million, or 14.3%, as compared to the three months ended September 30, 2022. The increase was primarily attributable to favorable pricing of 9.4% and volume and mix of 6.9%, partially offset by a 2.0% unfavorable impact from changes in foreign currency exchange rates.</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Nelson Labs net revenues were $54.7 million for the three months ended September 30, 2023, a decrease of $1.2 million, or 2.1%, as compared to the three months ended September 30, 2022. The decrease was attributable to unfavorable volume and mix of 8.0%. Partially offsetting this decline was a favorable impact from pricing and foreign currency exchange rates of 4.1% and 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Sterigenics segment income was $93.2 million for the three months ended September 30, 2023, an increase of $7.6 million, or 8.9%, as compared to the three months ended September 30, 2022. The increase in segment income and segment income margin was primarily a result of favorable pricing, partially offset by unfavorable volume and mix, as well as inflation.</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Nordion segment income was $24.1 million for the three months ended September 30, 2023, an increase of $3.8 million, or 18.5%, as compared to the three months ended September 30, 2022. The increase in segment income and segment income margin was mainly driven by pricing and favorable volume and mix, partially offset by inflation.</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Nelson Labs segment income was $17.1 million for the three months ended September 30, 2023, a decrease of $2.2 million, or 11.2%, as compared to the three months ended September 30, 2022. The decrease in segment income and segment income margin was primarily a result of unfavorable volume and mix as well as inflation, partially offset by favorable pricing.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September 30, 2023 and 2022</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compare segment net revenue and segment income for the nine months ended September 30, 2023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0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2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23"/>
                <w:szCs w:val="23"/>
                <w:color w:val="auto"/>
              </w:rPr>
            </w:pPr>
          </w:p>
        </w:tc>
        <w:tc>
          <w:tcPr>
            <w:tcW w:w="12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50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494,934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464,977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80,624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119,551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43"/>
        </w:trPr>
        <w:tc>
          <w:tcPr>
            <w:tcW w:w="508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2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163,491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167,569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267,459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250,088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17,371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43,362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69,179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08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2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b w:val="1"/>
                <w:bCs w:val="1"/>
                <w:color w:val="auto"/>
              </w:rPr>
              <w:t>50,460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57,369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17145</wp:posOffset>
            </wp:positionV>
            <wp:extent cx="1800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margin</w:t>
            </w: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r>
      <w:tr>
        <w:trPr>
          <w:trHeight w:val="243"/>
        </w:trPr>
        <w:tc>
          <w:tcPr>
            <w:tcW w:w="508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54.0 %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53.8 %</w:t>
            </w:r>
          </w:p>
        </w:tc>
        <w:tc>
          <w:tcPr>
            <w:tcW w:w="1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30.9 %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34.2 %</w:t>
            </w:r>
          </w:p>
        </w:tc>
        <w:tc>
          <w:tcPr>
            <w:tcW w:w="1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Segment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Sterigenics net revenues were $494.9 million for the nine months ended September 30, 2023, an increase of $30.0 million, or 6.4%, as compared to the nine months ended September 30, 2022. The increase was attributable to pricing of 6.4%. Partially</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color w:val="auto"/>
        </w:rPr>
        <w:t>offsetting this factor was unfavorable volume and mix, which was equally offset by favorable changes in foreign currency exchange rates.</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Nordion net revenues were $80.6 million for the nine months ended September 30, 2023, a decrease of $38.9 million, or 32.6%, as compared to the nine months ended September 30, 2022. The decrease was driven by unfavorable volume and mix of 34.4% and an impact of 3.3% from changes in foreign exchange rates. Partially offsetting this decrease was a favorable impact from pricing of 5.1%.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Nelson Labs net revenues were $163.5 million for the nine months ended September 30, 2023, a decrease of $4.1 million, or 2.4%, as compared to the nine months ended September 30, 2022. The decrease was attributable to unfavorable volume and mix of 6.8%, partially offset by favorable impact from pricing and changes in foreign currency exchange rates of 3.9% and 0.5%,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Sterigenics segment income was $267.5 million for the nine months ended September 30, 2023, an increase of $17.4 million, or 6.9%, as compared to the nine months ended September 30, 2022. The increase in segment income was fueled mainly by favorable pricing, as referenced above, partially offset by unfavorable volume and mix as well as ongoing pressure from inflation.</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Nordion segment income was $43.4 million for the nine months ended September 30, 2023, a decrease of $25.8 million, or 37.3%, as compared to the nine months ended September 30, 2022. The decrease in segment income and segment income margin was driven mainly by an expected unfavorable volume and mix compared to the same period of the prior year.</w:t>
      </w:r>
    </w:p>
    <w:p>
      <w:pPr>
        <w:spacing w:after="0" w:line="18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Nelson Labs segment income was $50.5 million for the nine months ended September 30, 2023, a decrease of $6.9 million, or 12.0%, as compared to the nine months ended September 30, 2022. The decrease in segment income and segment income margin was primarily a result of unfavorable volume and mix coupled with the ongoing impact of inflation, partially offset by favorable pricing.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231F20"/>
        </w:rPr>
        <w:t>To supplement our consolidated financial statements presented in accordance with GAAP, we consider Adjusted Net Income and Adjusted EBITDA, financial measures that are not based on any standardized methodology prescribed by GAAP.</w:t>
      </w:r>
    </w:p>
    <w:p>
      <w:pPr>
        <w:spacing w:after="0" w:line="17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231F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w:t>
      </w:r>
    </w:p>
    <w:p>
      <w:pPr>
        <w:spacing w:after="0" w:line="76" w:lineRule="exact"/>
        <w:rPr>
          <w:sz w:val="20"/>
          <w:szCs w:val="20"/>
          <w:color w:val="auto"/>
        </w:rPr>
      </w:pPr>
    </w:p>
    <w:p>
      <w:pPr>
        <w:ind w:left="660" w:right="400" w:hanging="328"/>
        <w:spacing w:after="0" w:line="277" w:lineRule="auto"/>
        <w:tabs>
          <w:tab w:leader="none" w:pos="65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4" w:name="page45"/>
    <w:bookmarkEnd w:id="44"/>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costs of acquiring and integrating businesses, which will continue to be a part of our growth strategy;</w:t>
      </w:r>
    </w:p>
    <w:p>
      <w:pPr>
        <w:spacing w:after="0" w:line="117" w:lineRule="exact"/>
        <w:rPr>
          <w:rFonts w:ascii="Arial" w:cs="Arial" w:eastAsia="Arial" w:hAnsi="Arial"/>
          <w:sz w:val="18"/>
          <w:szCs w:val="18"/>
          <w:color w:val="231F20"/>
        </w:rPr>
      </w:pPr>
    </w:p>
    <w:p>
      <w:pPr>
        <w:ind w:left="660" w:right="120" w:hanging="328"/>
        <w:spacing w:after="0" w:line="308" w:lineRule="auto"/>
        <w:tabs>
          <w:tab w:leader="none" w:pos="655" w:val="left"/>
        </w:tabs>
        <w:numPr>
          <w:ilvl w:val="0"/>
          <w:numId w:val="24"/>
        </w:numPr>
        <w:rPr>
          <w:rFonts w:ascii="Arial" w:cs="Arial" w:eastAsia="Arial" w:hAnsi="Arial"/>
          <w:sz w:val="17"/>
          <w:szCs w:val="17"/>
          <w:color w:val="231F20"/>
        </w:rPr>
      </w:pPr>
      <w:r>
        <w:rPr>
          <w:rFonts w:ascii="Arial" w:cs="Arial" w:eastAsia="Arial" w:hAnsi="Arial"/>
          <w:sz w:val="17"/>
          <w:szCs w:val="17"/>
          <w:color w:val="231F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38" w:lineRule="exact"/>
        <w:rPr>
          <w:rFonts w:ascii="Arial" w:cs="Arial" w:eastAsia="Arial" w:hAnsi="Arial"/>
          <w:sz w:val="17"/>
          <w:szCs w:val="17"/>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impairment charges on long-lived assets, intangible assets and investments accounted for under the equity method;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on extinguishment of debt incurred in connection with refinancing or early extinguishment of long-term debt;</w:t>
      </w:r>
    </w:p>
    <w:p>
      <w:pPr>
        <w:spacing w:after="0" w:line="117"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24"/>
        </w:numPr>
        <w:rPr>
          <w:rFonts w:ascii="Arial" w:cs="Arial" w:eastAsia="Arial" w:hAnsi="Arial"/>
          <w:sz w:val="16"/>
          <w:szCs w:val="16"/>
          <w:color w:val="231F20"/>
        </w:rPr>
      </w:pPr>
      <w:r>
        <w:rPr>
          <w:rFonts w:ascii="Arial" w:cs="Arial" w:eastAsia="Arial" w:hAnsi="Arial"/>
          <w:sz w:val="16"/>
          <w:szCs w:val="16"/>
          <w:color w:val="231F20"/>
        </w:rPr>
        <w:t>expenses and charges related to the litigation, settlement agreements, and other activities associated with our EO sterilization facilities, including those related to Willowbrook, Illinois, Atlanta, Georgia and Santa Teresa, New Mexico, even though that litigation remains ongoing;</w:t>
      </w:r>
    </w:p>
    <w:p>
      <w:pPr>
        <w:spacing w:after="0" w:line="15" w:lineRule="exact"/>
        <w:rPr>
          <w:rFonts w:ascii="Arial" w:cs="Arial" w:eastAsia="Arial" w:hAnsi="Arial"/>
          <w:sz w:val="16"/>
          <w:szCs w:val="16"/>
          <w:color w:val="231F20"/>
        </w:rPr>
      </w:pPr>
    </w:p>
    <w:p>
      <w:pPr>
        <w:ind w:left="660" w:right="100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in the case of Adjusted EBITDA, interest expense or the cash requirements necessary to service interest or principal payments on our indebtedness; and</w:t>
      </w:r>
    </w:p>
    <w:p>
      <w:pPr>
        <w:spacing w:after="0" w:line="62" w:lineRule="exact"/>
        <w:rPr>
          <w:rFonts w:ascii="Arial" w:cs="Arial" w:eastAsia="Arial" w:hAnsi="Arial"/>
          <w:sz w:val="18"/>
          <w:szCs w:val="18"/>
          <w:color w:val="231F20"/>
        </w:rPr>
      </w:pPr>
    </w:p>
    <w:p>
      <w:pPr>
        <w:ind w:left="660" w:right="46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31F20"/>
        </w:rPr>
        <w:t>In evaluating Adjusted Net Income and Adjusted EBITDA, you should be aware that in the future, we will incur expenses similar to the adjustments in the table below.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39"/>
        </w:trPr>
        <w:tc>
          <w:tcPr>
            <w:tcW w:w="6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(13,660)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86,149</w:t>
            </w:r>
          </w:p>
        </w:tc>
      </w:tr>
      <w:tr>
        <w:trPr>
          <w:trHeight w:val="233"/>
        </w:trPr>
        <w:tc>
          <w:tcPr>
            <w:tcW w:w="6100" w:type="dxa"/>
            <w:vAlign w:val="bottom"/>
          </w:tcPr>
          <w:p>
            <w:pPr>
              <w:ind w:left="360"/>
              <w:spacing w:after="0"/>
              <w:rPr>
                <w:sz w:val="20"/>
                <w:szCs w:val="20"/>
                <w:color w:val="auto"/>
              </w:rPr>
            </w:pPr>
            <w:r>
              <w:rPr>
                <w:rFonts w:ascii="Arial" w:cs="Arial" w:eastAsia="Arial" w:hAnsi="Arial"/>
                <w:sz w:val="16"/>
                <w:szCs w:val="16"/>
                <w:color w:val="auto"/>
              </w:rPr>
              <w:t>Amortization of intangibles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61,290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61,596</w:t>
            </w:r>
          </w:p>
        </w:tc>
      </w:tr>
      <w:tr>
        <w:trPr>
          <w:trHeight w:val="33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14,955</w:t>
            </w:r>
          </w:p>
        </w:tc>
      </w:tr>
      <w:tr>
        <w:trPr>
          <w:trHeight w:val="260"/>
        </w:trPr>
        <w:tc>
          <w:tcPr>
            <w:tcW w:w="6100" w:type="dxa"/>
            <w:vAlign w:val="bottom"/>
          </w:tcPr>
          <w:p>
            <w:pPr>
              <w:ind w:left="360"/>
              <w:spacing w:after="0"/>
              <w:rPr>
                <w:sz w:val="20"/>
                <w:szCs w:val="20"/>
                <w:color w:val="auto"/>
              </w:rPr>
            </w:pPr>
            <w:r>
              <w:rPr>
                <w:rFonts w:ascii="Arial" w:cs="Arial" w:eastAsia="Arial" w:hAnsi="Arial"/>
                <w:sz w:val="16"/>
                <w:szCs w:val="16"/>
                <w:color w:val="auto"/>
                <w:w w:val="92"/>
              </w:rPr>
              <w:t>Loss (gain) on foreign currency and derivatives not designated as hedging instruments,</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3"/>
        </w:trPr>
        <w:tc>
          <w:tcPr>
            <w:tcW w:w="6100" w:type="dxa"/>
            <w:vAlign w:val="bottom"/>
          </w:tcPr>
          <w:p>
            <w:pPr>
              <w:ind w:left="360"/>
              <w:spacing w:after="0" w:line="252" w:lineRule="exact"/>
              <w:rPr>
                <w:sz w:val="20"/>
                <w:szCs w:val="20"/>
                <w:color w:val="auto"/>
              </w:rPr>
            </w:pPr>
            <w:r>
              <w:rPr>
                <w:rFonts w:ascii="Arial" w:cs="Arial" w:eastAsia="Arial" w:hAnsi="Arial"/>
                <w:sz w:val="29"/>
                <w:szCs w:val="29"/>
                <w:color w:val="auto"/>
                <w:vertAlign w:val="subscript"/>
              </w:rPr>
              <w:t>net</w:t>
            </w:r>
            <w:r>
              <w:rPr>
                <w:rFonts w:ascii="Arial" w:cs="Arial" w:eastAsia="Arial" w:hAnsi="Arial"/>
                <w:sz w:val="10"/>
                <w:szCs w:val="10"/>
                <w:color w:val="auto"/>
              </w:rPr>
              <w:t>(b)</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3,194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(4,788)</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1,237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7,093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1,609</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w:t>
            </w:r>
          </w:p>
        </w:tc>
      </w:tr>
      <w:tr>
        <w:trPr>
          <w:trHeight w:val="243"/>
        </w:trPr>
        <w:tc>
          <w:tcPr>
            <w:tcW w:w="6100" w:type="dxa"/>
            <w:vAlign w:val="bottom"/>
          </w:tcPr>
          <w:p>
            <w:pPr>
              <w:ind w:left="360"/>
              <w:spacing w:after="0"/>
              <w:rPr>
                <w:sz w:val="20"/>
                <w:szCs w:val="20"/>
                <w:color w:val="auto"/>
              </w:rPr>
            </w:pPr>
            <w:r>
              <w:rPr>
                <w:rFonts w:ascii="Arial" w:cs="Arial" w:eastAsia="Arial" w:hAnsi="Arial"/>
                <w:sz w:val="16"/>
                <w:szCs w:val="16"/>
                <w:color w:val="auto"/>
              </w:rPr>
              <w:t>Impairment of investment in unconsolidated affiliate</w:t>
            </w:r>
            <w:r>
              <w:rPr>
                <w:rFonts w:ascii="Arial" w:cs="Arial" w:eastAsia="Arial" w:hAnsi="Arial"/>
                <w:sz w:val="21"/>
                <w:szCs w:val="21"/>
                <w:color w:val="auto"/>
                <w:vertAlign w:val="superscript"/>
              </w:rPr>
              <w:t>(f)</w:t>
            </w: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9,613</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Professional services and other expenses relating to EO sterilization facilities</w:t>
            </w:r>
            <w:r>
              <w:rPr>
                <w:rFonts w:ascii="Arial" w:cs="Arial" w:eastAsia="Arial" w:hAnsi="Arial"/>
                <w:sz w:val="21"/>
                <w:szCs w:val="21"/>
                <w:color w:val="auto"/>
                <w:vertAlign w:val="superscript"/>
              </w:rPr>
              <w:t>(g)</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51,900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50,238</w:t>
            </w:r>
          </w:p>
        </w:tc>
      </w:tr>
      <w:tr>
        <w:trPr>
          <w:trHeight w:val="243"/>
        </w:trPr>
        <w:tc>
          <w:tcPr>
            <w:tcW w:w="6100" w:type="dxa"/>
            <w:vAlign w:val="bottom"/>
          </w:tcPr>
          <w:p>
            <w:pPr>
              <w:ind w:left="360"/>
              <w:spacing w:after="0"/>
              <w:rPr>
                <w:sz w:val="20"/>
                <w:szCs w:val="20"/>
                <w:color w:val="auto"/>
              </w:rPr>
            </w:pPr>
            <w:r>
              <w:rPr>
                <w:rFonts w:ascii="Arial" w:cs="Arial" w:eastAsia="Arial" w:hAnsi="Arial"/>
                <w:sz w:val="16"/>
                <w:szCs w:val="16"/>
                <w:color w:val="auto"/>
              </w:rPr>
              <w:t>Georgia EO litigation settlement</w:t>
            </w:r>
            <w:r>
              <w:rPr>
                <w:rFonts w:ascii="Arial" w:cs="Arial" w:eastAsia="Arial" w:hAnsi="Arial"/>
                <w:sz w:val="21"/>
                <w:szCs w:val="21"/>
                <w:color w:val="auto"/>
                <w:vertAlign w:val="superscript"/>
              </w:rPr>
              <w:t>(h)</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Accretion of asset retirement obligations</w:t>
            </w:r>
            <w:r>
              <w:rPr>
                <w:rFonts w:ascii="Arial" w:cs="Arial" w:eastAsia="Arial" w:hAnsi="Arial"/>
                <w:sz w:val="21"/>
                <w:szCs w:val="21"/>
                <w:color w:val="auto"/>
                <w:vertAlign w:val="superscript"/>
              </w:rPr>
              <w:t>(i)</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(j)</w:t>
            </w: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(k)</w:t>
            </w: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(13,100)</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(7,753)</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(39,451)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(25,337)</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58,640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64,508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155,980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200,587</w:t>
            </w:r>
          </w:p>
        </w:tc>
      </w:tr>
      <w:tr>
        <w:trPr>
          <w:trHeight w:val="243"/>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 net</w:t>
            </w:r>
            <w:r>
              <w:rPr>
                <w:rFonts w:ascii="Arial" w:cs="Arial" w:eastAsia="Arial" w:hAnsi="Arial"/>
                <w:sz w:val="21"/>
                <w:szCs w:val="21"/>
                <w:color w:val="auto"/>
                <w:vertAlign w:val="superscript"/>
              </w:rPr>
              <w:t>(l)</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30,464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82,275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53,974</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(m)</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17,994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15,885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55,913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47,496</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(n)</w:t>
            </w: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27,230</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24,679</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67,113</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74,579</w:t>
            </w:r>
          </w:p>
        </w:tc>
      </w:tr>
      <w:tr>
        <w:trPr>
          <w:trHeight w:val="236"/>
        </w:trPr>
        <w:tc>
          <w:tcPr>
            <w:tcW w:w="6100" w:type="dxa"/>
            <w:vAlign w:val="bottom"/>
          </w:tcPr>
          <w:p>
            <w:pPr>
              <w:ind w:left="20"/>
              <w:spacing w:after="0" w:line="237"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(o)</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134,328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125,152</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361,281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376,636</w:t>
            </w:r>
          </w:p>
        </w:tc>
      </w:tr>
      <w:tr>
        <w:trPr>
          <w:trHeight w:val="21"/>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share-based compensation expense to employees and non-employee directors.</w:t>
      </w:r>
    </w:p>
    <w:p>
      <w:pPr>
        <w:spacing w:after="0" w:line="36" w:lineRule="exact"/>
        <w:rPr>
          <w:rFonts w:ascii="Arial" w:cs="Arial" w:eastAsia="Arial" w:hAnsi="Arial"/>
          <w:sz w:val="18"/>
          <w:szCs w:val="18"/>
          <w:color w:val="auto"/>
        </w:rPr>
      </w:pPr>
    </w:p>
    <w:p>
      <w:pPr>
        <w:ind w:left="660" w:right="60" w:hanging="652"/>
        <w:spacing w:after="0" w:line="308" w:lineRule="auto"/>
        <w:tabs>
          <w:tab w:leader="none" w:pos="402"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ind w:left="660" w:right="160" w:hanging="652"/>
        <w:spacing w:after="0" w:line="263" w:lineRule="auto"/>
        <w:tabs>
          <w:tab w:leader="none" w:pos="3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45" w:name="page46"/>
    <w:bookmarkEnd w:id="45"/>
    <w:p>
      <w:pPr>
        <w:ind w:left="660"/>
        <w:spacing w:after="0"/>
        <w:rPr>
          <w:sz w:val="20"/>
          <w:szCs w:val="20"/>
          <w:color w:val="auto"/>
        </w:rPr>
      </w:pPr>
      <w:r>
        <w:rPr>
          <w:rFonts w:ascii="Arial" w:cs="Arial" w:eastAsia="Arial" w:hAnsi="Arial"/>
          <w:sz w:val="18"/>
          <w:szCs w:val="18"/>
          <w:color w:val="auto"/>
        </w:rPr>
        <w:t>income and non-cash deferred lease income associated with the terms of the divestiture of the Medical Isotopes business in 2018.</w:t>
      </w:r>
    </w:p>
    <w:p>
      <w:pPr>
        <w:spacing w:after="0" w:line="36" w:lineRule="exact"/>
        <w:rPr>
          <w:sz w:val="20"/>
          <w:szCs w:val="20"/>
          <w:color w:val="auto"/>
        </w:rPr>
      </w:pPr>
    </w:p>
    <w:p>
      <w:pPr>
        <w:ind w:left="660" w:right="360" w:hanging="652"/>
        <w:spacing w:after="0" w:line="308" w:lineRule="auto"/>
        <w:tabs>
          <w:tab w:leader="none" w:pos="4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professional fees, exit costs, severance and other payroll costs, and other costs associated with business optimization and cost savings projects relating to the integration of acquisitions, operating structure realignment and other process enhancement projects.</w:t>
      </w:r>
    </w:p>
    <w:p>
      <w:pPr>
        <w:ind w:left="660" w:right="300" w:hanging="652"/>
        <w:spacing w:after="0" w:line="255" w:lineRule="auto"/>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 The nine months ended September 30, 2023 also includes a $1.0 million cancellation fee received from a tenant in connection with the termination of an office space lease at the Nordion facility.</w:t>
      </w:r>
    </w:p>
    <w:p>
      <w:pPr>
        <w:spacing w:after="0" w:line="2" w:lineRule="exact"/>
        <w:rPr>
          <w:rFonts w:ascii="Arial" w:cs="Arial" w:eastAsia="Arial" w:hAnsi="Arial"/>
          <w:sz w:val="18"/>
          <w:szCs w:val="18"/>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an impairment charge on our equity method investment in a joint venture. Refer to Note 1, “Basis of Presentation”.</w:t>
      </w:r>
    </w:p>
    <w:p>
      <w:pPr>
        <w:spacing w:after="0" w:line="35" w:lineRule="exact"/>
        <w:rPr>
          <w:rFonts w:ascii="Arial" w:cs="Arial" w:eastAsia="Arial" w:hAnsi="Arial"/>
          <w:sz w:val="18"/>
          <w:szCs w:val="18"/>
          <w:color w:val="auto"/>
        </w:rPr>
      </w:pPr>
    </w:p>
    <w:p>
      <w:pPr>
        <w:ind w:left="660" w:right="120" w:hanging="652"/>
        <w:spacing w:after="0" w:line="258" w:lineRule="auto"/>
        <w:tabs>
          <w:tab w:leader="none" w:pos="4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litigation and other professional fees associated with our EO sterilization facilities. This includes $10.2 million and $18.0 million of interest expense, net for the three and nine months ended September 30, 2023, respectively, associated with Term Loan B that was issued to finance the $408.0 million cost of the Willowbrook Settlement under the Willowbrook Settlement Agreements. See Note 15, “Commitments and Contingencies”.</w:t>
      </w:r>
    </w:p>
    <w:p>
      <w:pPr>
        <w:ind w:left="660" w:right="660" w:hanging="652"/>
        <w:spacing w:after="0" w:line="290" w:lineRule="auto"/>
        <w:tabs>
          <w:tab w:leader="none" w:pos="402"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cost of the Gwinnett and Cobb Counties Settlement as outlined in the October 2023 Term Sheet, subject to all of the plaintiffs consenting to their respective settlement payment allocations. See Note 15, “Commitments and Contingencies”.</w:t>
      </w:r>
    </w:p>
    <w:p>
      <w:pPr>
        <w:ind w:left="660" w:right="360" w:hanging="652"/>
        <w:spacing w:after="0" w:line="281" w:lineRule="auto"/>
        <w:tabs>
          <w:tab w:leader="none" w:pos="362"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7"/>
          <w:szCs w:val="17"/>
          <w:color w:val="auto"/>
        </w:rPr>
      </w:pPr>
    </w:p>
    <w:p>
      <w:pPr>
        <w:ind w:left="660" w:right="480" w:hanging="652"/>
        <w:spacing w:after="0" w:line="258" w:lineRule="auto"/>
        <w:tabs>
          <w:tab w:leader="none" w:pos="362"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Represents non-recurring costs associated with the COVID-19 pandemic, including incremental costs to implement workplace health and safety measures.</w:t>
      </w:r>
    </w:p>
    <w:p>
      <w:pPr>
        <w:spacing w:after="0" w:line="1" w:lineRule="exact"/>
        <w:rPr>
          <w:rFonts w:ascii="Arial" w:cs="Arial" w:eastAsia="Arial" w:hAnsi="Arial"/>
          <w:sz w:val="18"/>
          <w:szCs w:val="18"/>
          <w:color w:val="231F20"/>
        </w:rPr>
      </w:pPr>
    </w:p>
    <w:p>
      <w:pPr>
        <w:ind w:left="660" w:right="120" w:hanging="652"/>
        <w:spacing w:after="0" w:line="257" w:lineRule="auto"/>
        <w:tabs>
          <w:tab w:leader="none" w:pos="402"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Arial" w:cs="Arial" w:eastAsia="Arial" w:hAnsi="Arial"/>
          <w:sz w:val="18"/>
          <w:szCs w:val="18"/>
          <w:color w:val="231F20"/>
        </w:rPr>
      </w:pPr>
    </w:p>
    <w:p>
      <w:pPr>
        <w:ind w:left="660" w:right="60" w:hanging="652"/>
        <w:spacing w:after="0" w:line="259" w:lineRule="auto"/>
        <w:tabs>
          <w:tab w:leader="none" w:pos="3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three and nine months ended September 30, 2023 exclude $10.2 million and $18.0 million, respectively, of interest expense, net, on Term Loan B attributable to the loan proceeds that were used to fund the $408.0 million cost of the Willowbrook Settlement. The three and nine months ended September 30, 2022 exclude $3.3 million of unrealized loss and $6.1 million of unrealized gain, respectively, on interest rate derivatives not designated as hedging instruments.</w:t>
      </w:r>
    </w:p>
    <w:p>
      <w:pPr>
        <w:spacing w:after="0" w:line="11" w:lineRule="exact"/>
        <w:rPr>
          <w:rFonts w:ascii="Arial" w:cs="Arial" w:eastAsia="Arial" w:hAnsi="Arial"/>
          <w:sz w:val="18"/>
          <w:szCs w:val="18"/>
          <w:color w:val="auto"/>
        </w:rPr>
      </w:pPr>
    </w:p>
    <w:p>
      <w:pPr>
        <w:ind w:left="440" w:hanging="432"/>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63" w:lineRule="exact"/>
        <w:rPr>
          <w:sz w:val="20"/>
          <w:szCs w:val="20"/>
          <w:color w:val="auto"/>
        </w:rPr>
      </w:pPr>
    </w:p>
    <w:p>
      <w:pPr>
        <w:ind w:left="380" w:right="460" w:hanging="647"/>
        <w:spacing w:after="0" w:line="273" w:lineRule="auto"/>
        <w:tabs>
          <w:tab w:leader="none" w:pos="360" w:val="left"/>
        </w:tabs>
        <w:rPr>
          <w:sz w:val="20"/>
          <w:szCs w:val="20"/>
          <w:color w:val="auto"/>
        </w:rPr>
      </w:pPr>
      <w:r>
        <w:rPr>
          <w:rFonts w:ascii="Arial" w:cs="Arial" w:eastAsia="Arial" w:hAnsi="Arial"/>
          <w:sz w:val="16"/>
          <w:szCs w:val="16"/>
          <w:color w:val="231F20"/>
        </w:rPr>
        <w:t>(n</w:t>
      </w:r>
      <w:r>
        <w:rPr>
          <w:rFonts w:ascii="Arial" w:cs="Arial" w:eastAsia="Arial" w:hAnsi="Arial"/>
          <w:sz w:val="17"/>
          <w:szCs w:val="17"/>
          <w:color w:val="000000"/>
        </w:rPr>
        <w:t>)</w:t>
      </w:r>
      <w:r>
        <w:rPr>
          <w:sz w:val="20"/>
          <w:szCs w:val="20"/>
          <w:color w:val="auto"/>
        </w:rPr>
        <w:tab/>
      </w:r>
      <w:r>
        <w:rPr>
          <w:rFonts w:ascii="Arial" w:cs="Arial" w:eastAsia="Arial" w:hAnsi="Arial"/>
          <w:sz w:val="18"/>
          <w:szCs w:val="18"/>
          <w:color w:val="auto"/>
        </w:rPr>
        <w:t>Represents the difference between the income tax provision as determined under U.S. GAAP and the income tax benefit associated with pre-tax adjustments described in footnote (k).</w:t>
      </w:r>
    </w:p>
    <w:p>
      <w:pPr>
        <w:spacing w:after="0" w:line="2"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$22.4 million and $22.1 million of the adjustments for the three months ended September 30, 2023 and 2022, respectively, and $69.7 million and</w:t>
      </w:r>
    </w:p>
    <w:p>
      <w:pPr>
        <w:spacing w:after="0" w:line="46"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$62.8 million of the adjustments for the nine months ended September 30, 2023 and 2022, respectively, are included in cost of revenues, primarily consisting of amortization of intangible assets, depreciation, and accretion of asset retirement obligations.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Cash</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primary sources of liquidity for our business are cash flows from operations and borrowings under our credit facilities. As of September 30, 2023, we had $252.5 million of cash and cash equivalents. This is a decrease of $143.8 million from the balance at December 31, 2022. The decrease in cash and cash equivalents was mainly attributable to the release of approximately $408.0 million to settle the EO claims against the Settling Defendants in Cook County, Illinois and a $200.0 million paydown of the outstanding balance on the Revolving Credit Facility. Partially offsetting this decrease was $500.0 million in proceeds from the issuance of Term Loan B on February 23, 2023. Our foreign subsidiaries held cash of approximately $167.5 million at September 30, 2023 and $158.3 million at December 31, 2022, to meet their liquidity needs. No material restrictions exist to accessing cash held by our foreign subsidiaries notwithstanding any potential tax consequences.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46" w:name="page47"/>
    <w:bookmarkEnd w:id="46"/>
    <w:p>
      <w:pPr>
        <w:spacing w:after="0" w:line="270" w:lineRule="auto"/>
        <w:rPr>
          <w:sz w:val="20"/>
          <w:szCs w:val="20"/>
          <w:color w:val="auto"/>
        </w:rPr>
      </w:pPr>
      <w:r>
        <w:rPr>
          <w:rFonts w:ascii="Arial" w:cs="Arial" w:eastAsia="Arial" w:hAnsi="Arial"/>
          <w:sz w:val="17"/>
          <w:szCs w:val="17"/>
          <w:color w:val="auto"/>
        </w:rPr>
        <w:t>On February 23, 2023, we entered into the First Lien Credit Agreement (the “2023 Credit Agreement”), which provides for, among other things, a new Term Loan B facility (the “2023 Term Loan”) in an aggregate principal amount of $500.0 million and bears interest, at the Company’s option, at a variable rate per annum equal to either (x) the Term SOFR Rate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this debt to fund a previously announced $408.0 million EO litigation settlement in Cook County, Illinois on May 1, 2023 and pay down existing borrowings under the Company’s revolving credit facility. In addition, the Company plans to use the remaining proceeds to further enhance liquidity and for general corporate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Uses of Cash</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expect that cash on hand, operating cash flows and amounts available under our credit facilities will provide sufficient working capital to operate our business, meet foreseeable liquidity requirements, including debt service on our long-term debt, make expected capital expenditures including investments in fixed assets to build and/or expand existing facilities, and meet litigation costs that we expect to continue to incur for at least the next twelve months. Our primary long-term liquidity requirements beyond the next 12 months will be to service our debt, make capital expenditures, and fund suitable business acquisitions. As of September 30, 2023,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 and debt service requirements will depend on our future financial performance, which will be affected by a range of macroeconomic, competitive and business factors, including interest rate changes and changes in our industry, many of which are outside of our control. As of September 30, 2023, our interest rate caps and swap limit our cash flow exposure of our variable rate borrowings under the Term Loans. Refer to Note 16, “Financial Instruments and Financial Risk”,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additional information regarding the interest rate caps used to manage economic risks associated with our variable rate borrowings.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nine months ended September 30, 2023, our capital expenditures amounted to $150.1 million, compared to $110.6 million for the nine months ended September 30,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58"/>
        </w:trPr>
        <w:tc>
          <w:tcPr>
            <w:tcW w:w="20" w:type="dxa"/>
            <w:vAlign w:val="bottom"/>
          </w:tcPr>
          <w:p>
            <w:pPr>
              <w:spacing w:after="0"/>
              <w:rPr>
                <w:sz w:val="13"/>
                <w:szCs w:val="13"/>
                <w:color w:val="auto"/>
              </w:rPr>
            </w:pPr>
          </w:p>
        </w:tc>
        <w:tc>
          <w:tcPr>
            <w:tcW w:w="850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3"/>
                <w:szCs w:val="13"/>
                <w:color w:val="auto"/>
              </w:rPr>
            </w:pPr>
          </w:p>
        </w:tc>
        <w:tc>
          <w:tcPr>
            <w:tcW w:w="14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3"/>
                <w:szCs w:val="13"/>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69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2022</w:t>
            </w: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69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(260,855)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176,035</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(110,158)</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269,752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r>
      <w:tr>
        <w:trPr>
          <w:trHeight w:val="263"/>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 including restricted cash</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(143,760)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58,037</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Cash flows from operating activities decreased $436.9 million to net cash used of $260.9 million in the nine months ended September 30, 2023 compared to net cash provided of $176.0 million for the nine months ended September 30, 2022. The decrease in cash flows from operating activities in the nine months ended September 30, 2023 compared to the nine months ended September 30, 2022 was primarily due to the release of the settlement funds of approximately $408.0 million on June 30, 2023 in connection with the settlements of the EO claims in Cook County, Illinois.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used by investing activities increased $39.9 million to net cash used of $150.1 million in the nine months ended September 30, 2023 compared to</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$110.2 million for the nine months ended September 30, 2022. The variance was primarily driven by an increase in capital expenditures of $39.5 million in the nine months ended September 30, 2023 compared to the nine months ended September 30,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provided by financing activities increased $271.2 million to net cash provided of $269.8 million for the nine months ended September 30, 2023 compared to $1.5 million of cash used for financing activities for the nine months ended September 30, 2022. The difference was mainly attributable to $500.0 million in proceeds from the issuance of Term Loan B on February 23, 2023 partially offset by the $200.0 million paydown of the outstanding balance on the revolving credit facility and the payment of $25.6 million of debt issuance costs incurred in connection with the issuance of Term Loan B and the revolving credit facility amendment during the nine months ended September 30, 2023, as described in “Debt Facilities” below. Financing activities for the nine months ended September 30, 2023 were insignificant.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Term Loan mature on June 13, 2026 and December 13, 2026, respectively. After giving effect to the Revolving Credit Facility Amendment (defined below),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 As of September 30, 2023 and December 31, 2022, total borrowings under the Term Loan were $1,763.1 million. The weighted average interest rate on borrowings under the Term Loan for the three months ended September 30, 2023 and September 30, 2022 was 8.14% and 4.96%, respectively, and 7.82% and 3.92% for the nine months ended September 30, 2023 and September 30, 2022, respectively.</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February 23, 2023, we entered into the First Lien Credit Agreement (the “2023 Credit Agreement”), which provides for, among other things, a new Term Loan B facility in an aggregate principal amount of $500.0 million and bears interest, at the Company’s option, at a variable rate per annum equal to either (x) the Term Secured Overnight Financing Rate (“Term SOFR”)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the 2023 Term Loan to fund a previously announced $408.0 million EO litigation settlement in Cook County, Illinois and pay down the $200.0 million of existing borrowings under the Revolving Credit Facility concurrent with the funding of the 2023 Term Loan on February 23, 2023. In addition, the Company plans to use the remaining proceeds to further enhance liquidity and for general corporate purposes. The weighted average interest rate on borrowings under the 2023 Term Loan for the three and six months ended September 30, 2023 was 8.84%.</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March 21, 2023, the Company entered into an Incremental Facility Amendment to the Credit Agreement (“Revolving Credit Facility Amendment”), which provides for an increase in the commitments under the existing Revolving Credit Facility in an aggregate principal amount of $76.3 million. In addition, certain of the lenders providing revolving credit commitments provided additional commitments for the issuance of the letters of credit under the Revolving Credit Facility in an aggregate principal amount of $165.1 million. The Revolving Credit Facility Amendment also provides for the replacement of the reference interest rate option for Revolving Loans from London Interbank Offered Rate (“LIBOR”) to SOFR plus an applicable credit spread adjustment of 0.10% (subject to a minimum floor of 0.00%). After giving effect to the Revolving Credit Facility Amendment, the aggregate amount of the lenders’ revolving commitments is $423.8 million. The maturity date of the Revolving Credit Facility remains June 13, 2026. The Company borrowed $200.0 million under the Revolving Credit Facility during the fourth quarter of 2022, which was repaid in the first quarter of 2023, as noted above. As of September 30, 2023, there were no borrowings outstanding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8" w:name="page49"/>
    <w:bookmarkEnd w:id="48"/>
    <w:p>
      <w:pPr>
        <w:spacing w:after="0" w:line="289" w:lineRule="auto"/>
        <w:rPr>
          <w:sz w:val="20"/>
          <w:szCs w:val="20"/>
          <w:color w:val="auto"/>
        </w:rPr>
      </w:pPr>
      <w:r>
        <w:rPr>
          <w:rFonts w:ascii="Arial" w:cs="Arial" w:eastAsia="Arial" w:hAnsi="Arial"/>
          <w:sz w:val="16"/>
          <w:szCs w:val="16"/>
          <w:color w:val="auto"/>
        </w:rPr>
        <w:t>The Senior Secured Credit Facilities and 2023 Credit Agreement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and 2023 Credit Agreement. The Senior Secured Credit Facilities and 2023 Credit Agreement also contain certain customary affirmative covenants and events of default, including upon a change of control. An event of default under the Senior Secured Credit Facilities and 2023 Credit Agreement would occur if the Company or certain of its subsidiaries received one or more enforceable judgments for payment in an aggregate amount in excess of $100.0 million, which judgment or judgments are not stayed or remain undischarged for a period of sixty consecutive days or if, in order to enforce such a judgment, a judgment creditor attached or levied upon assets that are material to the business and operations, taken as a whole, of the Company and certain of its subsidiaries. As of September 30, 2023, we were in compliance with all of the Senior Secured Credit Facilities and 2023 Credit Agreement covenants.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of SHH’s obligations under the Senior Secured Credit Facilities and 2023 Credit Agreement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2023 Credit Agreement, and the guarantees of such obligations, are secured by substantially all assets of the borrower and guarantors, subject to permitted liens and other exceptions and exclusions, as outlined in the Senior Secured Credit Facilities and 2023 Credit Agreement.</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September 30, 2023, the Company had $24.0 million of letters of credit issued against the Revolving Credit Facility, resulting in total availability under the Revolving Credit Facility of $399.8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The Company utilizes interest rate derivatives to reduce the variability of cash flows in the interest payments associated with our variable rate debt due to changes in LIBOR (up to June 22, 2023) and Term SOFR. For additional information on the derivative instruments described above, refer to Note 16, “Financial Instruments and Financial Risk”, </w:t>
      </w:r>
      <w:r>
        <w:rPr>
          <w:rFonts w:ascii="Arial" w:cs="Arial" w:eastAsia="Arial" w:hAnsi="Arial"/>
          <w:sz w:val="18"/>
          <w:szCs w:val="18"/>
          <w:i w:val="1"/>
          <w:iCs w:val="1"/>
          <w:color w:val="auto"/>
        </w:rPr>
        <w:t>“Derivative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 Transition</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Publication of all U.S. LIBOR tenors ceased after June 30, 2023. To align with the market phaseout of LIBOR, SHH entered into an amendment to the Senior Secured Credit Facilities to replace the LIBOR-based reference interest rate option under the Term Loan with a reference interest rate option based on Term SOFR plus an applicable credit spread adjustment of 0.11448% (for one-month interest periods), 0.26161% (for three-month interest periods) and 0.42826% (for six-month interest periods) (in all cases, subject to a minimum floor of 0.50%).</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In accordance with ASC 848 </w:t>
      </w:r>
      <w:r>
        <w:rPr>
          <w:rFonts w:ascii="Arial" w:cs="Arial" w:eastAsia="Arial" w:hAnsi="Arial"/>
          <w:sz w:val="18"/>
          <w:szCs w:val="18"/>
          <w:i w:val="1"/>
          <w:iCs w:val="1"/>
          <w:color w:val="auto"/>
        </w:rPr>
        <w:t>Reference Rate Reform</w:t>
      </w:r>
      <w:r>
        <w:rPr>
          <w:rFonts w:ascii="Arial" w:cs="Arial" w:eastAsia="Arial" w:hAnsi="Arial"/>
          <w:sz w:val="18"/>
          <w:szCs w:val="18"/>
          <w:color w:val="auto"/>
        </w:rPr>
        <w:t>, we have elected to apply certain optional expedients for contract modifications and hedging relationships for derivative instruments impacted by the benchmark interest rate transition. The optional expedients remove the requirement to remeasure contract modifications or dedesignate hedging relationships impacted by reference rate reform.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8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 comprehensive discussion of the Company’s critical accounting policies and management estimates made in connection with the preparation of the financial statements is included in Item 7 of 2022 10-K. There have been no significant changes in critical accounting policies, management estimates or accounting policies since the year ended December 31, 2022.</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description of recent accounting pronouncements applicable to our business, see Note 2, “Recent Accounting Standards” to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Market risks are described within “Quantitative and Qualitative Disclosures About Market Risk” in Part II, Item 7A of our Form 10-K. These market risks have not materially changed for the three and nine months ended September 30,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management, with the participation of our Chief Executive Officer (“CEO”) and Chief Financial Officer (“CFO”), has evaluated the effectiveness of the Company’s “disclosure controls and procedures,” (as defined in Rules 13a-15(e) and 15d-15(e) under the Securities Exchange Act of 1934, as amended (“Exchange Act”)). Based upon their evaluation, the CEO and CFO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and nine months ended September 30, 2023,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From time to time, we may be subject to various legal proceedings arising in the ordinary course of our business, including claims relating to personal injury, property damage, workers’ compensation and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Described in Note 15, “Commitments and Contingencies”, of Our Consolidated Financial Statements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Note 15, “Commitments and Contingencies” to our consolidated financial statements for the three and nine months ended September 30, 2023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15, “Commitments and Contingencies” for information regarding the following legal proceedings, which information is incorporated into this item by reference:</w:t>
      </w:r>
    </w:p>
    <w:p>
      <w:pPr>
        <w:spacing w:after="0" w:line="15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Ethylene Oxide Tort Litigation – Illinois, Georgia and New Mexico;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Insurance Coverage for Environmental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Sotera Health Company Securities Litigation and Related Matters.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That Are Not Described in Note 15, “Commitments and Contingencies” to Our Consolidated Financial Statements</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the matters that are identified in Note 15, “Commitments and Contingencies” to our consolidated financial statements for the three and nine months ended September 30, 2023 contained in this Quarterly Report on Form 10-Q, and incorporated into this item by reference, the following matters also constitute material pending legal proceedings, other than ordinary course litigation incidental to our business, to which we are or any of our subsidiaries is a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Zoetermeer, Holland Criminal Proceedings and Criminal Financial Investigation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2010, the Dutch Public Prosecution Service started criminal proceedings against our subsidiary DEROSS Holding B.V. (“DEROSS”), in relation to alleged environmental permit violations for EO emissions in the period from 2004 to 2009 at its Zoetermeer processing facility. We agreed to defend and indemnify the two individuals overseeing environmental compliance during the time period of the alleged claims by the Public Prosecutor. In November 2010, the Public Prosecution Service also started a criminal financial investigation against DEROSS to determine whether it obtained illegal advantages by committing the alleged criminal offenses noted above.</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February 2018, DEROSS and the two individuals received favorable judgments from the trial court, which did not hold any of them responsible for the alleged criminal offenses. In March 2018, the Public Prosecutor filed an appeal against the favorable judgments. In May 2023, the Public Prosecutor agreed to a resolution of the proceedings against DEROSS and the two individuals. Pursuant to this agreed resolution, the Public Prosecutor has withdrawn the appeals against the 2018 judgments in the cases of the two individuals. In addition, the Public Prosecutor has agreed to terminate the proceedings against DEROSS on the condition that DEROSS fulfills its obligations under the agreed resolution, including a contribution of €990,000 to a charity. The resolution of proceedings against DEROSS is further conditioned on approval by the Dutch courts.</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 escrow was established in 2011 to satisfy indemnity claims for losses related to this matter. The balance of the special escrow funds as of September 30, 2023 was approximately US$1.7 million and the cash collateral held by ABN Amro to provide security for the claims was approximately €2.4 million (US$2.5 million) as of September 30, 2023. At this time, there can be no assurance that the agreed resolution of this matter will be completed. If resolution is unsuccessful, we expect that the appeal of this matter could take several years to resolve; however, we believe the indemnification receivable continues to be recoverable and plan to ensure escrow funds remain in place to cover the agreed resolution described above or outcomes of an appeal.</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51" w:name="page52"/>
    <w:bookmarkEnd w:id="51"/>
    <w:p>
      <w:pPr>
        <w:ind w:right="120"/>
        <w:spacing w:after="0" w:line="279" w:lineRule="auto"/>
        <w:rPr>
          <w:sz w:val="20"/>
          <w:szCs w:val="20"/>
          <w:color w:val="auto"/>
        </w:rPr>
      </w:pPr>
      <w:r>
        <w:rPr>
          <w:rFonts w:ascii="Arial" w:cs="Arial" w:eastAsia="Arial" w:hAnsi="Arial"/>
          <w:sz w:val="17"/>
          <w:szCs w:val="17"/>
          <w:color w:val="auto"/>
        </w:rPr>
        <w:t>While we have received letters in past years from a small number of individuals claiming to live or work in the vicinity of the Zoetermeer facility, no civil claims have been filed against DEROSS or us. It is possible that these or other individuals living in the vicinity of the Zoetermeer facility may file civil claims at some time in the future. We have not provided for a contingency reserve in connection with any civil claims as we are unable to determine the likelihood of an unfavorable outcome and no reasonable estimate of a loss or range of losses, if any, can be made.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of Violation at Queensbury, New York Ethylene Oxide Sterilization Facility</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late May 2023, Sterigenics’ Queensbury, New York facility experienced a power outage that resulted in a failure to restart the facility’s scrubber system, which is part of the facility’s emission control systems. The disruption of the facility’s scrubber lasted for approximately 48 hours. Upon discovering the disruption, the facility restarted the scrubber to control emissions within the system and then ceased operations. Operating without the scrubber resulted in nine intermittent releases of ethylene oxide over a period of 48 hours from the 78-foot stack at the facility.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Sterigenics promptly notified the New York State Department of Environmental Conservation (“DEC”) and the US Environmental Protection Agency (“US EPA”) about the failure of the scrubber system and resulting releases of ethylene oxide. Sterigenics implemented remedial measures to prevent a recurrence in the event of future power outages and, with the DEC’s approval, resumed operations at the Queensbury facility 12 days after ceasing operations. On May 30, 2023, Sterigenics received a Notice of Violation (“NOV”) from the DEC and in September 2023, the DEC offered to settle the NOV for an immaterial amount as well as requirements to implement additional emissions monitoring and back-up power at the facility. Sterigenics is assessing the DEC settlement offer.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Notices of Violation at Vernon and Ontario, California Ethylene Oxide Sterilization Facilities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2022, the South Coast Air Quality Management District (“SCAQMD”) in Southern California initiated an investigation into ethylene oxide sterilization facilities located in the SCAQMD region, including Sterigenics’ facilities in Vernon and Ontario, California. In connection with this investigation, SCAQMD issued NOVs to the Vernon and Ontario facilities relating to alleged violations of SCAQMD operational, maintenance, permitting and reporting requirements and alleging that levels of ambient EO detected by SCAQMD during 2022 caused a public nuisance for off-site workers around the facilities in violation of general prohibitions on emissions. Sterigenics disputes the merits of the alleged violations. In October 2023, SCAQMD offered a settlement proposal, which Sterigenics is assessing. Sterigenics expects to negotiate final terms and settle these NOVs for an immaterial amount.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risk factor titled “We are subject to extensive regulatory requirements and routine regulatory audits in our operations. …” included in Part I, Item 1A, “Risk Factors” of our 2022 Form 10-K for the year ended December 31, 2022, as amended by our Quarterly Reports on Form 10-Q for the quarter ended March 31, 2023 and June 30, 2023, is hereby updated by deleting the final paragraph thereof and substituting the paragraph immediately below in its place. Other than such substitution, the text of the risk factor is unchanged.</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In April 2023, the US EPA proposed stricter EO regulations based on the 2016 IRIS Assessment, including (1) a proposed interim decision under FIFRA that sets forth measures designed to mitigate EO exposure, in particular for workers exposed to EO in occupational settings, and (2) proposed amendments to the NESHAP governing commercial EO sterilization facilities like ours that would require these facilities to implement additional air pollution control technologies, practices and procedures designed to further reduce EO emissions from EO facilities. These April 2023 proposals contain a number of proposed requirements that are inconsistent with existing industry practices and set forth proposed implementation timelines that would be difficult to meet at existing facilities for some of the proposed requirements. The public comment period on these proposals closed in late June 2023, with thousands of comments received by the US EPA, which may lead to clarifications and revisions in the final US EPA regulations. Although we have been implementing enhancements at our EO sterilization facilities in the United States that we expect will facilitate our ability to meet many of the proposed requirements, certain facets of the proposed requirements are untested or not widely adopted at existing EO sterilization facilities. Compliance with the proposals in the form proposed in April 2023 will require additional facility modifications as well as added capital and operational costs, and some requirements (if adopted as proposed) could be unachievable at our EO facilities and at existing EO facilities throughout the industry. The US EPA is expected to adopt final NESHAP requirements by March of 2024 and adopt an interim decision under FIFRA by later in 2024. The US EPA’s April 2023 proposals contemplate that existing facilities will be required to comply with many of the requirements as soon as 18 months following adoption.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Rule 10b5-1 Trading Plans</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three and nine months ended September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exhibits listed in the following Exhibit Index are filed, furnished, or incorporated by reference as part of this Quarterly Report on Form 10-Q.</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Incorporated by Reference</w:t>
            </w:r>
          </w:p>
        </w:tc>
        <w:tc>
          <w:tcPr>
            <w:tcW w:w="1640" w:type="dxa"/>
            <w:vAlign w:val="bottom"/>
          </w:tcPr>
          <w:p>
            <w:pPr>
              <w:spacing w:after="0"/>
              <w:rPr>
                <w:sz w:val="20"/>
                <w:szCs w:val="20"/>
                <w:color w:val="auto"/>
              </w:rPr>
            </w:pP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Furnished/Filed</w:t>
            </w:r>
          </w:p>
        </w:tc>
      </w:tr>
      <w:tr>
        <w:trPr>
          <w:trHeight w:val="234"/>
        </w:trPr>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4480" w:type="dxa"/>
            <w:vAlign w:val="bottom"/>
            <w:gridSpan w:val="5"/>
          </w:tcPr>
          <w:p>
            <w:pPr>
              <w:spacing w:after="0"/>
              <w:rPr>
                <w:sz w:val="20"/>
                <w:szCs w:val="20"/>
                <w:color w:val="auto"/>
              </w:rPr>
            </w:pPr>
            <w:r>
              <w:rPr>
                <w:rFonts w:ascii="Arial" w:cs="Arial" w:eastAsia="Arial" w:hAnsi="Arial"/>
                <w:sz w:val="18"/>
                <w:szCs w:val="18"/>
                <w:b w:val="1"/>
                <w:bCs w:val="1"/>
                <w:color w:val="auto"/>
              </w:rPr>
              <w:t>Description of Exhibits</w:t>
            </w:r>
          </w:p>
        </w:tc>
        <w:tc>
          <w:tcPr>
            <w:tcW w:w="700" w:type="dxa"/>
            <w:vAlign w:val="bottom"/>
          </w:tcPr>
          <w:p>
            <w:pPr>
              <w:ind w:left="140"/>
              <w:spacing w:after="0"/>
              <w:rPr>
                <w:sz w:val="20"/>
                <w:szCs w:val="20"/>
                <w:color w:val="auto"/>
              </w:rPr>
            </w:pPr>
            <w:r>
              <w:rPr>
                <w:rFonts w:ascii="Arial" w:cs="Arial" w:eastAsia="Arial" w:hAnsi="Arial"/>
                <w:sz w:val="18"/>
                <w:szCs w:val="18"/>
                <w:b w:val="1"/>
                <w:bCs w:val="1"/>
                <w:color w:val="auto"/>
              </w:rPr>
              <w:t>Form</w:t>
            </w:r>
          </w:p>
        </w:tc>
        <w:tc>
          <w:tcPr>
            <w:tcW w:w="1120" w:type="dxa"/>
            <w:vAlign w:val="bottom"/>
          </w:tcPr>
          <w:p>
            <w:pPr>
              <w:ind w:left="300"/>
              <w:spacing w:after="0"/>
              <w:rPr>
                <w:sz w:val="20"/>
                <w:szCs w:val="20"/>
                <w:color w:val="auto"/>
              </w:rPr>
            </w:pPr>
            <w:r>
              <w:rPr>
                <w:rFonts w:ascii="Arial" w:cs="Arial" w:eastAsia="Arial" w:hAnsi="Arial"/>
                <w:sz w:val="18"/>
                <w:szCs w:val="18"/>
                <w:b w:val="1"/>
                <w:bCs w:val="1"/>
                <w:color w:val="auto"/>
              </w:rPr>
              <w:t>File No.</w:t>
            </w: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Filing Date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6"/>
        </w:trPr>
        <w:tc>
          <w:tcPr>
            <w:tcW w:w="120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17"/>
                <w:szCs w:val="17"/>
                <w:color w:val="auto"/>
              </w:rPr>
            </w:pPr>
          </w:p>
        </w:tc>
        <w:tc>
          <w:tcPr>
            <w:tcW w:w="4480" w:type="dxa"/>
            <w:vAlign w:val="bottom"/>
            <w:gridSpan w:val="5"/>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w:t>
            </w: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9"/>
              </w:rPr>
              <w:t>Exchange Act Rules 13a-14(a) and 15d-14(a), as adopted</w:t>
            </w:r>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50"/>
        </w:trPr>
        <w:tc>
          <w:tcPr>
            <w:tcW w:w="1200" w:type="dxa"/>
            <w:vAlign w:val="bottom"/>
          </w:tcPr>
          <w:p>
            <w:pPr>
              <w:jc w:val="right"/>
              <w:ind w:right="770"/>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1"/>
                <w:szCs w:val="21"/>
                <w:color w:val="auto"/>
              </w:rPr>
            </w:pPr>
          </w:p>
        </w:tc>
        <w:tc>
          <w:tcPr>
            <w:tcW w:w="39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3"/>
              </w:rPr>
              <w:t>Certification of Principal Financial Officer pursuant to</w:t>
            </w:r>
          </w:p>
        </w:tc>
        <w:tc>
          <w:tcPr>
            <w:tcW w:w="500" w:type="dxa"/>
            <w:vAlign w:val="bottom"/>
            <w:gridSpan w:val="4"/>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9"/>
              </w:rPr>
              <w:t>Exchange Act Rules 13a-14(a) and 15d-14(a), as adopted</w:t>
            </w:r>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50" w:lineRule="exact"/>
        <w:rPr>
          <w:sz w:val="20"/>
          <w:szCs w:val="20"/>
          <w:color w:val="auto"/>
        </w:rPr>
      </w:pPr>
    </w:p>
    <w:p>
      <w:pPr>
        <w:sectPr>
          <w:pgSz w:w="11900" w:h="16838" w:orient="portrait"/>
          <w:cols w:equalWidth="0" w:num="1">
            <w:col w:w="11240"/>
          </w:cols>
          <w:pgMar w:left="320" w:top="1255"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4280" w:type="dxa"/>
            <w:vAlign w:val="bottom"/>
            <w:gridSpan w:val="4"/>
          </w:tcPr>
          <w:p>
            <w:pPr>
              <w:spacing w:after="0"/>
              <w:rPr>
                <w:sz w:val="20"/>
                <w:szCs w:val="20"/>
                <w:color w:val="auto"/>
              </w:rPr>
            </w:pPr>
            <w:r>
              <w:rPr>
                <w:rFonts w:ascii="Arial" w:cs="Arial" w:eastAsia="Arial" w:hAnsi="Arial"/>
                <w:sz w:val="18"/>
                <w:szCs w:val="18"/>
                <w:color w:val="0000FF"/>
                <w:w w:val="95"/>
              </w:rPr>
              <w:t>Certifications of Principal Executive Officer and Principal</w:t>
            </w:r>
          </w:p>
        </w:tc>
      </w:tr>
      <w:tr>
        <w:trPr>
          <w:trHeight w:val="196"/>
        </w:trPr>
        <w:tc>
          <w:tcPr>
            <w:tcW w:w="128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Financial Officer pursuant to 18 U.S.C. Section 1350, as</w:t>
            </w: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9"/>
              </w:rPr>
              <w:t>adopted pursuant to Section 906 of the Sarbanes-Oxley Act</w:t>
            </w:r>
          </w:p>
        </w:tc>
      </w:tr>
      <w:tr>
        <w:trPr>
          <w:trHeight w:val="196"/>
        </w:trPr>
        <w:tc>
          <w:tcPr>
            <w:tcW w:w="1280" w:type="dxa"/>
            <w:vAlign w:val="bottom"/>
          </w:tcPr>
          <w:p>
            <w:pPr>
              <w:spacing w:after="0"/>
              <w:rPr>
                <w:sz w:val="17"/>
                <w:szCs w:val="17"/>
                <w:color w:val="auto"/>
              </w:rPr>
            </w:pPr>
          </w:p>
        </w:tc>
        <w:tc>
          <w:tcPr>
            <w:tcW w:w="4280" w:type="dxa"/>
            <w:vAlign w:val="bottom"/>
            <w:gridSpan w:val="4"/>
          </w:tcPr>
          <w:p>
            <w:pPr>
              <w:spacing w:after="0" w:line="196" w:lineRule="exact"/>
              <w:rPr>
                <w:sz w:val="20"/>
                <w:szCs w:val="20"/>
                <w:color w:val="auto"/>
              </w:rPr>
            </w:pPr>
            <w:r>
              <w:rPr>
                <w:rFonts w:ascii="Arial" w:cs="Arial" w:eastAsia="Arial" w:hAnsi="Arial"/>
                <w:sz w:val="18"/>
                <w:szCs w:val="18"/>
                <w:color w:val="0000FF"/>
              </w:rPr>
              <w:t>of 2002</w:t>
            </w: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r>
      <w:tr>
        <w:trPr>
          <w:trHeight w:val="276"/>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4280" w:type="dxa"/>
            <w:vAlign w:val="bottom"/>
            <w:gridSpan w:val="4"/>
          </w:tcPr>
          <w:p>
            <w:pPr>
              <w:spacing w:after="0"/>
              <w:rPr>
                <w:sz w:val="20"/>
                <w:szCs w:val="20"/>
                <w:color w:val="auto"/>
              </w:rPr>
            </w:pPr>
            <w:r>
              <w:rPr>
                <w:rFonts w:ascii="Arial" w:cs="Arial" w:eastAsia="Arial" w:hAnsi="Arial"/>
                <w:sz w:val="18"/>
                <w:szCs w:val="18"/>
                <w:color w:val="auto"/>
                <w:w w:val="99"/>
              </w:rPr>
              <w:t>Inline XBRL Instance Document - The XBRL Instance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w w:val="98"/>
              </w:rPr>
              <w:t>Document does not appear in the Interactive Data File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w w:val="98"/>
              </w:rPr>
              <w:t>because its XBRL tags are embedded within the Inline</w:t>
            </w:r>
          </w:p>
        </w:tc>
      </w:tr>
      <w:tr>
        <w:trPr>
          <w:trHeight w:val="230"/>
        </w:trPr>
        <w:tc>
          <w:tcPr>
            <w:tcW w:w="1280" w:type="dxa"/>
            <w:vAlign w:val="bottom"/>
          </w:tcPr>
          <w:p>
            <w:pPr>
              <w:spacing w:after="0"/>
              <w:rPr>
                <w:sz w:val="20"/>
                <w:szCs w:val="20"/>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XBRL document</w:t>
            </w:r>
          </w:p>
        </w:tc>
      </w:tr>
      <w:tr>
        <w:trPr>
          <w:trHeight w:val="270"/>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4280" w:type="dxa"/>
            <w:vAlign w:val="bottom"/>
            <w:gridSpan w:val="4"/>
          </w:tcPr>
          <w:p>
            <w:pPr>
              <w:spacing w:after="0"/>
              <w:rPr>
                <w:sz w:val="20"/>
                <w:szCs w:val="20"/>
                <w:color w:val="auto"/>
              </w:rPr>
            </w:pPr>
            <w:r>
              <w:rPr>
                <w:rFonts w:ascii="Arial" w:cs="Arial" w:eastAsia="Arial" w:hAnsi="Arial"/>
                <w:sz w:val="18"/>
                <w:szCs w:val="18"/>
                <w:color w:val="auto"/>
                <w:w w:val="99"/>
              </w:rPr>
              <w:t>Inline XBRL Taxonomy Extension Schema Document</w:t>
            </w:r>
          </w:p>
        </w:tc>
      </w:tr>
      <w:tr>
        <w:trPr>
          <w:trHeight w:val="256"/>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4280" w:type="dxa"/>
            <w:vAlign w:val="bottom"/>
            <w:gridSpan w:val="4"/>
          </w:tcPr>
          <w:p>
            <w:pPr>
              <w:spacing w:after="0"/>
              <w:rPr>
                <w:sz w:val="20"/>
                <w:szCs w:val="20"/>
                <w:color w:val="auto"/>
              </w:rPr>
            </w:pPr>
            <w:r>
              <w:rPr>
                <w:rFonts w:ascii="Arial" w:cs="Arial" w:eastAsia="Arial" w:hAnsi="Arial"/>
                <w:sz w:val="18"/>
                <w:szCs w:val="18"/>
                <w:color w:val="auto"/>
                <w:w w:val="96"/>
              </w:rPr>
              <w:t>Inline XBRL Taxonomy Extension Calculation Linkbase</w:t>
            </w:r>
          </w:p>
        </w:tc>
      </w:tr>
      <w:tr>
        <w:trPr>
          <w:trHeight w:val="230"/>
        </w:trPr>
        <w:tc>
          <w:tcPr>
            <w:tcW w:w="1280" w:type="dxa"/>
            <w:vAlign w:val="bottom"/>
          </w:tcPr>
          <w:p>
            <w:pPr>
              <w:spacing w:after="0"/>
              <w:rPr>
                <w:sz w:val="20"/>
                <w:szCs w:val="20"/>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Document</w:t>
            </w:r>
          </w:p>
        </w:tc>
      </w:tr>
      <w:tr>
        <w:trPr>
          <w:trHeight w:val="256"/>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42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280" w:type="dxa"/>
            <w:vAlign w:val="bottom"/>
          </w:tcPr>
          <w:p>
            <w:pPr>
              <w:spacing w:after="0"/>
              <w:rPr>
                <w:sz w:val="20"/>
                <w:szCs w:val="20"/>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Document</w:t>
            </w:r>
          </w:p>
        </w:tc>
      </w:tr>
      <w:tr>
        <w:trPr>
          <w:trHeight w:val="270"/>
        </w:trPr>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4280" w:type="dxa"/>
            <w:vAlign w:val="bottom"/>
            <w:gridSpan w:val="4"/>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56"/>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4280" w:type="dxa"/>
            <w:vAlign w:val="bottom"/>
            <w:gridSpan w:val="4"/>
          </w:tcPr>
          <w:p>
            <w:pPr>
              <w:spacing w:after="0"/>
              <w:rPr>
                <w:sz w:val="20"/>
                <w:szCs w:val="20"/>
                <w:color w:val="auto"/>
              </w:rPr>
            </w:pPr>
            <w:r>
              <w:rPr>
                <w:rFonts w:ascii="Arial" w:cs="Arial" w:eastAsia="Arial" w:hAnsi="Arial"/>
                <w:sz w:val="18"/>
                <w:szCs w:val="18"/>
                <w:color w:val="auto"/>
                <w:w w:val="94"/>
              </w:rPr>
              <w:t>Inline XBRL Taxonomy Extension Presentation Linkbase</w:t>
            </w:r>
          </w:p>
        </w:tc>
      </w:tr>
      <w:tr>
        <w:trPr>
          <w:trHeight w:val="230"/>
        </w:trPr>
        <w:tc>
          <w:tcPr>
            <w:tcW w:w="1280" w:type="dxa"/>
            <w:vAlign w:val="bottom"/>
          </w:tcPr>
          <w:p>
            <w:pPr>
              <w:spacing w:after="0"/>
              <w:rPr>
                <w:sz w:val="20"/>
                <w:szCs w:val="20"/>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Document</w:t>
            </w:r>
          </w:p>
        </w:tc>
      </w:tr>
    </w:tbl>
    <w:p>
      <w:pPr>
        <w:spacing w:after="0" w:line="40" w:lineRule="exact"/>
        <w:rPr>
          <w:sz w:val="20"/>
          <w:szCs w:val="20"/>
          <w:color w:val="auto"/>
        </w:rPr>
      </w:pPr>
    </w:p>
    <w:p>
      <w:pPr>
        <w:ind w:left="1300" w:right="3940" w:hanging="1274"/>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1090" w:lineRule="exact"/>
        <w:rPr>
          <w:sz w:val="20"/>
          <w:szCs w:val="20"/>
          <w:color w:val="auto"/>
        </w:rPr>
      </w:pPr>
    </w:p>
    <w:p>
      <w:pPr>
        <w:sectPr>
          <w:pgSz w:w="11900" w:h="16838" w:orient="portrait"/>
          <w:cols w:equalWidth="0" w:num="2">
            <w:col w:w="9600" w:space="720"/>
            <w:col w:w="920"/>
          </w:cols>
          <w:pgMar w:left="320" w:top="1255" w:right="3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SOTERA HEALTH COMPANY</w:t>
      </w:r>
    </w:p>
    <w:p>
      <w:pPr>
        <w:spacing w:after="0" w:line="320"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20"/>
              <w:spacing w:after="0"/>
              <w:rPr>
                <w:sz w:val="20"/>
                <w:szCs w:val="20"/>
                <w:color w:val="auto"/>
              </w:rPr>
            </w:pPr>
            <w:r>
              <w:rPr>
                <w:rFonts w:ascii="Arial" w:cs="Arial" w:eastAsia="Arial" w:hAnsi="Arial"/>
                <w:sz w:val="18"/>
                <w:szCs w:val="18"/>
                <w:color w:val="auto"/>
              </w:rPr>
              <w:t>/s/ Jonathan M. Lyons</w:t>
            </w:r>
          </w:p>
        </w:tc>
      </w:tr>
      <w:tr>
        <w:trPr>
          <w:trHeight w:val="27"/>
        </w:trPr>
        <w:tc>
          <w:tcPr>
            <w:tcW w:w="76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Jonathan M. Lyons</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76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B. Petras, Jr.,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Sotera Health Company;</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 2023</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8173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Michael B. Petras, Jr.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Jonathan M. Lyons,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Sotera Health Company;</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 2023</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21513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Jonathan M. Lyons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Senior Vice President and Chief Financial</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Sotera Health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do hereby certify, to each such officer’s knowledge, that the Company’s Quarterly Report on Form 10-Q for the quarter ended September 30, 2023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Michael B. Petras, Jr.</w:t>
            </w: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Arial" w:cs="Arial" w:eastAsia="Arial" w:hAnsi="Arial"/>
                <w:sz w:val="18"/>
                <w:szCs w:val="18"/>
                <w:color w:val="auto"/>
              </w:rPr>
              <w:t>Dated: November 1, 2023</w:t>
            </w: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20" w:type="dxa"/>
            <w:vAlign w:val="bottom"/>
            <w:vMerge w:val="continue"/>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Michael B. Petras, Jr.</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Jonathan M. Lyons</w:t>
            </w: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Arial" w:cs="Arial" w:eastAsia="Arial" w:hAnsi="Arial"/>
                <w:sz w:val="18"/>
                <w:szCs w:val="18"/>
                <w:color w:val="auto"/>
              </w:rPr>
              <w:t>Dated: November 1, 2023</w:t>
            </w: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vMerge w:val="continue"/>
          </w:tcPr>
          <w:p>
            <w:pPr>
              <w:spacing w:after="0"/>
              <w:rPr>
                <w:sz w:val="18"/>
                <w:szCs w:val="18"/>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Jonathan M. Lyons</w:t>
            </w:r>
          </w:p>
        </w:tc>
        <w:tc>
          <w:tcPr>
            <w:tcW w:w="0" w:type="dxa"/>
            <w:vAlign w:val="bottom"/>
          </w:tcPr>
          <w:p>
            <w:pPr>
              <w:spacing w:after="0"/>
              <w:rPr>
                <w:sz w:val="1"/>
                <w:szCs w:val="1"/>
                <w:color w:val="auto"/>
              </w:rPr>
            </w:pPr>
          </w:p>
        </w:tc>
      </w:tr>
      <w:tr>
        <w:trPr>
          <w:trHeight w:val="176"/>
        </w:trPr>
        <w:tc>
          <w:tcPr>
            <w:tcW w:w="5520" w:type="dxa"/>
            <w:vAlign w:val="bottom"/>
          </w:tcPr>
          <w:p>
            <w:pPr>
              <w:spacing w:after="0"/>
              <w:rPr>
                <w:sz w:val="15"/>
                <w:szCs w:val="15"/>
                <w:color w:val="auto"/>
              </w:rPr>
            </w:pPr>
          </w:p>
        </w:tc>
        <w:tc>
          <w:tcPr>
            <w:tcW w:w="5700" w:type="dxa"/>
            <w:vAlign w:val="bottom"/>
          </w:tcPr>
          <w:p>
            <w:pPr>
              <w:ind w:left="20"/>
              <w:spacing w:after="0" w:line="176" w:lineRule="exact"/>
              <w:rPr>
                <w:sz w:val="20"/>
                <w:szCs w:val="20"/>
                <w:color w:val="auto"/>
              </w:rPr>
            </w:pPr>
            <w:r>
              <w:rPr>
                <w:rFonts w:ascii="Arial" w:cs="Arial" w:eastAsia="Arial" w:hAnsi="Arial"/>
                <w:sz w:val="18"/>
                <w:szCs w:val="18"/>
                <w:color w:val="auto"/>
              </w:rPr>
              <w:t>Title: Senior Vice President and Chief Financial Officer</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decimal"/>
      <w:start w:val="8"/>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7"/>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4"/>
    </w:lvl>
  </w:abstractNum>
  <w:abstractNum w:abstractNumId="26">
    <w:nsid w:val="3A95F874"/>
    <w:multiLevelType w:val="hybridMultilevel"/>
    <w:lvl w:ilvl="0">
      <w:lvlJc w:val="left"/>
      <w:lvlText w:val="(%1)"/>
      <w:numFmt w:val="lowerLetter"/>
      <w:start w:val="15"/>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lvl w:ilvl="1">
      <w:lvlJc w:val="left"/>
      <w:lvlText w:val="%2"/>
      <w:numFmt w:val="decimal"/>
      <w:start w:val="104"/>
    </w:lvl>
  </w:abstractNum>
  <w:abstractNum w:abstractNumId="29">
    <w:nsid w:val="7C3DBD3D"/>
    <w:multiLevelType w:val="hybridMultilevel"/>
    <w:lvl w:ilvl="0">
      <w:lvlJc w:val="left"/>
      <w:lvlText w:val="**"/>
      <w:numFmt w:val="bullet"/>
      <w:start w:val="1"/>
    </w:lvl>
    <w:lvl w:ilvl="1">
      <w:lvlJc w:val="left"/>
      <w:lvlText w:val="%2"/>
      <w:numFmt w:val="decimal"/>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2023-11-01T16:15:02Z</dcterms:created>
  <dcterms:modified xsi:type="dcterms:W3CDTF">2023-11-01T16:15:02Z</dcterms:modified>
</cp:coreProperties>
</file>