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4, 2022</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On August 4, 2022, Sotera Health Company (the “Company”) issued a press release (the “Press Release”) announcing its financial results for the second-quarter ended June 30, 2022. The Company will hold its previously announced conference call on August 4, 2022, at 9:00 a.m. Eastern Time to discuss its financial results for the quarter. A copy of the Press Release is attached hereto as Exhibit 99.1 and is incorporated herein by reference.</w:t>
      </w:r>
    </w:p>
    <w:p>
      <w:pPr>
        <w:spacing w:after="0" w:line="11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722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August 4, 2022</w:t>
            </w:r>
          </w:p>
        </w:tc>
      </w:tr>
      <w:tr>
        <w:trPr>
          <w:trHeight w:val="581"/>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20" w:type="dxa"/>
            <w:vAlign w:val="bottom"/>
            <w:tcBorders>
              <w:top w:val="single" w:sz="8" w:color="0000FF"/>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Michael F. Biehl</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9"/>
          <w:szCs w:val="29"/>
          <w:b w:val="1"/>
          <w:bCs w:val="1"/>
          <w:color w:val="auto"/>
        </w:rPr>
        <w:t>Sotera Health Reports Second-Quarter and First-Half 2022 Results</w:t>
      </w:r>
    </w:p>
    <w:p>
      <w:pPr>
        <w:spacing w:after="0" w:line="215" w:lineRule="exact"/>
        <w:rPr>
          <w:sz w:val="20"/>
          <w:szCs w:val="20"/>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Q2 2022 net revenues of $267 million increased 6%, compared to Q2 2021</w:t>
      </w:r>
    </w:p>
    <w:p>
      <w:pPr>
        <w:ind w:left="660" w:right="48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Q2 2022 net income of $30 million or $0.11 per diluted share, compared to net income of $43 million or $0.15 per diluted share in Q2 2021</w:t>
      </w:r>
    </w:p>
    <w:p>
      <w:pPr>
        <w:ind w:left="660" w:hanging="328"/>
        <w:spacing w:after="0" w:line="227"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Q2 2022 Adjusted EBITDA of $136 million increased 1%, compared to Q2 2021</w:t>
      </w:r>
    </w:p>
    <w:p>
      <w:pPr>
        <w:spacing w:after="0" w:line="1" w:lineRule="exact"/>
        <w:rPr>
          <w:rFonts w:ascii="Calibri" w:cs="Calibri" w:eastAsia="Calibri" w:hAnsi="Calibri"/>
          <w:sz w:val="22"/>
          <w:szCs w:val="22"/>
          <w:b w:val="1"/>
          <w:bCs w:val="1"/>
          <w:i w:val="1"/>
          <w:iCs w:val="1"/>
          <w:color w:val="auto"/>
        </w:rPr>
      </w:pPr>
    </w:p>
    <w:p>
      <w:pPr>
        <w:ind w:left="660" w:hanging="328"/>
        <w:spacing w:after="0"/>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Q2 2022 Adjusted EPS of $0.27 increased $0.01, compared to Q2 2021</w:t>
      </w:r>
    </w:p>
    <w:p>
      <w:pPr>
        <w:ind w:left="660" w:right="40" w:hanging="328"/>
        <w:spacing w:after="0" w:line="229" w:lineRule="auto"/>
        <w:tabs>
          <w:tab w:leader="none" w:pos="660" w:val="left"/>
        </w:tabs>
        <w:numPr>
          <w:ilvl w:val="0"/>
          <w:numId w:val="2"/>
        </w:numPr>
        <w:rPr>
          <w:rFonts w:ascii="Calibri" w:cs="Calibri" w:eastAsia="Calibri" w:hAnsi="Calibri"/>
          <w:sz w:val="22"/>
          <w:szCs w:val="22"/>
          <w:b w:val="1"/>
          <w:bCs w:val="1"/>
          <w:i w:val="1"/>
          <w:iCs w:val="1"/>
          <w:color w:val="auto"/>
        </w:rPr>
      </w:pPr>
      <w:r>
        <w:rPr>
          <w:rFonts w:ascii="Calibri" w:cs="Calibri" w:eastAsia="Calibri" w:hAnsi="Calibri"/>
          <w:sz w:val="22"/>
          <w:szCs w:val="22"/>
          <w:b w:val="1"/>
          <w:bCs w:val="1"/>
          <w:i w:val="1"/>
          <w:iCs w:val="1"/>
          <w:color w:val="auto"/>
        </w:rPr>
        <w:t>Narrowing full-year 2022 net revenues and Adjusted EBITDA outlook in the range of $1.0 to $1.022 billion and $515 to $525 million, respectvely</w:t>
      </w:r>
    </w:p>
    <w:p>
      <w:pPr>
        <w:spacing w:after="0" w:line="221" w:lineRule="exact"/>
        <w:rPr>
          <w:sz w:val="20"/>
          <w:szCs w:val="20"/>
          <w:color w:val="auto"/>
        </w:rPr>
      </w:pPr>
    </w:p>
    <w:p>
      <w:pPr>
        <w:ind w:right="60"/>
        <w:spacing w:after="0" w:line="231" w:lineRule="auto"/>
        <w:rPr>
          <w:sz w:val="20"/>
          <w:szCs w:val="20"/>
          <w:color w:val="auto"/>
        </w:rPr>
      </w:pPr>
      <w:r>
        <w:rPr>
          <w:rFonts w:ascii="Calibri" w:cs="Calibri" w:eastAsia="Calibri" w:hAnsi="Calibri"/>
          <w:sz w:val="20"/>
          <w:szCs w:val="20"/>
          <w:b w:val="1"/>
          <w:bCs w:val="1"/>
          <w:color w:val="auto"/>
        </w:rPr>
        <w:t xml:space="preserve">CLEVELAND, OH, August 4, 2022 </w:t>
      </w:r>
      <w:r>
        <w:rPr>
          <w:rFonts w:ascii="Calibri" w:cs="Calibri" w:eastAsia="Calibri" w:hAnsi="Calibri"/>
          <w:sz w:val="20"/>
          <w:szCs w:val="20"/>
          <w:color w:val="auto"/>
        </w:rPr>
        <w:t>– Sotera Health Company (“Sotera Health” or the “Company”) (Nasdaq: SHC), a leading global provider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of mission-critcal end-to-end sterilizaton solutons, lab testng and advisory services for the healthcare industry, today announced fnancial results for the three and six months ended June 30, 2022.</w:t>
      </w:r>
    </w:p>
    <w:p>
      <w:pPr>
        <w:spacing w:after="0" w:line="227" w:lineRule="exact"/>
        <w:rPr>
          <w:sz w:val="20"/>
          <w:szCs w:val="20"/>
          <w:color w:val="auto"/>
        </w:rPr>
      </w:pPr>
    </w:p>
    <w:p>
      <w:pPr>
        <w:ind w:right="180"/>
        <w:spacing w:after="0" w:line="233" w:lineRule="auto"/>
        <w:rPr>
          <w:sz w:val="20"/>
          <w:szCs w:val="20"/>
          <w:color w:val="auto"/>
        </w:rPr>
      </w:pPr>
      <w:r>
        <w:rPr>
          <w:rFonts w:ascii="Calibri" w:cs="Calibri" w:eastAsia="Calibri" w:hAnsi="Calibri"/>
          <w:sz w:val="20"/>
          <w:szCs w:val="20"/>
          <w:color w:val="auto"/>
        </w:rPr>
        <w:t>Second-quarter 2022 net revenues increased 5.8% to $267 million, compared with $252 million in the same period a year ago. Net revenues increased approximately 9% on a constant currency basis. Net income atributable to Sotera Health (“net income”) was $30 million, or $0.11 per diluted share, compared with net income of $43 million, or $0.15 per diluted share in the second quarter of 2021. Adjusted EBITDA for the second-quarter 2022 increased 1.2% over the second quarter of 2021 to $136 million. Second-quarter 2022 adjusted earnings per diluted share (“Adjusted EPS”) was $0.27, compared to $0.26 in the second quarter of 2021. Please refer to the secton “Non-GAAP Financial Measures” provided later in this release.</w:t>
      </w:r>
    </w:p>
    <w:p>
      <w:pPr>
        <w:spacing w:after="0" w:line="252"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For the frst six months of 2022, net revenues increased 8.5% to $503 million, compared to $464 million for the same period in 2021. Net revenues increased approximately 11%, on a constant currency basis. Net income was $61 million, or $0.22 per diluted share for the frst half of 2022, compared with net income of $53 million, or $0.19 per diluted share, for the same period last year. First half of 2022 Adjusted EBITDA increased 4.8% to $251 million and Adjusted EPS grew by $0.05 to $0.49 compared to the frst half of 2021. Please refer to the secton “Non-GAAP Financial Measures” provided later in this release.</w:t>
      </w:r>
    </w:p>
    <w:p>
      <w:pPr>
        <w:spacing w:after="0" w:line="229"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“Today, we are reportng another quarter of top and botom-line growth,” said Chairman and Chief Executve Ofcer, Michael B. Petras, Jr. “Our business model proves to be durable across all of our business segments, despite a shifing macroeconomic environment. Our three businesses are executng their strategic plans by leveraging deep industry and regulatory expertse, investng in global producton capacity, upgrading already reliable operatng sites, and managing a complex global supply chain. We contnue to deliver mission-critcal services and products to our customers, and ultmately to patents and healthcare providers across the globe.”</w:t>
      </w:r>
    </w:p>
    <w:p>
      <w:pPr>
        <w:spacing w:after="0" w:line="229" w:lineRule="exact"/>
        <w:rPr>
          <w:sz w:val="20"/>
          <w:szCs w:val="20"/>
          <w:color w:val="auto"/>
        </w:rPr>
      </w:pPr>
    </w:p>
    <w:p>
      <w:pPr>
        <w:ind w:right="200"/>
        <w:spacing w:after="0" w:line="230" w:lineRule="auto"/>
        <w:rPr>
          <w:sz w:val="20"/>
          <w:szCs w:val="20"/>
          <w:color w:val="auto"/>
        </w:rPr>
      </w:pPr>
      <w:r>
        <w:rPr>
          <w:rFonts w:ascii="Calibri" w:cs="Calibri" w:eastAsia="Calibri" w:hAnsi="Calibri"/>
          <w:sz w:val="20"/>
          <w:szCs w:val="20"/>
          <w:color w:val="auto"/>
        </w:rPr>
        <w:t>Petras also stated, “Based on our fnancial performance during the frst half of 2022 and with beter visibility into the remainder of the year, we are now narrowing our 2022 guidance. Net revenues outlook is in the range of $1.0 to $1.022 billion, and Adjusted EBITDA outlook is in the range of $515 to $525 million. Our focus contnues to be on providing high-quality service to our customers, while remaining commited to our mission, Safeguarding Global Health®.”</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20"/>
          </w:cols>
          <w:pgMar w:left="320" w:top="158" w:right="35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u w:val="single" w:color="auto"/>
          <w:color w:val="auto"/>
        </w:rPr>
        <w:t>Second-Quarter and First-Half 2022 Highlights by Business Segment</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Sterigenics</w:t>
      </w:r>
    </w:p>
    <w:p>
      <w:pPr>
        <w:spacing w:after="0" w:line="103"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For the second quarter of 2022, Sterigenics net revenues were $158 million, an increase of 8.7% compared to the second quarter a year ago. Second quarter 2022 segment income increased 6.9% to $85 million. For the frst six months of 2022, Sterigenics net revenues were $307 million, an increase of 11.2% compared to the same period in 2021. Segment income increased 11.1% to $165 million.</w:t>
      </w:r>
    </w:p>
    <w:p>
      <w:pPr>
        <w:spacing w:after="0" w:line="213" w:lineRule="exact"/>
        <w:rPr>
          <w:sz w:val="20"/>
          <w:szCs w:val="20"/>
          <w:color w:val="auto"/>
        </w:rPr>
      </w:pPr>
    </w:p>
    <w:p>
      <w:pPr>
        <w:jc w:val="both"/>
        <w:ind w:right="160"/>
        <w:spacing w:after="0" w:line="231" w:lineRule="auto"/>
        <w:rPr>
          <w:sz w:val="20"/>
          <w:szCs w:val="20"/>
          <w:color w:val="auto"/>
        </w:rPr>
      </w:pPr>
      <w:r>
        <w:rPr>
          <w:rFonts w:ascii="Calibri" w:cs="Calibri" w:eastAsia="Calibri" w:hAnsi="Calibri"/>
          <w:sz w:val="20"/>
          <w:szCs w:val="20"/>
          <w:color w:val="auto"/>
        </w:rPr>
        <w:t>Revenue and segment income growth for the second quarter of 2022 were driven by favorable pricing, volume and mix, partally ofset by an unfavorable impact from foreign currency exchange rates. Second quarter 2022 segment income margin decline was driven by a tming of contractual pricing actons versus realized infaton.</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Nordion</w:t>
      </w:r>
    </w:p>
    <w:p>
      <w:pPr>
        <w:spacing w:after="0" w:line="90"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For the second quarter of 2022, Nordion net revenues were $50 million, an increase of 2.8% compared to the second quarter a year ago. Second quarter 2022 segment income declined 3.8% to $30 million. For the frst six months of 2022, Nordion net revenues were $84 million, an increase of 12.6% compared to the same period in 2021. Segment income increased 8.7% to $49 million.</w:t>
      </w:r>
    </w:p>
    <w:p>
      <w:pPr>
        <w:spacing w:after="0" w:line="211" w:lineRule="exact"/>
        <w:rPr>
          <w:sz w:val="20"/>
          <w:szCs w:val="20"/>
          <w:color w:val="auto"/>
        </w:rPr>
      </w:pPr>
    </w:p>
    <w:p>
      <w:pPr>
        <w:ind w:right="220"/>
        <w:spacing w:after="0" w:line="231" w:lineRule="auto"/>
        <w:rPr>
          <w:sz w:val="20"/>
          <w:szCs w:val="20"/>
          <w:color w:val="auto"/>
        </w:rPr>
      </w:pPr>
      <w:r>
        <w:rPr>
          <w:rFonts w:ascii="Calibri" w:cs="Calibri" w:eastAsia="Calibri" w:hAnsi="Calibri"/>
          <w:sz w:val="20"/>
          <w:szCs w:val="20"/>
          <w:color w:val="auto"/>
        </w:rPr>
        <w:t>Revenue growth for the second quarter of 2022 was driven by favorable pricing, partally ofset by an unfavorable impact from foreign currency exchange rates. Second quarter 2022 segment income and segment income margin decline from second quarter 2021 was driven by less favorable product mix and an unfavorable impact from foreign currency exchange rates.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Nelson Labs</w:t>
      </w:r>
    </w:p>
    <w:p>
      <w:pPr>
        <w:spacing w:after="0" w:line="90"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For the second quarter of 2022, Nelson Labs net revenues were $58 million, an increase of 1.3% compared to the second quarter a year ago. Segment income declined 11.6% to $21 million. For the frst six months of 2022, Nelson Labs net revenues were $112 million, a decline of 0.9% compared to the same period in 2021. Segment income declined 18.8% to $38 million.</w:t>
      </w:r>
    </w:p>
    <w:p>
      <w:pPr>
        <w:spacing w:after="0" w:line="227" w:lineRule="exact"/>
        <w:rPr>
          <w:sz w:val="20"/>
          <w:szCs w:val="20"/>
          <w:color w:val="auto"/>
        </w:rPr>
      </w:pPr>
    </w:p>
    <w:p>
      <w:pPr>
        <w:ind w:right="100"/>
        <w:spacing w:after="0" w:line="231" w:lineRule="auto"/>
        <w:rPr>
          <w:sz w:val="20"/>
          <w:szCs w:val="20"/>
          <w:color w:val="auto"/>
        </w:rPr>
      </w:pPr>
      <w:r>
        <w:rPr>
          <w:rFonts w:ascii="Calibri" w:cs="Calibri" w:eastAsia="Calibri" w:hAnsi="Calibri"/>
          <w:sz w:val="20"/>
          <w:szCs w:val="20"/>
          <w:color w:val="auto"/>
        </w:rPr>
        <w:t>Revenue growth for second quarter 2022 was driven by revenue from recent acquisitons and favorable pricing, partally ofset by the decline in pandemic-related testng volumes as well as changes in foreign currency exchange rates. Second quarter 2022 segment income decline was driven by the reducton in demand for pandemic-related testng ofset by the incremental contributon of the RCA acquisiton and favorable pricing. Segment income margin decline was due to diluton from recent acquisitons and less favorable mix due to a reducton in demand for pandemic-related testng. Second-quarter 2022 margin improved over 400 basis points from frst quarter of 2022 as Omicron-related capacity constraints diminished and volume from high-value testng services, other than pandemic-related testng, was favorable.</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Balance Sheet and Liquidity</w:t>
      </w:r>
    </w:p>
    <w:p>
      <w:pPr>
        <w:spacing w:after="0" w:line="90"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auto"/>
        </w:rPr>
        <w:t>As of June 30, 2022, Sotera Health had $1.80 billion of total debt and $141 million of cash and cash equivalents, compared to $1.79 billion of total debt and $107 million of cash and cash equivalents as of December 31, 2021. The majority of the Company’s debt does not mature untl 2026. Sotera Health’s net leverage rato as of June 30, 2022 remained stable at 3.4x, within the Company’s stated range of 2.0x to 4.0x, and liquidity remains strong. Please refer to the secton “Non-GAAP Financial Measures” provided later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00"/>
          </w:cols>
          <w:pgMar w:left="320" w:top="1280" w:right="37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u w:val="single" w:color="auto"/>
          <w:color w:val="auto"/>
        </w:rPr>
        <w:t>2022 Outlook</w:t>
      </w:r>
    </w:p>
    <w:p>
      <w:pPr>
        <w:spacing w:after="0" w:line="90"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Today, Sotera Health is providing an update on its full-year 2022 outlook, which was frst provided on March 1, 2022. The Company’s new outlook is:</w:t>
      </w:r>
    </w:p>
    <w:p>
      <w:pPr>
        <w:spacing w:after="0" w:line="91" w:lineRule="exact"/>
        <w:rPr>
          <w:sz w:val="20"/>
          <w:szCs w:val="20"/>
          <w:color w:val="auto"/>
        </w:rPr>
      </w:pPr>
    </w:p>
    <w:p>
      <w:pPr>
        <w:ind w:left="660" w:right="56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revenues in the range of $1.0 to $1.022 billion, from previous guidance of $1.0 to $1.03 billion, representng growth of approximately 7% to 10%, compared to the prior year,</w:t>
      </w:r>
    </w:p>
    <w:p>
      <w:pPr>
        <w:spacing w:after="0" w:line="103" w:lineRule="exact"/>
        <w:rPr>
          <w:rFonts w:ascii="Calibri" w:cs="Calibri" w:eastAsia="Calibri" w:hAnsi="Calibri"/>
          <w:sz w:val="20"/>
          <w:szCs w:val="20"/>
          <w:color w:val="auto"/>
        </w:rPr>
      </w:pPr>
    </w:p>
    <w:p>
      <w:pPr>
        <w:ind w:left="660" w:right="26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Adjusted EBITDA in the range of $515 to $525 million, from previous guidance of $515 to $535 million, representng growth of approximately 7% to 9%, compared to the prior year,</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Tax rate applicable to Adjusted Net Income in the range of 29% to 30%,</w:t>
      </w:r>
    </w:p>
    <w:p>
      <w:pPr>
        <w:spacing w:after="0" w:line="103" w:lineRule="exact"/>
        <w:rPr>
          <w:rFonts w:ascii="Calibri" w:cs="Calibri" w:eastAsia="Calibri" w:hAnsi="Calibri"/>
          <w:sz w:val="20"/>
          <w:szCs w:val="20"/>
          <w:color w:val="auto"/>
        </w:rPr>
      </w:pPr>
    </w:p>
    <w:p>
      <w:pPr>
        <w:ind w:left="660" w:right="200" w:hanging="328"/>
        <w:spacing w:after="0" w:line="228"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Adjusted EPS in the range of $0.93 to $0.97 from previous guidance of $0.93 to $0.99 representng growth of 6% to 10% versus the prior year,</w:t>
      </w:r>
    </w:p>
    <w:p>
      <w:pPr>
        <w:spacing w:after="0" w:line="93"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A fully diluted share count in the range of 280 million to 282 million shares on a weighted-average basis,</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Capital expenditures in the range of $140 million to $170 million, and</w:t>
      </w:r>
    </w:p>
    <w:p>
      <w:pPr>
        <w:spacing w:after="0" w:line="79" w:lineRule="exact"/>
        <w:rPr>
          <w:rFonts w:ascii="Calibri" w:cs="Calibri" w:eastAsia="Calibri" w:hAnsi="Calibri"/>
          <w:sz w:val="20"/>
          <w:szCs w:val="20"/>
          <w:color w:val="auto"/>
        </w:rPr>
      </w:pPr>
    </w:p>
    <w:p>
      <w:pPr>
        <w:ind w:left="640" w:hanging="308"/>
        <w:spacing w:after="0"/>
        <w:tabs>
          <w:tab w:leader="none" w:pos="640" w:val="left"/>
        </w:tabs>
        <w:numPr>
          <w:ilvl w:val="0"/>
          <w:numId w:val="3"/>
        </w:numPr>
        <w:rPr>
          <w:rFonts w:ascii="Calibri" w:cs="Calibri" w:eastAsia="Calibri" w:hAnsi="Calibri"/>
          <w:sz w:val="20"/>
          <w:szCs w:val="20"/>
          <w:color w:val="auto"/>
        </w:rPr>
      </w:pPr>
      <w:r>
        <w:rPr>
          <w:rFonts w:ascii="Calibri" w:cs="Calibri" w:eastAsia="Calibri" w:hAnsi="Calibri"/>
          <w:sz w:val="20"/>
          <w:szCs w:val="20"/>
          <w:color w:val="auto"/>
        </w:rPr>
        <w:t>Net leverage reducton of approximately 1⁄2 of a turn.</w:t>
      </w:r>
    </w:p>
    <w:p>
      <w:pPr>
        <w:spacing w:after="0" w:line="225" w:lineRule="exact"/>
        <w:rPr>
          <w:sz w:val="20"/>
          <w:szCs w:val="20"/>
          <w:color w:val="auto"/>
        </w:rPr>
      </w:pPr>
    </w:p>
    <w:p>
      <w:pPr>
        <w:ind w:right="80"/>
        <w:spacing w:after="0" w:line="233" w:lineRule="auto"/>
        <w:rPr>
          <w:sz w:val="20"/>
          <w:szCs w:val="20"/>
          <w:color w:val="auto"/>
        </w:rPr>
      </w:pPr>
      <w:r>
        <w:rPr>
          <w:rFonts w:ascii="Calibri" w:cs="Calibri" w:eastAsia="Calibri" w:hAnsi="Calibri"/>
          <w:sz w:val="20"/>
          <w:szCs w:val="20"/>
          <w:color w:val="auto"/>
        </w:rPr>
        <w:t>The outlook provided above contains a number of assumptons, including, among others, the Company’s current expectatons regarding supply chain contnuity, partcularly for the supply of ethylene oxide (“EO”) and cobalt-60 (“Co-60”), the impact of infatonary trends including their impact on energy prices and the supply of labor, the impact of the COVID-19 pandemic including the rate of recoveries of electve procedures and new product development testng, and the expectaton that exchange rates as of second-quarter 2022 remain constant for the remainder of 2022. Our outlook is based on current plans and expectatons and is subject to several known and unknown risks and uncertaintes, including those set forth below under “Forward-Looking Statements.”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Earnings Webcast</w:t>
      </w:r>
    </w:p>
    <w:p>
      <w:pPr>
        <w:spacing w:after="0" w:line="90" w:lineRule="exact"/>
        <w:rPr>
          <w:sz w:val="20"/>
          <w:szCs w:val="20"/>
          <w:color w:val="auto"/>
        </w:rPr>
      </w:pPr>
    </w:p>
    <w:p>
      <w:pPr>
        <w:jc w:val="both"/>
        <w:ind w:right="40"/>
        <w:spacing w:after="0" w:line="236" w:lineRule="auto"/>
        <w:rPr>
          <w:sz w:val="20"/>
          <w:szCs w:val="20"/>
          <w:color w:val="auto"/>
        </w:rPr>
      </w:pPr>
      <w:r>
        <w:rPr>
          <w:rFonts w:ascii="Calibri" w:cs="Calibri" w:eastAsia="Calibri" w:hAnsi="Calibri"/>
          <w:sz w:val="20"/>
          <w:szCs w:val="20"/>
          <w:color w:val="auto"/>
        </w:rPr>
        <w:t xml:space="preserve">Sotera Health management will host a conference call and webcast to discuss the Company’s operatng highlights and fnancial results at 9:00 a.m. Eastern Time today. </w:t>
      </w:r>
      <w:r>
        <w:rPr>
          <w:rFonts w:ascii="Calibri" w:cs="Calibri" w:eastAsia="Calibri" w:hAnsi="Calibri"/>
          <w:sz w:val="20"/>
          <w:szCs w:val="20"/>
          <w:color w:val="3A383A"/>
        </w:rPr>
        <w:t>Partcipants may access the conference call live via webcast on the ‘Presentatons &amp; Events' page of Sotera</w:t>
      </w:r>
      <w:r>
        <w:rPr>
          <w:rFonts w:ascii="Calibri" w:cs="Calibri" w:eastAsia="Calibri" w:hAnsi="Calibri"/>
          <w:sz w:val="20"/>
          <w:szCs w:val="20"/>
          <w:color w:val="auto"/>
        </w:rPr>
        <w:t xml:space="preserve"> </w:t>
      </w:r>
      <w:r>
        <w:rPr>
          <w:rFonts w:ascii="Calibri" w:cs="Calibri" w:eastAsia="Calibri" w:hAnsi="Calibri"/>
          <w:sz w:val="20"/>
          <w:szCs w:val="20"/>
          <w:color w:val="3A383A"/>
        </w:rPr>
        <w:t xml:space="preserve">Health’s website at </w:t>
      </w:r>
      <w:r>
        <w:rPr>
          <w:rFonts w:ascii="Calibri" w:cs="Calibri" w:eastAsia="Calibri" w:hAnsi="Calibri"/>
          <w:sz w:val="20"/>
          <w:szCs w:val="20"/>
          <w:color w:val="000000"/>
        </w:rPr>
        <w:t>htps://investors.soterahealth.com/events-and-presentatons.</w:t>
      </w:r>
      <w:r>
        <w:rPr>
          <w:rFonts w:ascii="Calibri" w:cs="Calibri" w:eastAsia="Calibri" w:hAnsi="Calibri"/>
          <w:sz w:val="20"/>
          <w:szCs w:val="20"/>
          <w:color w:val="3A383A"/>
        </w:rPr>
        <w:t xml:space="preserve"> To partcipate via telephone, registraton is required.</w:t>
      </w:r>
    </w:p>
    <w:p>
      <w:pPr>
        <w:ind w:right="120"/>
        <w:spacing w:after="0" w:line="232" w:lineRule="auto"/>
        <w:rPr>
          <w:sz w:val="20"/>
          <w:szCs w:val="20"/>
          <w:color w:val="auto"/>
        </w:rPr>
      </w:pPr>
      <w:r>
        <w:rPr>
          <w:rFonts w:ascii="Calibri" w:cs="Calibri" w:eastAsia="Calibri" w:hAnsi="Calibri"/>
          <w:sz w:val="20"/>
          <w:szCs w:val="20"/>
          <w:color w:val="3A383A"/>
        </w:rPr>
        <w:t xml:space="preserve">The Company advises atendees to register in advance at this </w:t>
      </w:r>
      <w:r>
        <w:rPr>
          <w:rFonts w:ascii="Calibri" w:cs="Calibri" w:eastAsia="Calibri" w:hAnsi="Calibri"/>
          <w:sz w:val="20"/>
          <w:szCs w:val="20"/>
          <w:color w:val="000000"/>
        </w:rPr>
        <w:t>link</w:t>
      </w:r>
      <w:r>
        <w:rPr>
          <w:rFonts w:ascii="Calibri" w:cs="Calibri" w:eastAsia="Calibri" w:hAnsi="Calibri"/>
          <w:sz w:val="20"/>
          <w:szCs w:val="20"/>
          <w:color w:val="3A383A"/>
        </w:rPr>
        <w:t xml:space="preserve"> to avoid delays in joining the call</w:t>
      </w:r>
      <w:r>
        <w:rPr>
          <w:rFonts w:ascii="Calibri" w:cs="Calibri" w:eastAsia="Calibri" w:hAnsi="Calibri"/>
          <w:sz w:val="20"/>
          <w:szCs w:val="20"/>
          <w:color w:val="1B365D"/>
        </w:rPr>
        <w:t>.</w:t>
      </w:r>
      <w:r>
        <w:rPr>
          <w:rFonts w:ascii="Calibri" w:cs="Calibri" w:eastAsia="Calibri" w:hAnsi="Calibri"/>
          <w:sz w:val="20"/>
          <w:szCs w:val="20"/>
          <w:color w:val="3A383A"/>
        </w:rPr>
        <w:t xml:space="preserve"> Upon registraton, all telephone partcipants will receive a confrmaton email detailing how to join the conference call, including the dial-in number along with a unique passcode and registrant ID that can be used to access the call. A replay of the conference call and webcast will be archived on the Company's website.</w:t>
      </w:r>
    </w:p>
    <w:p>
      <w:pPr>
        <w:spacing w:after="0" w:line="226" w:lineRule="exact"/>
        <w:rPr>
          <w:sz w:val="20"/>
          <w:szCs w:val="20"/>
          <w:color w:val="auto"/>
        </w:rPr>
      </w:pPr>
    </w:p>
    <w:p>
      <w:pPr>
        <w:ind w:right="20"/>
        <w:spacing w:after="0" w:line="231" w:lineRule="auto"/>
        <w:rPr>
          <w:sz w:val="20"/>
          <w:szCs w:val="20"/>
          <w:color w:val="auto"/>
        </w:rPr>
      </w:pPr>
      <w:r>
        <w:rPr>
          <w:rFonts w:ascii="Calibri" w:cs="Calibri" w:eastAsia="Calibri" w:hAnsi="Calibri"/>
          <w:sz w:val="20"/>
          <w:szCs w:val="20"/>
          <w:color w:val="auto"/>
        </w:rPr>
        <w:t>Updates can be found from tme to tme on recent developments in maters relevant to investors on the Investor Relatons secton of the Company’s website at htps://investors.soterahealth.com. For developments related to EO, updates can be found at htps://investors.soterahealth.com/ethylene-oxide-eo-overview.</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064" w:right="33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u w:val="single" w:color="auto"/>
          <w:color w:val="auto"/>
        </w:rPr>
        <w:t>Forward-Looking Statements</w:t>
      </w:r>
    </w:p>
    <w:p>
      <w:pPr>
        <w:spacing w:after="0" w:line="90" w:lineRule="exact"/>
        <w:rPr>
          <w:sz w:val="20"/>
          <w:szCs w:val="20"/>
          <w:color w:val="auto"/>
        </w:rPr>
      </w:pPr>
    </w:p>
    <w:p>
      <w:pPr>
        <w:spacing w:after="0" w:line="233" w:lineRule="auto"/>
        <w:rPr>
          <w:sz w:val="20"/>
          <w:szCs w:val="20"/>
          <w:color w:val="auto"/>
        </w:rPr>
      </w:pPr>
      <w:r>
        <w:rPr>
          <w:rFonts w:ascii="Calibri" w:cs="Calibri" w:eastAsia="Calibri" w:hAnsi="Calibri"/>
          <w:sz w:val="20"/>
          <w:szCs w:val="20"/>
          <w:color w:val="auto"/>
        </w:rPr>
        <w:t>Unless expressly indicated or the context requires otherwise, the terms “Sotera Health,” “Company,” “we,” “us,” and “our” in this document refer to Sotera Health Company, a Delaware corporaton, and, where appropriate, its subsidiaries on a consolidated basis. This release contains forward-looking statements that refect management’s expectatons about future events and the Company’s operatng plans and performance and speak only as of the date hereof. You can identfy these forward-looking statements by the use of forward-looking words such as “will,” “may,” “plan,” “estmate,” “project,” “believe,” “antcipate,” “expect,” “intend,” “should,” “would,” “could,” “target,” “goal,” “contnue to,” “positoned to,” “are confdent” or the negatve version of those words or other comparable words. In additon, any statements that refer to expectatons, projectons or other characterizatons of future events or circumstances, are forward-looking statements. Any forward-looking statements contained in this release are based upon our historical performance and on our current plans, estmates and expectatons in light of informaton currently available to us. The inclusion of this forward-looking informaton should not be regarded as a representaton by us that the future plans, estmates or expectatons contemplated by us will be achieved. These forward-looking statements are subject to various risks, uncertaintes and assumptons relatng to our operatons, fnancial results, fnancial conditon, business, prospects, growth strategy and liquidity. These risks and uncertaintes include, without limitaton, any disrupton in the availability or supply, or increases in the price of EO or Co-60, including geopolitcal risks related to the supply of Co-60 from Russia; changes in industry trends, environmental, health and safety regulatons or preferences; the impact of current and future legal proceedings and liability claims, including litgaton related to purported exposure to emissions of EO from our facilites in Illinois, Georgia and New Mexico and the possibility that other claims will be made in the future relatng to these or other facilites; our ability to increase capacity at existng facilites, renew leases for our leased facilites and build new facilites in a tmely and cost-efectve manner; competton for qualifed employees in the industries in which we operate; the risks of doing business internatonally; and any inability to pursue strategic transactons or fnd suitable acquisiton targets. For additonal discussion of these risks and uncertaintes, please refer to Company’s flings with the SEC, such as its annual and quarterly reports. We do not undertake any obligaton to publicly update or revise these forward-looking statements, except as otherwise required by law.</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Non-GAAP Financial Measures</w:t>
      </w:r>
    </w:p>
    <w:p>
      <w:pPr>
        <w:spacing w:after="0" w:line="103" w:lineRule="exact"/>
        <w:rPr>
          <w:sz w:val="20"/>
          <w:szCs w:val="20"/>
          <w:color w:val="auto"/>
        </w:rPr>
      </w:pPr>
    </w:p>
    <w:p>
      <w:pPr>
        <w:ind w:right="160"/>
        <w:spacing w:after="0" w:line="233" w:lineRule="auto"/>
        <w:rPr>
          <w:sz w:val="20"/>
          <w:szCs w:val="20"/>
          <w:color w:val="auto"/>
        </w:rPr>
      </w:pPr>
      <w:r>
        <w:rPr>
          <w:rFonts w:ascii="Calibri" w:cs="Calibri" w:eastAsia="Calibri" w:hAnsi="Calibri"/>
          <w:sz w:val="20"/>
          <w:szCs w:val="20"/>
          <w:color w:val="auto"/>
        </w:rPr>
        <w:t>The Company does not provide a reconciliaton of the forward-looking Adjusted EBITDA, Adjusted Net Income, Adjusted EPS, and Net Leverage Rato outlook to the most directly comparable GAAP measure, as this cannot be done without unreasonable efort due to the variability and low visibility with respect to certain items, including, among others, uncertaintes caused by the global COVID-19 pandemic, changes to the regulatory landscape, restructuring items and certain fair value measurements, all of which are potental adjustments for future earnings. The variability of these items could have a potentally unpredictable, and a potentally signifcant, impact on our future GAAP results.</w:t>
      </w:r>
    </w:p>
    <w:p>
      <w:pPr>
        <w:spacing w:after="0" w:line="211" w:lineRule="exact"/>
        <w:rPr>
          <w:sz w:val="20"/>
          <w:szCs w:val="20"/>
          <w:color w:val="auto"/>
        </w:rPr>
      </w:pPr>
    </w:p>
    <w:p>
      <w:pPr>
        <w:ind w:right="240"/>
        <w:spacing w:after="0" w:line="231" w:lineRule="auto"/>
        <w:rPr>
          <w:sz w:val="20"/>
          <w:szCs w:val="20"/>
          <w:color w:val="auto"/>
        </w:rPr>
      </w:pPr>
      <w:r>
        <w:rPr>
          <w:rFonts w:ascii="Calibri" w:cs="Calibri" w:eastAsia="Calibri" w:hAnsi="Calibri"/>
          <w:sz w:val="20"/>
          <w:szCs w:val="20"/>
          <w:color w:val="auto"/>
        </w:rPr>
        <w:t>To supplement our consolidated fnancial statements presented in accordance with GAAP, we consider Adjusted EBITDA, Adjusted Net Income, Adjusted EPS, Net Debt and Net Leverage Rato, fnancial measures that are not based on any standardized methodology prescribed by GAAP.</w:t>
      </w:r>
    </w:p>
    <w:p>
      <w:pPr>
        <w:spacing w:after="0" w:line="227" w:lineRule="exact"/>
        <w:rPr>
          <w:sz w:val="20"/>
          <w:szCs w:val="20"/>
          <w:color w:val="auto"/>
        </w:rPr>
      </w:pPr>
    </w:p>
    <w:p>
      <w:pPr>
        <w:ind w:right="180"/>
        <w:spacing w:after="0" w:line="234" w:lineRule="auto"/>
        <w:rPr>
          <w:sz w:val="20"/>
          <w:szCs w:val="20"/>
          <w:color w:val="auto"/>
        </w:rPr>
      </w:pPr>
      <w:r>
        <w:rPr>
          <w:rFonts w:ascii="Calibri" w:cs="Calibri" w:eastAsia="Calibri" w:hAnsi="Calibri"/>
          <w:sz w:val="20"/>
          <w:szCs w:val="20"/>
          <w:color w:val="auto"/>
        </w:rPr>
        <w:t>We defne Adjusted Net Income as net income (loss) before amortzaton and certain other adjustments that we do not consider in our evaluaton of our ongoing operatng performance from period to period.</w:t>
      </w:r>
    </w:p>
    <w:p>
      <w:pPr>
        <w:spacing w:after="0" w:line="212" w:lineRule="exact"/>
        <w:rPr>
          <w:sz w:val="20"/>
          <w:szCs w:val="20"/>
          <w:color w:val="auto"/>
        </w:rPr>
      </w:pPr>
    </w:p>
    <w:p>
      <w:pPr>
        <w:ind w:right="260"/>
        <w:spacing w:after="0" w:line="231" w:lineRule="auto"/>
        <w:rPr>
          <w:sz w:val="20"/>
          <w:szCs w:val="20"/>
          <w:color w:val="auto"/>
        </w:rPr>
      </w:pPr>
      <w:r>
        <w:rPr>
          <w:rFonts w:ascii="Calibri" w:cs="Calibri" w:eastAsia="Calibri" w:hAnsi="Calibri"/>
          <w:sz w:val="20"/>
          <w:szCs w:val="20"/>
          <w:color w:val="auto"/>
        </w:rPr>
        <w:t>We defne Adjusted EBITDA as Adjusted Net Income before interest expense and the mark-to-market impact of derivatves not accounted for as hedges, depreciaton (including depreciaton of Co-60 used in our operatons) and income tax provision applicable to Adjusted Net Income. Adjusted EBITDA Margin is equal to Adjusted EBITDA divided by net revenues.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We defne Adjusted EPS as Adjusted Net Income divided by the weighted average number of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20"/>
          </w:cols>
          <w:pgMar w:left="320" w:top="1280" w:right="359" w:bottom="1440" w:gutter="0" w:footer="0" w:header="0"/>
        </w:sectPr>
      </w:pPr>
    </w:p>
    <w:bookmarkStart w:id="7" w:name="page8"/>
    <w:bookmarkEnd w:id="7"/>
    <w:p>
      <w:pPr>
        <w:ind w:right="180"/>
        <w:spacing w:after="0" w:line="228" w:lineRule="auto"/>
        <w:rPr>
          <w:sz w:val="20"/>
          <w:szCs w:val="20"/>
          <w:color w:val="auto"/>
        </w:rPr>
      </w:pPr>
      <w:r>
        <w:rPr>
          <w:rFonts w:ascii="Calibri" w:cs="Calibri" w:eastAsia="Calibri" w:hAnsi="Calibri"/>
          <w:sz w:val="20"/>
          <w:szCs w:val="20"/>
          <w:color w:val="auto"/>
        </w:rPr>
        <w:t>Our Net Debt is equal to our total debt, including fnancing leases, plus unamortzed debt issuance costs and debt discounts, less cash and cash equivalents.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color w:val="auto"/>
        </w:rPr>
        <w:t>Our Net Leverage Rato is equal to Net Debt divided by the trailing twelve-months of Adjusted EBITDA.</w:t>
      </w:r>
    </w:p>
    <w:p>
      <w:pPr>
        <w:spacing w:after="0" w:line="198" w:lineRule="exact"/>
        <w:rPr>
          <w:sz w:val="20"/>
          <w:szCs w:val="20"/>
          <w:color w:val="auto"/>
        </w:rPr>
      </w:pPr>
    </w:p>
    <w:p>
      <w:pPr>
        <w:spacing w:after="0" w:line="220" w:lineRule="auto"/>
        <w:rPr>
          <w:sz w:val="20"/>
          <w:szCs w:val="20"/>
          <w:color w:val="auto"/>
        </w:rPr>
      </w:pPr>
      <w:r>
        <w:rPr>
          <w:rFonts w:ascii="Calibri" w:cs="Calibri" w:eastAsia="Calibri" w:hAnsi="Calibri"/>
          <w:sz w:val="20"/>
          <w:szCs w:val="20"/>
          <w:color w:val="auto"/>
        </w:rPr>
        <w:t>Constant currency is a non-GAAP fnancial measure we use to assess performance excluding the impact of foreign currency exchange rate changes. We calculate constant currency net revenues by translatng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additon to, not as a substtute for, results reported in accordance with GAAP. Results on a constant currency basis, as we present them, may not be comparable to similarly ttled measures used by other companies and are not measures of performance presented in accordance with U.S. GAAP.</w:t>
      </w:r>
    </w:p>
    <w:p>
      <w:pPr>
        <w:spacing w:after="0" w:line="215"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We use these non-GAAP fnancial measures as the principal measures of our operatng performance. Management believes these are useful because they allow management to more efectvely evaluate our operatng performance and compare the results of our operatons from period to period without the impact of certain non-cash items and non-routne items that we do not expect to contnue at the same level in the future and other items that are not core to our operatons. We believe that these measures are useful to our investors because they provide a more complete understanding of the factors and trends afectng our business than could be obtained absent this disclosure. In additon, we believe these measures will assist investors in making comparisons to our historical operatng results and analyzing the underlying performance of our operatons for the periods presented. Our management also uses these measurements in their fnancial analysis and operatonal decision-making and Adjusted EBITDA serves as the basis for the atainment of our primary annual incentve program. These measures may be calculated diferently from, and therefore may not be comparable to, a similarly ttled measure used by other companies.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About Sotera Health</w:t>
      </w:r>
    </w:p>
    <w:p>
      <w:pPr>
        <w:spacing w:after="0" w:line="103" w:lineRule="exact"/>
        <w:rPr>
          <w:sz w:val="20"/>
          <w:szCs w:val="20"/>
          <w:color w:val="auto"/>
        </w:rPr>
      </w:pPr>
    </w:p>
    <w:p>
      <w:pPr>
        <w:ind w:right="40"/>
        <w:spacing w:after="0" w:line="231" w:lineRule="auto"/>
        <w:rPr>
          <w:sz w:val="20"/>
          <w:szCs w:val="20"/>
          <w:color w:val="auto"/>
        </w:rPr>
      </w:pPr>
      <w:r>
        <w:rPr>
          <w:rFonts w:ascii="Calibri" w:cs="Calibri" w:eastAsia="Calibri" w:hAnsi="Calibri"/>
          <w:sz w:val="20"/>
          <w:szCs w:val="20"/>
          <w:color w:val="auto"/>
        </w:rPr>
        <w:t>Sotera Health Company is a leading global provider of mission-critcal end-to-end sterilizaton solutons and lab testng and advisory services for the healthcare industry. Sotera Health goes to market through three businesses – Sterigenics®, Nordion® and Nelson Labs®. Sotera Health is commited to its mission, Safeguarding Global Health®.</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INVESTOR RELATIONS</w:t>
      </w:r>
    </w:p>
    <w:p>
      <w:pPr>
        <w:spacing w:after="0" w:line="93" w:lineRule="exact"/>
        <w:rPr>
          <w:sz w:val="20"/>
          <w:szCs w:val="20"/>
          <w:color w:val="auto"/>
        </w:rPr>
      </w:pPr>
    </w:p>
    <w:p>
      <w:pPr>
        <w:spacing w:after="0"/>
        <w:rPr>
          <w:sz w:val="20"/>
          <w:szCs w:val="20"/>
          <w:color w:val="auto"/>
        </w:rPr>
      </w:pPr>
      <w:r>
        <w:rPr>
          <w:rFonts w:ascii="Calibri" w:cs="Calibri" w:eastAsia="Calibri" w:hAnsi="Calibri"/>
          <w:sz w:val="20"/>
          <w:szCs w:val="20"/>
          <w:color w:val="auto"/>
        </w:rPr>
        <w:t>Joseph Vitale</w:t>
      </w:r>
    </w:p>
    <w:p>
      <w:pPr>
        <w:spacing w:after="0" w:line="225" w:lineRule="auto"/>
        <w:rPr>
          <w:sz w:val="20"/>
          <w:szCs w:val="20"/>
          <w:color w:val="auto"/>
        </w:rPr>
      </w:pPr>
      <w:r>
        <w:rPr>
          <w:rFonts w:ascii="Calibri" w:cs="Calibri" w:eastAsia="Calibri" w:hAnsi="Calibri"/>
          <w:sz w:val="20"/>
          <w:szCs w:val="20"/>
          <w:color w:val="auto"/>
        </w:rPr>
        <w:t>Vice President Investor Relatons, Sotera Health</w:t>
      </w:r>
    </w:p>
    <w:p>
      <w:pPr>
        <w:spacing w:after="0" w:line="6"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0563C1"/>
        </w:rPr>
        <w:t>IR@soterahealth.com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MEDIA</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Kristn Gibbs</w:t>
      </w:r>
    </w:p>
    <w:p>
      <w:pPr>
        <w:spacing w:after="0" w:line="238" w:lineRule="auto"/>
        <w:rPr>
          <w:sz w:val="20"/>
          <w:szCs w:val="20"/>
          <w:color w:val="auto"/>
        </w:rPr>
      </w:pPr>
      <w:r>
        <w:rPr>
          <w:rFonts w:ascii="Calibri" w:cs="Calibri" w:eastAsia="Calibri" w:hAnsi="Calibri"/>
          <w:sz w:val="20"/>
          <w:szCs w:val="20"/>
          <w:color w:val="auto"/>
        </w:rPr>
        <w:t>Chief Marketng Ofcer, Sotera Health</w:t>
      </w:r>
    </w:p>
    <w:p>
      <w:pPr>
        <w:spacing w:after="0" w:line="232" w:lineRule="auto"/>
        <w:rPr>
          <w:sz w:val="20"/>
          <w:szCs w:val="20"/>
          <w:color w:val="auto"/>
        </w:rPr>
      </w:pPr>
      <w:r>
        <w:rPr>
          <w:rFonts w:ascii="Calibri" w:cs="Calibri" w:eastAsia="Calibri" w:hAnsi="Calibri"/>
          <w:sz w:val="18"/>
          <w:szCs w:val="18"/>
          <w:u w:val="single" w:color="auto"/>
          <w:color w:val="0563C1"/>
        </w:rPr>
        <w:t>kgibbs@soterahealth.com</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color w:val="auto"/>
        </w:rPr>
        <w:t>Source: Sotera Health Company</w:t>
      </w:r>
    </w:p>
    <w:p>
      <w:pPr>
        <w:spacing w:after="0" w:line="80"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140"/>
          </w:cols>
          <w:pgMar w:left="320" w:top="1074"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400" w:type="dxa"/>
            <w:vAlign w:val="bottom"/>
            <w:gridSpan w:val="4"/>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5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r>
      <w:tr>
        <w:trPr>
          <w:trHeight w:val="225"/>
        </w:trPr>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221,529</w:t>
            </w:r>
          </w:p>
        </w:tc>
        <w:tc>
          <w:tcPr>
            <w:tcW w:w="1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208,710</w:t>
            </w:r>
          </w:p>
        </w:tc>
        <w:tc>
          <w:tcPr>
            <w:tcW w:w="1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427,747</w:t>
            </w:r>
          </w:p>
        </w:tc>
        <w:tc>
          <w:tcPr>
            <w:tcW w:w="16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397,408</w:t>
            </w:r>
          </w:p>
        </w:tc>
      </w:tr>
      <w:tr>
        <w:trPr>
          <w:trHeight w:val="229"/>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45,110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75,646</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66,657</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266,639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503,393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464,065</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98,407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192,983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176,427</w:t>
            </w: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31,139</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28,505</w:t>
            </w:r>
          </w:p>
        </w:tc>
      </w:tr>
      <w:tr>
        <w:trPr>
          <w:trHeight w:val="223"/>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116,243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224,122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204,932</w:t>
            </w: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150,396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279,271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259,133</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63,132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122,674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102,293</w:t>
            </w:r>
          </w:p>
        </w:tc>
      </w:tr>
      <w:tr>
        <w:trPr>
          <w:trHeight w:val="229"/>
        </w:trPr>
        <w:tc>
          <w:tcPr>
            <w:tcW w:w="56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15,769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31,610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32,204</w:t>
            </w:r>
          </w:p>
        </w:tc>
      </w:tr>
      <w:tr>
        <w:trPr>
          <w:trHeight w:val="22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78,901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154,284</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134,497</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71,495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124,987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124,636</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24,448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investment in unconsolidated affiliate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(2,482)</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48,108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93,375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75,879</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32,316</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22,199</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30,418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61,059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53,680</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Sotera Health Company</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30,418</w:t>
            </w: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42,599</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61,059</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29"/>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279,990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279,910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278,953</w:t>
            </w:r>
          </w:p>
        </w:tc>
      </w:tr>
      <w:tr>
        <w:trPr>
          <w:trHeight w:val="230"/>
        </w:trPr>
        <w:tc>
          <w:tcPr>
            <w:tcW w:w="5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280,171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279,214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280,038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020"/>
          </w:cols>
          <w:pgMar w:left="440" w:top="122" w:right="439" w:bottom="1440" w:gutter="0" w:footer="0" w:header="0"/>
        </w:sectPr>
      </w:pPr>
    </w:p>
    <w:bookmarkStart w:id="9" w:name="page10"/>
    <w:bookmarkEnd w:id="9"/>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112"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32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5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157,792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145,182</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307,254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276,333</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75,043</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111,659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112,689</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251,917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503,393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464,065</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148,030</w:t>
            </w:r>
          </w:p>
        </w:tc>
        <w:tc>
          <w:tcPr>
            <w:tcW w:w="0" w:type="dxa"/>
            <w:vAlign w:val="bottom"/>
          </w:tcPr>
          <w:p>
            <w:pPr>
              <w:spacing w:after="0"/>
              <w:rPr>
                <w:sz w:val="1"/>
                <w:szCs w:val="1"/>
                <w:color w:val="auto"/>
              </w:rPr>
            </w:pPr>
          </w:p>
        </w:tc>
      </w:tr>
      <w:tr>
        <w:trPr>
          <w:trHeight w:val="230"/>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44,954</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46,896</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136,135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134,563</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251,484</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239,880</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33,894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40,445</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37,461</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72,988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10,339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0" w:type="dxa"/>
            <w:vAlign w:val="bottom"/>
          </w:tcPr>
          <w:p>
            <w:pPr>
              <w:spacing w:after="0"/>
              <w:rPr>
                <w:sz w:val="1"/>
                <w:szCs w:val="1"/>
                <w:color w:val="auto"/>
              </w:rPr>
            </w:pPr>
          </w:p>
        </w:tc>
      </w:tr>
      <w:tr>
        <w:trPr>
          <w:trHeight w:val="221"/>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foreign currency and derivatives not designated as hedging</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 net</w:t>
            </w:r>
            <w:r>
              <w:rPr>
                <w:rFonts w:ascii="Times New Roman" w:cs="Times New Roman" w:eastAsia="Times New Roman" w:hAnsi="Times New Roman"/>
                <w:sz w:val="23"/>
                <w:szCs w:val="23"/>
                <w:color w:val="auto"/>
                <w:vertAlign w:val="superscript"/>
              </w:rPr>
              <w:t>(d)</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23"/>
                <w:szCs w:val="23"/>
                <w:color w:val="auto"/>
                <w:vertAlign w:val="superscript"/>
              </w:rPr>
              <w:t>(e)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23"/>
                <w:szCs w:val="23"/>
                <w:color w:val="auto"/>
                <w:vertAlign w:val="superscript"/>
              </w:rPr>
              <w:t>(f)</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Plant closure expenses</w:t>
            </w:r>
            <w:r>
              <w:rPr>
                <w:rFonts w:ascii="Times New Roman" w:cs="Times New Roman" w:eastAsia="Times New Roman" w:hAnsi="Times New Roman"/>
                <w:sz w:val="23"/>
                <w:szCs w:val="23"/>
                <w:color w:val="auto"/>
                <w:vertAlign w:val="superscript"/>
              </w:rPr>
              <w:t>(g)</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 in unconsolidated affiliate</w:t>
            </w:r>
            <w:r>
              <w:rPr>
                <w:rFonts w:ascii="Times New Roman" w:cs="Times New Roman" w:eastAsia="Times New Roman" w:hAnsi="Times New Roman"/>
                <w:sz w:val="23"/>
                <w:szCs w:val="23"/>
                <w:color w:val="auto"/>
                <w:vertAlign w:val="superscript"/>
              </w:rPr>
              <w:t>(h)</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23"/>
                <w:szCs w:val="23"/>
                <w:color w:val="auto"/>
                <w:vertAlign w:val="superscript"/>
              </w:rPr>
              <w:t>(i)</w:t>
            </w:r>
          </w:p>
        </w:tc>
        <w:tc>
          <w:tcPr>
            <w:tcW w:w="26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(j)</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35,737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(k)</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23"/>
                <w:szCs w:val="23"/>
                <w:color w:val="auto"/>
                <w:vertAlign w:val="superscript"/>
              </w:rPr>
              <w:t>(l)</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93,375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92" w:right="120" w:hanging="492"/>
        <w:spacing w:after="0" w:line="264" w:lineRule="auto"/>
        <w:tabs>
          <w:tab w:leader="none" w:pos="4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and six months ended June 30, 2022 excludes $3.1 million and $9.4 million, respectively, of unrealized gains on interest rate derivatives not designated as hedging instruments.</w:t>
      </w:r>
    </w:p>
    <w:p>
      <w:pPr>
        <w:ind w:left="492" w:hanging="492"/>
        <w:spacing w:after="0"/>
        <w:tabs>
          <w:tab w:leader="none" w:pos="49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w:t>
      </w:r>
    </w:p>
    <w:p>
      <w:pPr>
        <w:spacing w:after="0" w:line="26" w:lineRule="exact"/>
        <w:rPr>
          <w:rFonts w:ascii="Times New Roman" w:cs="Times New Roman" w:eastAsia="Times New Roman" w:hAnsi="Times New Roman"/>
          <w:sz w:val="16"/>
          <w:szCs w:val="16"/>
          <w:color w:val="auto"/>
        </w:rPr>
      </w:pPr>
    </w:p>
    <w:p>
      <w:pPr>
        <w:ind w:left="472" w:hanging="472"/>
        <w:spacing w:after="0"/>
        <w:tabs>
          <w:tab w:leader="none" w:pos="47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share-based compensation expense.</w:t>
      </w:r>
    </w:p>
    <w:p>
      <w:pPr>
        <w:spacing w:after="0" w:line="24" w:lineRule="exact"/>
        <w:rPr>
          <w:rFonts w:ascii="Times New Roman" w:cs="Times New Roman" w:eastAsia="Times New Roman" w:hAnsi="Times New Roman"/>
          <w:sz w:val="16"/>
          <w:szCs w:val="16"/>
          <w:color w:val="auto"/>
        </w:rPr>
      </w:pPr>
    </w:p>
    <w:p>
      <w:pPr>
        <w:ind w:left="492" w:right="20" w:hanging="492"/>
        <w:spacing w:after="0" w:line="269" w:lineRule="auto"/>
        <w:tabs>
          <w:tab w:leader="none" w:pos="49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ind w:left="492" w:hanging="492"/>
        <w:spacing w:after="0" w:line="258" w:lineRule="auto"/>
        <w:tabs>
          <w:tab w:leader="none" w:pos="4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direct and incremental costs related to the acquisitions of Regulatory Compliance Associates (“RCA”), the noncontrolling interests in our China subsidiaries,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2" w:lineRule="exact"/>
        <w:rPr>
          <w:rFonts w:ascii="Times New Roman" w:cs="Times New Roman" w:eastAsia="Times New Roman" w:hAnsi="Times New Roman"/>
          <w:sz w:val="16"/>
          <w:szCs w:val="16"/>
          <w:color w:val="auto"/>
        </w:rPr>
      </w:pPr>
    </w:p>
    <w:p>
      <w:pPr>
        <w:ind w:left="492" w:right="240" w:hanging="492"/>
        <w:spacing w:after="0" w:line="264" w:lineRule="auto"/>
        <w:tabs>
          <w:tab w:leader="none" w:pos="49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ind w:left="492" w:right="500" w:hanging="492"/>
        <w:spacing w:after="0" w:line="264" w:lineRule="auto"/>
        <w:tabs>
          <w:tab w:leader="none" w:pos="49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fees, severance and other payroll costs, and other costs including ongoing lease and utility expenses associated with the closure of the Willowbrook, Illinois facility.</w:t>
      </w:r>
    </w:p>
    <w:p>
      <w:pPr>
        <w:ind w:left="492" w:hanging="492"/>
        <w:spacing w:after="0"/>
        <w:tabs>
          <w:tab w:leader="none" w:pos="49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impairment charge on our equity method investment in Auralux.</w:t>
      </w:r>
    </w:p>
    <w:p>
      <w:pPr>
        <w:spacing w:after="0" w:line="32" w:lineRule="exact"/>
        <w:rPr>
          <w:rFonts w:ascii="Times New Roman" w:cs="Times New Roman" w:eastAsia="Times New Roman" w:hAnsi="Times New Roman"/>
          <w:sz w:val="16"/>
          <w:szCs w:val="16"/>
          <w:color w:val="auto"/>
        </w:rPr>
      </w:pPr>
    </w:p>
    <w:p>
      <w:pPr>
        <w:ind w:left="492" w:right="440" w:hanging="492"/>
        <w:spacing w:after="0" w:line="264" w:lineRule="auto"/>
        <w:tabs>
          <w:tab w:leader="none" w:pos="4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expenses incurred in connection with the repricing of our Term Loan in January 2021, including accelerated amortization of prior debt issuance and discount costs.</w:t>
      </w:r>
    </w:p>
    <w:p>
      <w:pPr>
        <w:ind w:left="472" w:hanging="472"/>
        <w:spacing w:after="0"/>
        <w:tabs>
          <w:tab w:leader="none" w:pos="47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26" w:lineRule="exact"/>
        <w:rPr>
          <w:rFonts w:ascii="Times New Roman" w:cs="Times New Roman" w:eastAsia="Times New Roman" w:hAnsi="Times New Roman"/>
          <w:sz w:val="16"/>
          <w:szCs w:val="16"/>
          <w:color w:val="auto"/>
        </w:rPr>
      </w:pPr>
    </w:p>
    <w:p>
      <w:pPr>
        <w:jc w:val="both"/>
        <w:ind w:left="492" w:right="120" w:hanging="492"/>
        <w:spacing w:after="0" w:line="260" w:lineRule="auto"/>
        <w:tabs>
          <w:tab w:leader="none" w:pos="49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6"/>
          <w:szCs w:val="16"/>
          <w:color w:val="auto"/>
        </w:rPr>
      </w:pPr>
    </w:p>
    <w:p>
      <w:pPr>
        <w:ind w:left="472" w:hanging="472"/>
        <w:spacing w:after="0"/>
        <w:tabs>
          <w:tab w:leader="none" w:pos="47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non-recurring costs associated with the COVID-19 pandemic, including incremental costs to implement workplace health and safety measures.</w:t>
      </w:r>
    </w:p>
    <w:p>
      <w:pPr>
        <w:sectPr>
          <w:pgSz w:w="11900" w:h="16838" w:orient="portrait"/>
          <w:cols w:equalWidth="0" w:num="1">
            <w:col w:w="11232"/>
          </w:cols>
          <w:pgMar w:left="328" w:top="338"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Calibri" w:cs="Calibri" w:eastAsia="Calibri" w:hAnsi="Calibri"/>
          <w:sz w:val="18"/>
          <w:szCs w:val="18"/>
          <w:color w:val="auto"/>
        </w:rPr>
        <w:t>7</w:t>
      </w:r>
    </w:p>
    <w:p>
      <w:pPr>
        <w:sectPr>
          <w:pgSz w:w="11900" w:h="16838" w:orient="portrait"/>
          <w:cols w:equalWidth="0" w:num="1">
            <w:col w:w="11232"/>
          </w:cols>
          <w:pgMar w:left="328" w:top="338" w:right="339" w:bottom="1440" w:gutter="0" w:footer="0" w:header="0"/>
          <w:type w:val="continuous"/>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8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476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2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140,618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c>
          <w:tcPr>
            <w:tcW w:w="0" w:type="dxa"/>
            <w:vAlign w:val="bottom"/>
          </w:tcPr>
          <w:p>
            <w:pPr>
              <w:spacing w:after="0"/>
              <w:rPr>
                <w:sz w:val="1"/>
                <w:szCs w:val="1"/>
                <w:color w:val="auto"/>
              </w:rPr>
            </w:pPr>
          </w:p>
        </w:tc>
      </w:tr>
      <w:tr>
        <w:trPr>
          <w:trHeight w:val="229"/>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119,852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108,183</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39,652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98,559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76,566</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398,681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345,961</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699,571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650,797</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29,853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543,057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598,844</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1,116,002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1,120,320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52,521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33,634</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2,839,685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2,789,502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6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142,021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161,161</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1,745,548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1,743,534</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171,386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164,210</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144,730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134,501</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2,203,685</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2,203,406</w:t>
            </w:r>
          </w:p>
        </w:tc>
        <w:tc>
          <w:tcPr>
            <w:tcW w:w="0" w:type="dxa"/>
            <w:vAlign w:val="bottom"/>
          </w:tcPr>
          <w:p>
            <w:pPr>
              <w:spacing w:after="0"/>
              <w:rPr>
                <w:sz w:val="1"/>
                <w:szCs w:val="1"/>
                <w:color w:val="auto"/>
              </w:rPr>
            </w:pPr>
          </w:p>
        </w:tc>
      </w:tr>
      <w:tr>
        <w:trPr>
          <w:trHeight w:val="263"/>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636,000</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586,096</w:t>
            </w:r>
          </w:p>
        </w:tc>
        <w:tc>
          <w:tcPr>
            <w:tcW w:w="0" w:type="dxa"/>
            <w:vAlign w:val="bottom"/>
          </w:tcPr>
          <w:p>
            <w:pPr>
              <w:spacing w:after="0"/>
              <w:rPr>
                <w:sz w:val="1"/>
                <w:szCs w:val="1"/>
                <w:color w:val="auto"/>
              </w:rPr>
            </w:pPr>
          </w:p>
        </w:tc>
      </w:tr>
      <w:tr>
        <w:trPr>
          <w:trHeight w:val="284"/>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2,839,685</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2,789,502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Calibri" w:cs="Calibri" w:eastAsia="Calibri" w:hAnsi="Calibri"/>
                <w:sz w:val="18"/>
                <w:szCs w:val="18"/>
                <w:color w:val="auto"/>
              </w:rPr>
              <w:t>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7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38"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34"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61,059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53,680</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99,520</w:t>
            </w:r>
          </w:p>
        </w:tc>
      </w:tr>
      <w:tr>
        <w:trPr>
          <w:trHeight w:val="22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(18,944)</w:t>
            </w:r>
          </w:p>
        </w:tc>
      </w:tr>
      <w:tr>
        <w:trPr>
          <w:trHeight w:val="22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134,256</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(44,789)</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mandatorily redeemable noncontrolling interest in Nelson Laboratories Fairfield</w:t>
            </w: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BioScience Laboratories, LLC, net of cash acquired</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(13,760)</w:t>
            </w:r>
          </w:p>
        </w:tc>
      </w:tr>
      <w:tr>
        <w:trPr>
          <w:trHeight w:val="230"/>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 to purchase of Regulatory Compliance Associates Inc.</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(70,974)</w:t>
            </w:r>
          </w:p>
        </w:tc>
      </w:tr>
      <w:tr>
        <w:trPr>
          <w:trHeight w:val="230"/>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noncontrolling interests in China subsidiaries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2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 and prepayment premium</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including 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53,770</w:t>
            </w:r>
          </w:p>
        </w:tc>
      </w:tr>
      <w:tr>
        <w:trPr>
          <w:trHeight w:val="23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102,454</w:t>
            </w:r>
          </w:p>
        </w:tc>
      </w:tr>
      <w:tr>
        <w:trPr>
          <w:trHeight w:val="223"/>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140,618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156,224</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020"/>
          </w:cols>
          <w:pgMar w:left="440" w:top="122" w:right="4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00341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paid during the period for interest</w:t>
      </w:r>
    </w:p>
    <w:p>
      <w:pPr>
        <w:spacing w:after="0" w:line="27" w:lineRule="exact"/>
        <w:rPr>
          <w:sz w:val="20"/>
          <w:szCs w:val="20"/>
          <w:color w:val="auto"/>
        </w:rPr>
      </w:pPr>
    </w:p>
    <w:p>
      <w:pPr>
        <w:ind w:left="340" w:right="2000"/>
        <w:spacing w:after="0" w:line="323" w:lineRule="auto"/>
        <w:rPr>
          <w:sz w:val="20"/>
          <w:szCs w:val="20"/>
          <w:color w:val="auto"/>
        </w:rPr>
      </w:pPr>
      <w:r>
        <w:rPr>
          <w:rFonts w:ascii="Times New Roman" w:cs="Times New Roman" w:eastAsia="Times New Roman" w:hAnsi="Times New Roman"/>
          <w:sz w:val="17"/>
          <w:szCs w:val="17"/>
          <w:color w:val="auto"/>
        </w:rPr>
        <w:t>Cash paid during the period for income taxes, net of tax refunds received Purchases of property, plant and equipment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700341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42,057</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36,615</w:t>
            </w:r>
          </w:p>
        </w:tc>
      </w:tr>
      <w:tr>
        <w:trPr>
          <w:trHeight w:val="229"/>
        </w:trPr>
        <w:tc>
          <w:tcPr>
            <w:tcW w:w="4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37,340</w:t>
            </w: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22,785</w:t>
            </w:r>
          </w:p>
        </w:tc>
      </w:tr>
      <w:tr>
        <w:trPr>
          <w:trHeight w:val="238"/>
        </w:trPr>
        <w:tc>
          <w:tcPr>
            <w:tcW w:w="4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17,923</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r>
    </w:tbl>
    <w:p>
      <w:pPr>
        <w:spacing w:after="0" w:line="267" w:lineRule="exact"/>
        <w:rPr>
          <w:sz w:val="20"/>
          <w:szCs w:val="20"/>
          <w:color w:val="auto"/>
        </w:rPr>
      </w:pPr>
    </w:p>
    <w:p>
      <w:pPr>
        <w:sectPr>
          <w:pgSz w:w="11900" w:h="16838" w:orient="portrait"/>
          <w:cols w:equalWidth="0" w:num="2">
            <w:col w:w="7580" w:space="720"/>
            <w:col w:w="2720"/>
          </w:cols>
          <w:pgMar w:left="440" w:top="122" w:right="439" w:bottom="1440" w:gutter="0" w:footer="0" w:header="0"/>
          <w:type w:val="continuous"/>
        </w:sect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ectPr>
          <w:pgSz w:w="11900" w:h="16838" w:orient="portrait"/>
          <w:cols w:equalWidth="0" w:num="1">
            <w:col w:w="11020"/>
          </w:cols>
          <w:pgMar w:left="440" w:top="122" w:right="439" w:bottom="1440" w:gutter="0" w:footer="0" w:header="0"/>
          <w:type w:val="continuous"/>
        </w:sectPr>
      </w:pPr>
    </w:p>
    <w:bookmarkStart w:id="12" w:name="page13"/>
    <w:bookmarkEnd w:id="12"/>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52"/>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32"/>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79" w:lineRule="exact"/>
        <w:rPr>
          <w:sz w:val="20"/>
          <w:szCs w:val="20"/>
          <w:color w:val="auto"/>
        </w:rPr>
      </w:pPr>
    </w:p>
    <w:tbl>
      <w:tblPr>
        <w:tblLayout w:type="fixed"/>
        <w:tblInd w:w="12"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00" w:type="dxa"/>
            <w:vAlign w:val="bottom"/>
          </w:tcPr>
          <w:p>
            <w:pPr>
              <w:spacing w:after="0"/>
              <w:rPr>
                <w:sz w:val="17"/>
                <w:szCs w:val="17"/>
                <w:color w:val="auto"/>
              </w:rPr>
            </w:pPr>
          </w:p>
        </w:tc>
        <w:tc>
          <w:tcPr>
            <w:tcW w:w="2580" w:type="dxa"/>
            <w:vAlign w:val="bottom"/>
            <w:gridSpan w:val="4"/>
          </w:tcPr>
          <w:p>
            <w:pPr>
              <w:jc w:val="right"/>
              <w:ind w:right="459"/>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0" w:type="dxa"/>
            <w:vAlign w:val="bottom"/>
          </w:tcPr>
          <w:p>
            <w:pPr>
              <w:spacing w:after="0"/>
              <w:rPr>
                <w:sz w:val="1"/>
                <w:szCs w:val="1"/>
                <w:color w:val="auto"/>
              </w:rPr>
            </w:pPr>
          </w:p>
        </w:tc>
      </w:tr>
      <w:tr>
        <w:trPr>
          <w:trHeight w:val="227"/>
        </w:trPr>
        <w:tc>
          <w:tcPr>
            <w:tcW w:w="52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30,418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42,615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61,059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53,680</w:t>
            </w: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21,195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21,778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41,377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44,060</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5,801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3,493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10,339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6,942</w:t>
            </w:r>
          </w:p>
        </w:tc>
        <w:tc>
          <w:tcPr>
            <w:tcW w:w="0" w:type="dxa"/>
            <w:vAlign w:val="bottom"/>
          </w:tcPr>
          <w:p>
            <w:pPr>
              <w:spacing w:after="0"/>
              <w:rPr>
                <w:sz w:val="1"/>
                <w:szCs w:val="1"/>
                <w:color w:val="auto"/>
              </w:rPr>
            </w:pPr>
          </w:p>
        </w:tc>
      </w:tr>
      <w:tr>
        <w:trPr>
          <w:trHeight w:val="162"/>
        </w:trPr>
        <w:tc>
          <w:tcPr>
            <w:tcW w:w="526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w:t>
            </w:r>
          </w:p>
        </w:tc>
        <w:tc>
          <w:tcPr>
            <w:tcW w:w="280" w:type="dxa"/>
            <w:vAlign w:val="bottom"/>
          </w:tcPr>
          <w:p>
            <w:pPr>
              <w:spacing w:after="0"/>
              <w:rPr>
                <w:sz w:val="14"/>
                <w:szCs w:val="14"/>
                <w:color w:val="auto"/>
              </w:rPr>
            </w:pPr>
          </w:p>
        </w:tc>
        <w:tc>
          <w:tcPr>
            <w:tcW w:w="11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(660)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(7,982)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(b)</w:t>
            </w:r>
          </w:p>
        </w:tc>
        <w:tc>
          <w:tcPr>
            <w:tcW w:w="2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844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574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756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Impairment of investment in unconsolidated affiliate</w:t>
            </w:r>
            <w:r>
              <w:rPr>
                <w:rFonts w:ascii="Times New Roman" w:cs="Times New Roman" w:eastAsia="Times New Roman" w:hAnsi="Times New Roman"/>
                <w:sz w:val="21"/>
                <w:szCs w:val="21"/>
                <w:color w:val="auto"/>
                <w:vertAlign w:val="superscript"/>
              </w:rPr>
              <w:t>(f)</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(g)</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14,312</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(h)</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17,678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10,644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35,737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24,043</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(i)</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598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1,118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1,153</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(j)</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(k)</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(9,732)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(8,863)</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(17,584)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(22,996)</w:t>
            </w:r>
          </w:p>
        </w:tc>
        <w:tc>
          <w:tcPr>
            <w:tcW w:w="0" w:type="dxa"/>
            <w:vAlign w:val="bottom"/>
          </w:tcPr>
          <w:p>
            <w:pPr>
              <w:spacing w:after="0"/>
              <w:rPr>
                <w:sz w:val="1"/>
                <w:szCs w:val="1"/>
                <w:color w:val="auto"/>
              </w:rPr>
            </w:pPr>
          </w:p>
        </w:tc>
      </w:tr>
      <w:tr>
        <w:trPr>
          <w:trHeight w:val="20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75,825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71,672</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136,079</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123,178</w:t>
            </w:r>
          </w:p>
        </w:tc>
        <w:tc>
          <w:tcPr>
            <w:tcW w:w="0" w:type="dxa"/>
            <w:vAlign w:val="bottom"/>
          </w:tcPr>
          <w:p>
            <w:pPr>
              <w:spacing w:after="0"/>
              <w:rPr>
                <w:sz w:val="1"/>
                <w:szCs w:val="1"/>
                <w:color w:val="auto"/>
              </w:rPr>
            </w:pPr>
          </w:p>
        </w:tc>
      </w:tr>
      <w:tr>
        <w:trPr>
          <w:trHeight w:val="211"/>
        </w:trPr>
        <w:tc>
          <w:tcPr>
            <w:tcW w:w="5260" w:type="dxa"/>
            <w:vAlign w:val="bottom"/>
            <w:shd w:val="clear" w:color="auto" w:fill="CCEEFF"/>
          </w:tcPr>
          <w:p>
            <w:pPr>
              <w:ind w:left="24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(l)</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17,144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19,163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33,894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40,445</w:t>
            </w:r>
          </w:p>
        </w:tc>
        <w:tc>
          <w:tcPr>
            <w:tcW w:w="0" w:type="dxa"/>
            <w:vAlign w:val="bottom"/>
          </w:tcPr>
          <w:p>
            <w:pPr>
              <w:spacing w:after="0"/>
              <w:rPr>
                <w:sz w:val="1"/>
                <w:szCs w:val="1"/>
                <w:color w:val="auto"/>
              </w:rPr>
            </w:pPr>
          </w:p>
        </w:tc>
      </w:tr>
      <w:tr>
        <w:trPr>
          <w:trHeight w:val="216"/>
        </w:trPr>
        <w:tc>
          <w:tcPr>
            <w:tcW w:w="526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(m)</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15,744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15,683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31,611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31,062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(n)</w:t>
            </w: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27,422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28,045</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49,900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45,195</w:t>
            </w: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(o)</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136,135</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134,563</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251,484</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239,880</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266,639</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251,917</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503,393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464,065</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51.1 %</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53.4 %</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50.0 %</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51.7 %</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279,990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279,078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279,910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278,953</w:t>
            </w: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280,171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279,214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280,038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279,078</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0.11</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0.15</w:t>
            </w:r>
          </w:p>
        </w:tc>
        <w:tc>
          <w:tcPr>
            <w:tcW w:w="16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0.22</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0.49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r>
        <w:trPr>
          <w:trHeight w:val="212"/>
        </w:trPr>
        <w:tc>
          <w:tcPr>
            <w:tcW w:w="5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0.26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0.49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32" w:hanging="332"/>
        <w:spacing w:after="0"/>
        <w:tabs>
          <w:tab w:leader="none" w:pos="33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share-based compensation expense.</w:t>
      </w:r>
    </w:p>
    <w:p>
      <w:pPr>
        <w:spacing w:after="0" w:line="43" w:lineRule="exact"/>
        <w:rPr>
          <w:rFonts w:ascii="Times New Roman" w:cs="Times New Roman" w:eastAsia="Times New Roman" w:hAnsi="Times New Roman"/>
          <w:sz w:val="15"/>
          <w:szCs w:val="15"/>
          <w:color w:val="auto"/>
        </w:rPr>
      </w:pPr>
    </w:p>
    <w:p>
      <w:pPr>
        <w:ind w:left="652" w:right="300" w:hanging="652"/>
        <w:spacing w:after="0" w:line="281" w:lineRule="auto"/>
        <w:tabs>
          <w:tab w:leader="none" w:pos="335"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spacing w:after="0" w:line="1" w:lineRule="exact"/>
        <w:rPr>
          <w:rFonts w:ascii="Times New Roman" w:cs="Times New Roman" w:eastAsia="Times New Roman" w:hAnsi="Times New Roman"/>
          <w:sz w:val="15"/>
          <w:szCs w:val="15"/>
          <w:color w:val="auto"/>
        </w:rPr>
      </w:pPr>
    </w:p>
    <w:p>
      <w:pPr>
        <w:ind w:left="652" w:right="40" w:hanging="652"/>
        <w:spacing w:after="0" w:line="267" w:lineRule="auto"/>
        <w:tabs>
          <w:tab w:leader="none" w:pos="32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Times New Roman" w:cs="Times New Roman" w:eastAsia="Times New Roman" w:hAnsi="Times New Roman"/>
          <w:sz w:val="15"/>
          <w:szCs w:val="15"/>
          <w:color w:val="auto"/>
        </w:rPr>
      </w:pPr>
    </w:p>
    <w:p>
      <w:pPr>
        <w:ind w:left="652" w:right="480" w:hanging="652"/>
        <w:spacing w:after="0" w:line="280" w:lineRule="auto"/>
        <w:tabs>
          <w:tab w:leader="none" w:pos="335"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spacing w:after="0" w:line="2" w:lineRule="exact"/>
        <w:rPr>
          <w:rFonts w:ascii="Times New Roman" w:cs="Times New Roman" w:eastAsia="Times New Roman" w:hAnsi="Times New Roman"/>
          <w:sz w:val="15"/>
          <w:szCs w:val="15"/>
          <w:color w:val="auto"/>
        </w:rPr>
      </w:pPr>
    </w:p>
    <w:p>
      <w:pPr>
        <w:ind w:left="652" w:right="340" w:hanging="652"/>
        <w:spacing w:after="0" w:line="274" w:lineRule="auto"/>
        <w:tabs>
          <w:tab w:leader="none" w:pos="327"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professional fees, severance and other payroll costs, and other costs including ongoing lease and utility expenses associated with the closure of the Willowbrook, Illinois facility.</w:t>
      </w:r>
    </w:p>
    <w:p>
      <w:pPr>
        <w:spacing w:after="0" w:line="1" w:lineRule="exact"/>
        <w:rPr>
          <w:rFonts w:ascii="Times New Roman" w:cs="Times New Roman" w:eastAsia="Times New Roman" w:hAnsi="Times New Roman"/>
          <w:sz w:val="15"/>
          <w:szCs w:val="15"/>
          <w:color w:val="auto"/>
        </w:rPr>
      </w:pPr>
    </w:p>
    <w:p>
      <w:pPr>
        <w:ind w:left="312" w:hanging="312"/>
        <w:spacing w:after="0"/>
        <w:tabs>
          <w:tab w:leader="none" w:pos="31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Represents an impairment charge on our equity method investment in Auralux.</w:t>
      </w:r>
    </w:p>
    <w:p>
      <w:pPr>
        <w:spacing w:after="0" w:line="55"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expenses incurred in connection with the repricing of our Term Loan in January 2021, including accelerated amortization of prior debt issuance and discount costs.</w:t>
      </w:r>
    </w:p>
    <w:p>
      <w:pPr>
        <w:spacing w:after="0" w:line="43" w:lineRule="exact"/>
        <w:rPr>
          <w:rFonts w:ascii="Times New Roman" w:cs="Times New Roman" w:eastAsia="Times New Roman" w:hAnsi="Times New Roman"/>
          <w:sz w:val="15"/>
          <w:szCs w:val="15"/>
          <w:color w:val="auto"/>
        </w:rPr>
      </w:pPr>
    </w:p>
    <w:p>
      <w:pPr>
        <w:ind w:left="332" w:hanging="332"/>
        <w:spacing w:after="0"/>
        <w:tabs>
          <w:tab w:leader="none" w:pos="33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43" w:lineRule="exact"/>
        <w:rPr>
          <w:rFonts w:ascii="Times New Roman" w:cs="Times New Roman" w:eastAsia="Times New Roman" w:hAnsi="Times New Roman"/>
          <w:sz w:val="15"/>
          <w:szCs w:val="15"/>
          <w:color w:val="auto"/>
        </w:rPr>
      </w:pPr>
    </w:p>
    <w:p>
      <w:pPr>
        <w:ind w:left="652" w:right="20" w:hanging="652"/>
        <w:spacing w:after="0" w:line="271" w:lineRule="auto"/>
        <w:tabs>
          <w:tab w:leader="none" w:pos="301"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9" w:lineRule="exact"/>
        <w:rPr>
          <w:rFonts w:ascii="Times New Roman" w:cs="Times New Roman" w:eastAsia="Times New Roman" w:hAnsi="Times New Roman"/>
          <w:sz w:val="15"/>
          <w:szCs w:val="15"/>
          <w:color w:val="auto"/>
        </w:rPr>
      </w:pPr>
    </w:p>
    <w:p>
      <w:pPr>
        <w:ind w:left="292" w:hanging="292"/>
        <w:spacing w:after="0"/>
        <w:tabs>
          <w:tab w:leader="none" w:pos="29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non-recurring costs associated with the COVID-19 pandemic, including incremental costs to implement workplace health and safety measures.</w:t>
      </w:r>
    </w:p>
    <w:p>
      <w:pPr>
        <w:spacing w:after="0" w:line="43" w:lineRule="exact"/>
        <w:rPr>
          <w:rFonts w:ascii="Times New Roman" w:cs="Times New Roman" w:eastAsia="Times New Roman" w:hAnsi="Times New Roman"/>
          <w:sz w:val="15"/>
          <w:szCs w:val="15"/>
          <w:color w:val="auto"/>
        </w:rPr>
      </w:pPr>
    </w:p>
    <w:p>
      <w:pPr>
        <w:ind w:left="652" w:right="100" w:hanging="652"/>
        <w:spacing w:after="0" w:line="298" w:lineRule="auto"/>
        <w:tabs>
          <w:tab w:leader="none" w:pos="335" w:val="left"/>
        </w:tabs>
        <w:numPr>
          <w:ilvl w:val="0"/>
          <w:numId w:val="5"/>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358" w:lineRule="exact"/>
        <w:rPr>
          <w:sz w:val="20"/>
          <w:szCs w:val="20"/>
          <w:color w:val="auto"/>
        </w:rPr>
      </w:pPr>
    </w:p>
    <w:p>
      <w:pPr>
        <w:jc w:val="center"/>
        <w:ind w:right="-31"/>
        <w:spacing w:after="0"/>
        <w:rPr>
          <w:sz w:val="20"/>
          <w:szCs w:val="20"/>
          <w:color w:val="auto"/>
        </w:rPr>
      </w:pPr>
      <w:r>
        <w:rPr>
          <w:rFonts w:ascii="Calibri" w:cs="Calibri" w:eastAsia="Calibri" w:hAnsi="Calibri"/>
          <w:sz w:val="18"/>
          <w:szCs w:val="18"/>
          <w:color w:val="auto"/>
        </w:rPr>
        <w:t>10</w:t>
      </w:r>
    </w:p>
    <w:p>
      <w:pPr>
        <w:sectPr>
          <w:pgSz w:w="11900" w:h="16838" w:orient="portrait"/>
          <w:cols w:equalWidth="0" w:num="1">
            <w:col w:w="11212"/>
          </w:cols>
          <w:pgMar w:left="328" w:top="122" w:right="359" w:bottom="1440" w:gutter="0" w:footer="0" w:header="0"/>
        </w:sectPr>
      </w:pPr>
    </w:p>
    <w:bookmarkStart w:id="13" w:name="page14"/>
    <w:bookmarkEnd w:id="13"/>
    <w:p>
      <w:pPr>
        <w:spacing w:after="0" w:line="19" w:lineRule="exact"/>
        <w:rPr>
          <w:sz w:val="20"/>
          <w:szCs w:val="20"/>
          <w:color w:val="auto"/>
        </w:rPr>
      </w:pPr>
    </w:p>
    <w:p>
      <w:pPr>
        <w:ind w:left="652" w:right="280" w:hanging="652"/>
        <w:spacing w:after="0" w:line="280" w:lineRule="auto"/>
        <w:tabs>
          <w:tab w:leader="none" w:pos="301" w:val="left"/>
        </w:tabs>
        <w:numPr>
          <w:ilvl w:val="0"/>
          <w:numId w:val="6"/>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The three and six months ended June 30, 2022 excludes $3.1 million and $9.4 million, respectively, of unrealized gains on interest rate derivatives not designated as hedging instruments.</w:t>
      </w:r>
    </w:p>
    <w:p>
      <w:pPr>
        <w:spacing w:after="0" w:line="2" w:lineRule="exact"/>
        <w:rPr>
          <w:rFonts w:ascii="Times New Roman" w:cs="Times New Roman" w:eastAsia="Times New Roman" w:hAnsi="Times New Roman"/>
          <w:sz w:val="15"/>
          <w:szCs w:val="15"/>
          <w:color w:val="231F20"/>
        </w:rPr>
      </w:pPr>
    </w:p>
    <w:p>
      <w:pPr>
        <w:ind w:left="372" w:hanging="372"/>
        <w:spacing w:after="0"/>
        <w:tabs>
          <w:tab w:leader="none" w:pos="372" w:val="left"/>
        </w:tabs>
        <w:numPr>
          <w:ilvl w:val="0"/>
          <w:numId w:val="6"/>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Includes depreciation of Co-60 held at gamma irradiation sites.</w:t>
      </w:r>
    </w:p>
    <w:p>
      <w:pPr>
        <w:spacing w:after="0" w:line="43" w:lineRule="exact"/>
        <w:rPr>
          <w:rFonts w:ascii="Times New Roman" w:cs="Times New Roman" w:eastAsia="Times New Roman" w:hAnsi="Times New Roman"/>
          <w:sz w:val="15"/>
          <w:szCs w:val="15"/>
          <w:color w:val="231F20"/>
        </w:rPr>
      </w:pPr>
    </w:p>
    <w:p>
      <w:pPr>
        <w:ind w:left="652" w:right="460" w:hanging="652"/>
        <w:spacing w:after="0" w:line="280" w:lineRule="auto"/>
        <w:tabs>
          <w:tab w:leader="none" w:pos="335" w:val="left"/>
        </w:tabs>
        <w:numPr>
          <w:ilvl w:val="0"/>
          <w:numId w:val="6"/>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difference between the income tax provision as determined under U.S. GAAP and the income tax benefit associated with pre-tax adjustments described in footnote (k).</w:t>
      </w:r>
    </w:p>
    <w:p>
      <w:pPr>
        <w:spacing w:after="0" w:line="2" w:lineRule="exact"/>
        <w:rPr>
          <w:rFonts w:ascii="Times New Roman" w:cs="Times New Roman" w:eastAsia="Times New Roman" w:hAnsi="Times New Roman"/>
          <w:sz w:val="15"/>
          <w:szCs w:val="15"/>
          <w:color w:val="231F20"/>
        </w:rPr>
      </w:pPr>
    </w:p>
    <w:p>
      <w:pPr>
        <w:ind w:left="652" w:hanging="652"/>
        <w:spacing w:after="0" w:line="271" w:lineRule="auto"/>
        <w:tabs>
          <w:tab w:leader="none" w:pos="373"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$20.9 million and $21.8 million of the adjustments for the three months ended June 30, 2022 and 2021, respectively, and $40.7 million and $42.5 million of the adjustments for the six months ended June 30, 2022 and 2021, respectively, are included in cost of revenues, primarily consisting of amortization of intangibles, depreciation, and accretion of asset retirement obligations.</w:t>
      </w:r>
    </w:p>
    <w:p>
      <w:pPr>
        <w:spacing w:after="0" w:line="378" w:lineRule="exact"/>
        <w:rPr>
          <w:sz w:val="20"/>
          <w:szCs w:val="20"/>
          <w:color w:val="auto"/>
        </w:rPr>
      </w:pPr>
    </w:p>
    <w:p>
      <w:pPr>
        <w:jc w:val="center"/>
        <w:ind w:right="-91"/>
        <w:spacing w:after="0"/>
        <w:rPr>
          <w:sz w:val="20"/>
          <w:szCs w:val="20"/>
          <w:color w:val="auto"/>
        </w:rPr>
      </w:pPr>
      <w:r>
        <w:rPr>
          <w:rFonts w:ascii="Calibri" w:cs="Calibri" w:eastAsia="Calibri" w:hAnsi="Calibri"/>
          <w:sz w:val="18"/>
          <w:szCs w:val="18"/>
          <w:color w:val="auto"/>
        </w:rPr>
        <w:t>11</w:t>
      </w:r>
    </w:p>
    <w:p>
      <w:pPr>
        <w:sectPr>
          <w:pgSz w:w="11900" w:h="16838" w:orient="portrait"/>
          <w:cols w:equalWidth="0" w:num="1">
            <w:col w:w="11152"/>
          </w:cols>
          <w:pgMar w:left="328" w:top="1440" w:right="419" w:bottom="1440" w:gutter="0" w:footer="0" w:header="0"/>
        </w:sectPr>
      </w:pPr>
    </w:p>
    <w:bookmarkStart w:id="14" w:name="page15"/>
    <w:bookmarkEnd w:id="14"/>
    <w:p>
      <w:pPr>
        <w:jc w:val="center"/>
        <w:ind w:right="-91"/>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($’s in thousands)</w:t>
      </w:r>
    </w:p>
    <w:p>
      <w:pPr>
        <w:spacing w:after="0" w:line="7"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112" w:type="dxa"/>
        <w:tblCellMar>
          <w:top w:w="0" w:type="dxa"/>
          <w:left w:w="0" w:type="dxa"/>
          <w:bottom w:w="0" w:type="dxa"/>
          <w:right w:w="0" w:type="dxa"/>
        </w:tblCellMar>
      </w:tblPr>
      <w:tr>
        <w:trPr>
          <w:trHeight w:val="230"/>
        </w:trPr>
        <w:tc>
          <w:tcPr>
            <w:tcW w:w="6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80" w:type="dxa"/>
            <w:vAlign w:val="bottom"/>
          </w:tcPr>
          <w:p>
            <w:pPr>
              <w:spacing w:after="0"/>
              <w:rPr>
                <w:sz w:val="19"/>
                <w:szCs w:val="19"/>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1,745,548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1,743,534</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57,140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40,877</w:t>
            </w:r>
          </w:p>
        </w:tc>
      </w:tr>
      <w:tr>
        <w:trPr>
          <w:trHeight w:val="22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1,804,303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1,785,571</w:t>
            </w:r>
          </w:p>
        </w:tc>
      </w:tr>
      <w:tr>
        <w:trPr>
          <w:trHeight w:val="196"/>
        </w:trPr>
        <w:tc>
          <w:tcPr>
            <w:tcW w:w="6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 unamortized debt issuance costs and debt discounts</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18,002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20,016</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(139,564)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(106,924)</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Debt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1,682,741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1,698,663</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3"/>
        </w:trPr>
        <w:tc>
          <w:tcPr>
            <w:tcW w:w="6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29"/>
        </w:trPr>
        <w:tc>
          <w:tcPr>
            <w:tcW w:w="6860" w:type="dxa"/>
            <w:vAlign w:val="bottom"/>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492,833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481,229</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2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3.4x</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3.5x</w:t>
            </w:r>
          </w:p>
        </w:tc>
      </w:tr>
    </w:tbl>
    <w:p>
      <w:pPr>
        <w:spacing w:after="0" w:line="77" w:lineRule="exact"/>
        <w:rPr>
          <w:sz w:val="20"/>
          <w:szCs w:val="20"/>
          <w:color w:val="auto"/>
        </w:rPr>
      </w:pPr>
    </w:p>
    <w:p>
      <w:pPr>
        <w:ind w:left="332" w:right="20" w:hanging="332"/>
        <w:spacing w:after="0" w:line="280" w:lineRule="auto"/>
        <w:tabs>
          <w:tab w:leader="none" w:pos="321" w:val="left"/>
        </w:tabs>
        <w:numPr>
          <w:ilvl w:val="0"/>
          <w:numId w:val="7"/>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 xml:space="preserve">Represents Adjusted EBITDA for the twelve months ended June 30, 2022 and </w:t>
      </w:r>
      <w:r>
        <w:rPr>
          <w:rFonts w:ascii="Times New Roman" w:cs="Times New Roman" w:eastAsia="Times New Roman" w:hAnsi="Times New Roman"/>
          <w:sz w:val="15"/>
          <w:szCs w:val="15"/>
          <w:color w:val="000000"/>
        </w:rPr>
        <w:t>December 31, 2021</w:t>
      </w:r>
      <w:r>
        <w:rPr>
          <w:rFonts w:ascii="Times New Roman" w:cs="Times New Roman" w:eastAsia="Times New Roman" w:hAnsi="Times New Roman"/>
          <w:sz w:val="15"/>
          <w:szCs w:val="15"/>
          <w:color w:val="231F20"/>
        </w:rPr>
        <w:t>, respectively. Refer to the reconciliations of Adjusted EBITDA to net income for additional detail.</w:t>
      </w:r>
    </w:p>
    <w:p>
      <w:pPr>
        <w:spacing w:after="0" w:line="384" w:lineRule="exact"/>
        <w:rPr>
          <w:sz w:val="20"/>
          <w:szCs w:val="20"/>
          <w:color w:val="auto"/>
        </w:rPr>
      </w:pPr>
    </w:p>
    <w:p>
      <w:pPr>
        <w:jc w:val="center"/>
        <w:ind w:right="-111"/>
        <w:spacing w:after="0"/>
        <w:rPr>
          <w:sz w:val="20"/>
          <w:szCs w:val="20"/>
          <w:color w:val="auto"/>
        </w:rPr>
      </w:pPr>
      <w:r>
        <w:rPr>
          <w:rFonts w:ascii="Calibri" w:cs="Calibri" w:eastAsia="Calibri" w:hAnsi="Calibri"/>
          <w:sz w:val="18"/>
          <w:szCs w:val="18"/>
          <w:color w:val="auto"/>
        </w:rPr>
        <w:t>12</w:t>
      </w:r>
    </w:p>
    <w:p>
      <w:pPr>
        <w:sectPr>
          <w:pgSz w:w="11900" w:h="16838" w:orient="portrait"/>
          <w:cols w:equalWidth="0" w:num="1">
            <w:col w:w="11132"/>
          </w:cols>
          <w:pgMar w:left="328" w:top="122" w:right="439" w:bottom="1440" w:gutter="0" w:footer="0" w:header="0"/>
        </w:sectPr>
      </w:pPr>
    </w:p>
    <w:bookmarkStart w:id="15" w:name="page16"/>
    <w:bookmarkEnd w:id="15"/>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Twelve Months Ended</w:t>
            </w:r>
          </w:p>
        </w:tc>
        <w:tc>
          <w:tcPr>
            <w:tcW w:w="140" w:type="dxa"/>
            <w:vAlign w:val="bottom"/>
          </w:tcPr>
          <w:p>
            <w:pPr>
              <w:spacing w:after="0"/>
              <w:rPr>
                <w:sz w:val="15"/>
                <w:szCs w:val="15"/>
                <w:color w:val="auto"/>
              </w:rPr>
            </w:pPr>
          </w:p>
        </w:tc>
        <w:tc>
          <w:tcPr>
            <w:tcW w:w="1660" w:type="dxa"/>
            <w:vAlign w:val="bottom"/>
          </w:tcPr>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Twelve Months Ended</w:t>
            </w:r>
          </w:p>
        </w:tc>
      </w:tr>
      <w:tr>
        <w:trPr>
          <w:trHeight w:val="210"/>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40" w:type="dxa"/>
            <w:vAlign w:val="bottom"/>
          </w:tcPr>
          <w:p>
            <w:pPr>
              <w:spacing w:after="0"/>
              <w:rPr>
                <w:sz w:val="18"/>
                <w:szCs w:val="18"/>
                <w:color w:val="auto"/>
              </w:rPr>
            </w:pPr>
          </w:p>
        </w:tc>
        <w:tc>
          <w:tcPr>
            <w:tcW w:w="1660" w:type="dxa"/>
            <w:vAlign w:val="bottom"/>
          </w:tcPr>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14"/>
        </w:trPr>
        <w:tc>
          <w:tcPr>
            <w:tcW w:w="7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117,121</w:t>
            </w:r>
          </w:p>
        </w:tc>
      </w:tr>
      <w:tr>
        <w:trPr>
          <w:trHeight w:val="214"/>
        </w:trPr>
        <w:tc>
          <w:tcPr>
            <w:tcW w:w="7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84,059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86,742</w:t>
            </w:r>
          </w:p>
        </w:tc>
      </w:tr>
      <w:tr>
        <w:trPr>
          <w:trHeight w:val="218"/>
        </w:trPr>
        <w:tc>
          <w:tcPr>
            <w:tcW w:w="7300" w:type="dxa"/>
            <w:vAlign w:val="bottom"/>
            <w:shd w:val="clear" w:color="auto" w:fill="CCEEFF"/>
          </w:tcPr>
          <w:p>
            <w:pPr>
              <w:ind w:left="22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13,870</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Gain on foreign currency and derivatives not designated as hedging instruments</w:t>
            </w:r>
            <w:r>
              <w:rPr>
                <w:rFonts w:ascii="Times New Roman" w:cs="Times New Roman" w:eastAsia="Times New Roman" w:hAnsi="Times New Roman"/>
                <w:sz w:val="21"/>
                <w:szCs w:val="21"/>
                <w:color w:val="auto"/>
                <w:vertAlign w:val="superscript"/>
              </w:rPr>
              <w:t>(b)</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Acquisition and divestiture related charges, net</w:t>
            </w:r>
            <w:r>
              <w:rPr>
                <w:rFonts w:ascii="Times New Roman" w:cs="Times New Roman" w:eastAsia="Times New Roman" w:hAnsi="Times New Roman"/>
                <w:sz w:val="21"/>
                <w:szCs w:val="21"/>
                <w:color w:val="auto"/>
                <w:vertAlign w:val="superscript"/>
              </w:rPr>
              <w:t>(c)</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(6,018)</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Business optimization project expenses</w:t>
            </w:r>
            <w:r>
              <w:rPr>
                <w:rFonts w:ascii="Times New Roman" w:cs="Times New Roman" w:eastAsia="Times New Roman" w:hAnsi="Times New Roman"/>
                <w:sz w:val="21"/>
                <w:szCs w:val="21"/>
                <w:color w:val="auto"/>
                <w:vertAlign w:val="superscript"/>
              </w:rPr>
              <w:t>(d)</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Plant closure expenses</w:t>
            </w:r>
            <w:r>
              <w:rPr>
                <w:rFonts w:ascii="Times New Roman" w:cs="Times New Roman" w:eastAsia="Times New Roman" w:hAnsi="Times New Roman"/>
                <w:sz w:val="21"/>
                <w:szCs w:val="21"/>
                <w:color w:val="auto"/>
                <w:vertAlign w:val="superscript"/>
              </w:rPr>
              <w:t>(e)</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Impairment of investment in unconsolidated affiliate</w:t>
            </w:r>
            <w:r>
              <w:rPr>
                <w:rFonts w:ascii="Times New Roman" w:cs="Times New Roman" w:eastAsia="Times New Roman" w:hAnsi="Times New Roman"/>
                <w:sz w:val="21"/>
                <w:szCs w:val="21"/>
                <w:color w:val="auto"/>
                <w:vertAlign w:val="superscript"/>
              </w:rPr>
              <w:t>(f)</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Loss on extinguishment of debt</w:t>
            </w:r>
            <w:r>
              <w:rPr>
                <w:rFonts w:ascii="Times New Roman" w:cs="Times New Roman" w:eastAsia="Times New Roman" w:hAnsi="Times New Roman"/>
                <w:sz w:val="21"/>
                <w:szCs w:val="21"/>
                <w:color w:val="auto"/>
                <w:vertAlign w:val="superscript"/>
              </w:rPr>
              <w:t>(g)</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20,681</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(h)</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45,656</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(i)</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COVID-19 expenses</w:t>
            </w:r>
            <w:r>
              <w:rPr>
                <w:rFonts w:ascii="Times New Roman" w:cs="Times New Roman" w:eastAsia="Times New Roman" w:hAnsi="Times New Roman"/>
                <w:sz w:val="21"/>
                <w:szCs w:val="21"/>
                <w:color w:val="auto"/>
                <w:vertAlign w:val="superscript"/>
              </w:rPr>
              <w:t>(j)</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benefit associated with pre-tax adjustments</w:t>
            </w:r>
            <w:r>
              <w:rPr>
                <w:rFonts w:ascii="Times New Roman" w:cs="Times New Roman" w:eastAsia="Times New Roman" w:hAnsi="Times New Roman"/>
                <w:sz w:val="21"/>
                <w:szCs w:val="21"/>
                <w:color w:val="auto"/>
                <w:vertAlign w:val="superscript"/>
              </w:rPr>
              <w:t>(k)</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(33,088)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(38,500)</w:t>
            </w:r>
          </w:p>
        </w:tc>
      </w:tr>
      <w:tr>
        <w:trPr>
          <w:trHeight w:val="208"/>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258,683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245,782</w:t>
            </w:r>
          </w:p>
        </w:tc>
      </w:tr>
      <w:tr>
        <w:trPr>
          <w:trHeight w:val="211"/>
        </w:trPr>
        <w:tc>
          <w:tcPr>
            <w:tcW w:w="7300" w:type="dxa"/>
            <w:vAlign w:val="bottom"/>
            <w:shd w:val="clear" w:color="auto" w:fill="CCEEFF"/>
          </w:tcPr>
          <w:p>
            <w:pPr>
              <w:ind w:left="220"/>
              <w:spacing w:after="0" w:line="212" w:lineRule="exact"/>
              <w:rPr>
                <w:sz w:val="20"/>
                <w:szCs w:val="20"/>
                <w:color w:val="auto"/>
              </w:rPr>
            </w:pPr>
            <w:r>
              <w:rPr>
                <w:rFonts w:ascii="Times New Roman" w:cs="Times New Roman" w:eastAsia="Times New Roman" w:hAnsi="Times New Roman"/>
                <w:sz w:val="16"/>
                <w:szCs w:val="16"/>
                <w:color w:val="auto"/>
              </w:rPr>
              <w:t>Interest expense, net</w:t>
            </w:r>
            <w:r>
              <w:rPr>
                <w:rFonts w:ascii="Times New Roman" w:cs="Times New Roman" w:eastAsia="Times New Roman" w:hAnsi="Times New Roman"/>
                <w:sz w:val="21"/>
                <w:szCs w:val="21"/>
                <w:color w:val="auto"/>
                <w:vertAlign w:val="superscript"/>
              </w:rPr>
              <w:t>(l)</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67,641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74,192</w:t>
            </w:r>
          </w:p>
        </w:tc>
      </w:tr>
      <w:tr>
        <w:trPr>
          <w:trHeight w:val="216"/>
        </w:trPr>
        <w:tc>
          <w:tcPr>
            <w:tcW w:w="730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(m)</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64,709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64,160</w:t>
            </w:r>
          </w:p>
        </w:tc>
      </w:tr>
      <w:tr>
        <w:trPr>
          <w:trHeight w:val="216"/>
        </w:trPr>
        <w:tc>
          <w:tcPr>
            <w:tcW w:w="730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(n)</w:t>
            </w: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101,800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97,095</w:t>
            </w:r>
          </w:p>
        </w:tc>
      </w:tr>
      <w:tr>
        <w:trPr>
          <w:trHeight w:val="209"/>
        </w:trPr>
        <w:tc>
          <w:tcPr>
            <w:tcW w:w="7300" w:type="dxa"/>
            <w:vAlign w:val="bottom"/>
          </w:tcPr>
          <w:p>
            <w:pPr>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(o)</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492,833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481,229</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4"/>
        </w:trPr>
        <w:tc>
          <w:tcPr>
            <w:tcW w:w="7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970,806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931,478</w:t>
            </w:r>
          </w:p>
        </w:tc>
      </w:tr>
      <w:tr>
        <w:trPr>
          <w:trHeight w:val="218"/>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51.7%</w:t>
            </w:r>
          </w:p>
        </w:tc>
      </w:tr>
    </w:tbl>
    <w:p>
      <w:pPr>
        <w:spacing w:after="0" w:line="131"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non-cash share-based compensation expense.</w:t>
      </w:r>
    </w:p>
    <w:p>
      <w:pPr>
        <w:spacing w:after="0" w:line="43" w:lineRule="exact"/>
        <w:rPr>
          <w:rFonts w:ascii="Times New Roman" w:cs="Times New Roman" w:eastAsia="Times New Roman" w:hAnsi="Times New Roman"/>
          <w:sz w:val="15"/>
          <w:szCs w:val="15"/>
          <w:color w:val="231F20"/>
        </w:rPr>
      </w:pPr>
    </w:p>
    <w:p>
      <w:pPr>
        <w:ind w:left="380" w:right="180" w:hanging="330"/>
        <w:spacing w:after="0" w:line="281" w:lineRule="auto"/>
        <w:tabs>
          <w:tab w:leader="none" w:pos="369"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effects of (i) fluctuations in foreign currency exchange rates, (ii) non-cash mark-to-fair value of embedded derivatives relating to certain customer and supply contracts at Nordion, and (iii) unrealized gains on interest rate caps not designated as hedging instruments.</w:t>
      </w:r>
    </w:p>
    <w:p>
      <w:pPr>
        <w:spacing w:after="0" w:line="1" w:lineRule="exact"/>
        <w:rPr>
          <w:rFonts w:ascii="Times New Roman" w:cs="Times New Roman" w:eastAsia="Times New Roman" w:hAnsi="Times New Roman"/>
          <w:sz w:val="15"/>
          <w:szCs w:val="15"/>
          <w:color w:val="231F20"/>
        </w:rPr>
      </w:pPr>
    </w:p>
    <w:p>
      <w:pPr>
        <w:ind w:left="380" w:hanging="330"/>
        <w:spacing w:after="0" w:line="262" w:lineRule="auto"/>
        <w:tabs>
          <w:tab w:leader="none" w:pos="374"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(i) certain direct and incremental costs related to the acquisitions of RCA, the noncontrolling interests in our China subsidiaries, BioScience Labs in 2021, the first quarter 2021 gain on the mandatorily redeemable noncontrolling interest in Nelson Labs Fairfield,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(iv) a $3.4 million gain recognized in the third quarter of 2021 related to the settlement of an insurance claim for Nordion, and (v) a $5.1 million non-cash gain in the fourth quarter of 2021 arising from the derecognition of an ARO liability no longer attributable to Nordion pursuant to the terms of the sale of the Medical Isotopes business in 2018.</w:t>
      </w:r>
    </w:p>
    <w:p>
      <w:pPr>
        <w:spacing w:after="0" w:line="4" w:lineRule="exact"/>
        <w:rPr>
          <w:rFonts w:ascii="Times New Roman" w:cs="Times New Roman" w:eastAsia="Times New Roman" w:hAnsi="Times New Roman"/>
          <w:sz w:val="15"/>
          <w:szCs w:val="15"/>
          <w:color w:val="auto"/>
        </w:rPr>
      </w:pPr>
    </w:p>
    <w:p>
      <w:pPr>
        <w:ind w:left="380" w:right="340" w:hanging="330"/>
        <w:spacing w:after="0" w:line="281" w:lineRule="auto"/>
        <w:tabs>
          <w:tab w:leader="none" w:pos="36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professional fees, contract termination and exit costs, severance and other payroll costs, and other costs associated with business optimization and cost savings projects relating to the integration of acquisitions, operating structure realignment and other process enhancement projects.</w:t>
      </w:r>
    </w:p>
    <w:p>
      <w:pPr>
        <w:spacing w:after="0" w:line="1" w:lineRule="exact"/>
        <w:rPr>
          <w:rFonts w:ascii="Times New Roman" w:cs="Times New Roman" w:eastAsia="Times New Roman" w:hAnsi="Times New Roman"/>
          <w:sz w:val="15"/>
          <w:szCs w:val="15"/>
          <w:color w:val="auto"/>
        </w:rPr>
      </w:pPr>
    </w:p>
    <w:p>
      <w:pPr>
        <w:ind w:left="380" w:right="200" w:hanging="330"/>
        <w:spacing w:after="0" w:line="260" w:lineRule="auto"/>
        <w:tabs>
          <w:tab w:leader="none" w:pos="374"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professional fees, severance and other payroll costs, and other costs including ongoing lease and utility expenses associated with the closure of the Willowbrook, Illinois facility.</w:t>
      </w:r>
    </w:p>
    <w:p>
      <w:pPr>
        <w:ind w:left="360" w:hanging="310"/>
        <w:spacing w:after="0"/>
        <w:tabs>
          <w:tab w:leader="none" w:pos="3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impairment charge on our equity method investment in Auralux.</w:t>
      </w:r>
    </w:p>
    <w:p>
      <w:pPr>
        <w:spacing w:after="0" w:line="34" w:lineRule="exact"/>
        <w:rPr>
          <w:rFonts w:ascii="Times New Roman" w:cs="Times New Roman" w:eastAsia="Times New Roman" w:hAnsi="Times New Roman"/>
          <w:sz w:val="15"/>
          <w:szCs w:val="15"/>
          <w:color w:val="auto"/>
        </w:rPr>
      </w:pPr>
    </w:p>
    <w:p>
      <w:pPr>
        <w:ind w:left="380" w:right="60" w:hanging="330"/>
        <w:spacing w:after="0" w:line="281" w:lineRule="auto"/>
        <w:tabs>
          <w:tab w:leader="none" w:pos="369"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expenses incurred in connection with the January 2021 Term Loan repricing and full redemption of the First Lien Notes in August 2021, including accelerated amortization of prior debt issuance and discount costs, premiums paid in connection with early extinguishment and debt issuance and discount costs incurred for the new debt.</w:t>
      </w:r>
    </w:p>
    <w:p>
      <w:pPr>
        <w:spacing w:after="0" w:line="1" w:lineRule="exact"/>
        <w:rPr>
          <w:rFonts w:ascii="Times New Roman" w:cs="Times New Roman" w:eastAsia="Times New Roman" w:hAnsi="Times New Roman"/>
          <w:sz w:val="15"/>
          <w:szCs w:val="15"/>
          <w:color w:val="231F20"/>
        </w:rPr>
      </w:pPr>
    </w:p>
    <w:p>
      <w:pPr>
        <w:ind w:left="360" w:hanging="310"/>
        <w:spacing w:after="0"/>
        <w:tabs>
          <w:tab w:leader="none" w:pos="360"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litigation and other professional fees associated with our EO sterilization facilities.</w:t>
      </w:r>
    </w:p>
    <w:p>
      <w:pPr>
        <w:spacing w:after="0" w:line="43" w:lineRule="exact"/>
        <w:rPr>
          <w:rFonts w:ascii="Times New Roman" w:cs="Times New Roman" w:eastAsia="Times New Roman" w:hAnsi="Times New Roman"/>
          <w:sz w:val="15"/>
          <w:szCs w:val="15"/>
          <w:color w:val="231F20"/>
        </w:rPr>
      </w:pPr>
    </w:p>
    <w:p>
      <w:pPr>
        <w:ind w:left="380" w:right="260" w:hanging="330"/>
        <w:spacing w:after="0" w:line="275" w:lineRule="auto"/>
        <w:tabs>
          <w:tab w:leader="none" w:pos="376"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5"/>
          <w:szCs w:val="15"/>
          <w:color w:val="231F20"/>
        </w:rPr>
      </w:pPr>
    </w:p>
    <w:p>
      <w:pPr>
        <w:ind w:left="360" w:hanging="310"/>
        <w:spacing w:after="0"/>
        <w:tabs>
          <w:tab w:leader="none" w:pos="360"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non-recurring costs associated with the COVID-19 pandemic, including incremental costs to implement workplace health and safety measures.</w:t>
      </w:r>
    </w:p>
    <w:p>
      <w:pPr>
        <w:spacing w:after="0" w:line="43" w:lineRule="exact"/>
        <w:rPr>
          <w:rFonts w:ascii="Times New Roman" w:cs="Times New Roman" w:eastAsia="Times New Roman" w:hAnsi="Times New Roman"/>
          <w:sz w:val="15"/>
          <w:szCs w:val="15"/>
          <w:color w:val="231F20"/>
        </w:rPr>
      </w:pPr>
    </w:p>
    <w:p>
      <w:pPr>
        <w:ind w:left="380" w:right="240" w:hanging="330"/>
        <w:spacing w:after="0" w:line="281" w:lineRule="auto"/>
        <w:tabs>
          <w:tab w:leader="none" w:pos="369"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5"/>
          <w:szCs w:val="15"/>
          <w:color w:val="231F20"/>
        </w:rPr>
      </w:pPr>
    </w:p>
    <w:p>
      <w:pPr>
        <w:ind w:left="360" w:hanging="310"/>
        <w:spacing w:after="0"/>
        <w:tabs>
          <w:tab w:leader="none" w:pos="360"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The twelve months ended June 30, 2022 excludes $9.4 million of unrealized gains on interest rate derivatives not designated as hedging instruments.</w:t>
      </w:r>
    </w:p>
    <w:p>
      <w:pPr>
        <w:spacing w:after="0" w:line="43" w:lineRule="exact"/>
        <w:rPr>
          <w:rFonts w:ascii="Times New Roman" w:cs="Times New Roman" w:eastAsia="Times New Roman" w:hAnsi="Times New Roman"/>
          <w:sz w:val="15"/>
          <w:szCs w:val="15"/>
          <w:color w:val="231F20"/>
        </w:rPr>
      </w:pPr>
    </w:p>
    <w:p>
      <w:pPr>
        <w:ind w:left="360" w:hanging="310"/>
        <w:spacing w:after="0"/>
        <w:tabs>
          <w:tab w:leader="none" w:pos="360"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auto"/>
        </w:rPr>
        <w:t>Includes depreciation of Co-60 held at gamma irradiation sites.</w:t>
      </w:r>
    </w:p>
    <w:p>
      <w:pPr>
        <w:spacing w:after="0" w:line="43" w:lineRule="exact"/>
        <w:rPr>
          <w:rFonts w:ascii="Times New Roman" w:cs="Times New Roman" w:eastAsia="Times New Roman" w:hAnsi="Times New Roman"/>
          <w:sz w:val="15"/>
          <w:szCs w:val="15"/>
          <w:color w:val="231F20"/>
        </w:rPr>
      </w:pPr>
    </w:p>
    <w:p>
      <w:pPr>
        <w:ind w:left="380" w:right="400" w:hanging="330"/>
        <w:spacing w:after="0" w:line="281" w:lineRule="auto"/>
        <w:tabs>
          <w:tab w:leader="none" w:pos="369"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Represents the difference between the income tax provision as determined under U.S. GAAP and the income tax benefit associated with pre-tax adjustments described in footnote (k).</w:t>
      </w:r>
    </w:p>
    <w:p>
      <w:pPr>
        <w:spacing w:after="0" w:line="1" w:lineRule="exact"/>
        <w:rPr>
          <w:rFonts w:ascii="Times New Roman" w:cs="Times New Roman" w:eastAsia="Times New Roman" w:hAnsi="Times New Roman"/>
          <w:sz w:val="15"/>
          <w:szCs w:val="15"/>
          <w:color w:val="231F20"/>
        </w:rPr>
      </w:pPr>
    </w:p>
    <w:p>
      <w:pPr>
        <w:ind w:left="380" w:right="20" w:hanging="330"/>
        <w:spacing w:after="0" w:line="298" w:lineRule="auto"/>
        <w:tabs>
          <w:tab w:leader="none" w:pos="369" w:val="left"/>
        </w:tabs>
        <w:numPr>
          <w:ilvl w:val="0"/>
          <w:numId w:val="8"/>
        </w:numPr>
        <w:rPr>
          <w:rFonts w:ascii="Times New Roman" w:cs="Times New Roman" w:eastAsia="Times New Roman" w:hAnsi="Times New Roman"/>
          <w:sz w:val="15"/>
          <w:szCs w:val="15"/>
          <w:color w:val="231F20"/>
        </w:rPr>
      </w:pPr>
      <w:r>
        <w:rPr>
          <w:rFonts w:ascii="Times New Roman" w:cs="Times New Roman" w:eastAsia="Times New Roman" w:hAnsi="Times New Roman"/>
          <w:sz w:val="15"/>
          <w:szCs w:val="15"/>
          <w:color w:val="231F20"/>
        </w:rPr>
        <w:t>$83.5 million and $85.3 million of the adjustments for the twelve months ended June 30, 2022 and December 31, 2021, respectively, are included in cost of revenues, primarily consisting of amortization of intangible assets, depreciation, and accretion of asset retirement obligations.</w:t>
      </w:r>
    </w:p>
    <w:p>
      <w:pPr>
        <w:spacing w:after="0" w:line="358" w:lineRule="exact"/>
        <w:rPr>
          <w:sz w:val="20"/>
          <w:szCs w:val="20"/>
          <w:color w:val="auto"/>
        </w:rPr>
      </w:pPr>
    </w:p>
    <w:p>
      <w:pPr>
        <w:jc w:val="center"/>
        <w:ind w:right="100"/>
        <w:spacing w:after="0"/>
        <w:rPr>
          <w:sz w:val="20"/>
          <w:szCs w:val="20"/>
          <w:color w:val="auto"/>
        </w:rPr>
      </w:pPr>
      <w:r>
        <w:rPr>
          <w:rFonts w:ascii="Calibri" w:cs="Calibri" w:eastAsia="Calibri" w:hAnsi="Calibri"/>
          <w:sz w:val="18"/>
          <w:szCs w:val="18"/>
          <w:color w:val="auto"/>
        </w:rPr>
        <w:t>13</w:t>
      </w:r>
    </w:p>
    <w:sectPr>
      <w:pgSz w:w="11900" w:h="16838" w:orient="portrait"/>
      <w:cols w:equalWidth="0" w:num="1">
        <w:col w:w="11120"/>
      </w:cols>
      <w:pgMar w:left="44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2"/>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2022-08-04T06:14:43Z</dcterms:created>
  <dcterms:modified xsi:type="dcterms:W3CDTF">2022-08-04T06:14:43Z</dcterms:modified>
</cp:coreProperties>
</file>