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77"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WARBURG PINCUS &amp; 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450 LEXINGTON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Sotera Health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77"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77"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1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30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14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14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8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w:t>
            </w:r>
          </w:p>
        </w:tc>
        <w:tc>
          <w:tcPr>
            <w:tcW w:w="7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5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1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12/03/2025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S</w:t>
            </w: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9,720,000</w:t>
            </w:r>
            <w:r>
              <w:rPr>
                <w:rFonts w:ascii="Times New Roman" w:cs="Times New Roman" w:eastAsia="Times New Roman" w:hAnsi="Times New Roman"/>
                <w:sz w:val="22"/>
                <w:szCs w:val="22"/>
                <w:color w:val="008000"/>
                <w:vertAlign w:val="superscript"/>
              </w:rPr>
              <w:t>(1)</w:t>
            </w:r>
            <w:r>
              <w:rPr>
                <w:rFonts w:ascii="Times New Roman" w:cs="Times New Roman" w:eastAsia="Times New Roman" w:hAnsi="Times New Roman"/>
                <w:sz w:val="17"/>
                <w:szCs w:val="17"/>
                <w:color w:val="0000FF"/>
              </w:rPr>
              <w:t xml:space="preserve">    D</w:t>
            </w:r>
          </w:p>
        </w:tc>
        <w:tc>
          <w:tcPr>
            <w:tcW w:w="860" w:type="dxa"/>
            <w:vAlign w:val="bottom"/>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16.33</w:t>
            </w:r>
          </w:p>
        </w:tc>
        <w:tc>
          <w:tcPr>
            <w:tcW w:w="144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0000FF"/>
                <w:w w:val="96"/>
              </w:rPr>
              <w:t>34,102,952</w:t>
            </w:r>
            <w:r>
              <w:rPr>
                <w:rFonts w:ascii="Times New Roman" w:cs="Times New Roman" w:eastAsia="Times New Roman" w:hAnsi="Times New Roman"/>
                <w:sz w:val="22"/>
                <w:szCs w:val="22"/>
                <w:color w:val="008000"/>
                <w:w w:val="96"/>
                <w:vertAlign w:val="superscript"/>
              </w:rPr>
              <w:t>(2)</w:t>
            </w:r>
          </w:p>
        </w:tc>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(3)</w:t>
            </w:r>
          </w:p>
        </w:tc>
      </w:tr>
      <w:tr>
        <w:trPr>
          <w:trHeight w:val="260"/>
        </w:trPr>
        <w:tc>
          <w:tcPr>
            <w:tcW w:w="20" w:type="dxa"/>
            <w:vAlign w:val="bottom"/>
            <w:tcBorders>
              <w:bottom w:val="single" w:sz="8" w:color="2C2C2C"/>
            </w:tcBorders>
          </w:tcPr>
          <w:p>
            <w:pPr>
              <w:spacing w:after="0"/>
              <w:rPr>
                <w:sz w:val="22"/>
                <w:szCs w:val="22"/>
                <w:color w:val="auto"/>
              </w:rPr>
            </w:pPr>
          </w:p>
        </w:tc>
        <w:tc>
          <w:tcPr>
            <w:tcW w:w="26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per share ("Common Stock")</w:t>
            </w:r>
          </w:p>
        </w:tc>
        <w:tc>
          <w:tcPr>
            <w:tcW w:w="10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1"/>
                <w:szCs w:val="11"/>
                <w:color w:val="008000"/>
              </w:rPr>
              <w:t>(4)(5)(6)</w:t>
            </w:r>
          </w:p>
        </w:tc>
        <w:tc>
          <w:tcPr>
            <w:tcW w:w="68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900" w:type="dxa"/>
            <w:vAlign w:val="bottom"/>
            <w:gridSpan w:val="12"/>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WARBURG PINCUS &amp; CO.</w:t>
              </w:r>
            </w:hyperlink>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Warburg Pincus Private Equity XI-C,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-5183505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77"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Warburg Pincus (Cayman) XI, L.P.</w:t>
        </w:r>
      </w:hyperlink>
    </w:p>
    <w:p>
      <w:pPr>
        <w:sectPr>
          <w:pgSz w:w="11900" w:h="16877" w:orient="portrait"/>
          <w:cols w:equalWidth="0" w:num="1">
            <w:col w:w="11080"/>
          </w:cols>
          <w:pgMar w:left="460" w:top="219" w:right="359" w:bottom="0" w:gutter="0" w:footer="0" w:header="0"/>
          <w:type w:val="continuous"/>
        </w:sectPr>
      </w:pPr>
    </w:p>
    <w:bookmarkStart w:id="1" w:name="page2"/>
    <w:bookmarkEnd w:id="1"/>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394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10394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Warburg Pincus XI-C,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Warburg Pincus Partners II (Cayman),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Warburg Pincus (Bermuda) Private Equity GP</w:t>
        </w:r>
      </w:hyperlink>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Ltd.</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WARBURG PINCUS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Warburg Pincus Partners GP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ectPr>
          <w:pgSz w:w="11900" w:h="16867" w:orient="portrait"/>
          <w:cols w:equalWidth="0" w:num="1">
            <w:col w:w="9979"/>
          </w:cols>
          <w:pgMar w:left="480" w:top="420" w:right="1440" w:bottom="0" w:gutter="0" w:footer="0" w:header="0"/>
        </w:sectPr>
      </w:pPr>
    </w:p>
    <w:bookmarkStart w:id="2" w:name="page3"/>
    <w:bookmarkEnd w:id="2"/>
    <w:p>
      <w:pPr>
        <w:ind w:right="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3, 2025, certain of the Warburg Pincus Entities (as defined below) sold a total of 9,720,000 shares of Common Stock of Sotera Health Company (the "Issuer") pursuant to Rule 144 under the Securities Act of 1933, as amended (the "Sale").</w:t>
      </w:r>
    </w:p>
    <w:p>
      <w:pPr>
        <w:spacing w:after="0" w:line="7" w:lineRule="exact"/>
        <w:rPr>
          <w:rFonts w:ascii="Times New Roman" w:cs="Times New Roman" w:eastAsia="Times New Roman" w:hAnsi="Times New Roman"/>
          <w:sz w:val="13"/>
          <w:szCs w:val="13"/>
          <w:color w:val="008000"/>
        </w:rPr>
      </w:pPr>
    </w:p>
    <w:p>
      <w:pPr>
        <w:ind w:right="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Sale, consists of (i) 27,291,923 shares of Common Stock of the Issuer held by Bull Holdco L.P. ("Bull Holdco") and (ii) 6,811,029 shares of Common Stock of the Issuer held by Bull Co-Invest L.P., a Delaware limited partnership ("Bull Co-Invest").</w:t>
      </w:r>
    </w:p>
    <w:p>
      <w:pPr>
        <w:spacing w:after="0" w:line="7" w:lineRule="exact"/>
        <w:rPr>
          <w:rFonts w:ascii="Times New Roman" w:cs="Times New Roman" w:eastAsia="Times New Roman" w:hAnsi="Times New Roman"/>
          <w:sz w:val="13"/>
          <w:szCs w:val="13"/>
          <w:color w:val="008000"/>
        </w:rPr>
      </w:pPr>
    </w:p>
    <w:p>
      <w:pPr>
        <w:ind w:right="6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Warburg Pincus XI, L.P., a Delaware limited partnership ("WP XI GP"), is the general partner of each of (i) Warburg Pincus Private Equity XI, L.P. ("WP XI"), (ii)Warburg Pincus Private Equity XI-B, L.P. ("WP XI-B"), (iii) WP XI Partners, L.P. ("WP XI Partners") and (iv) Warburg Pincus XI Partners, L.P. ("Warburg Pincus XI Partners"). WP Global LLC ("WP Global"), is the general partner of WP XI GP. Warburg Pincus Partners II, L.P. ("WPP II"), is the managing member of WP Global.Warburg Pincus Partners GP LLC ("WPP GP LLC"), is the general partner of WPP II. Warburg Pincus &amp; Co. ("WP"), is the managing member of WPP GP LLC. Warburg Pincus (Cayman) XI, L.P. ("WP XI Cayman GP"), is the general partner of Warburg Pincus Private Equity XI-C, L.P. ("WP XI-C" and, together with WP XI,WP XI-B, WP XI Partners and Warburg Pincus XI Partners, the "WP XI Funds").</w:t>
      </w:r>
    </w:p>
    <w:p>
      <w:pPr>
        <w:spacing w:after="0" w:line="26"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WP XI Funds, Bull Co-Invest, Bull Holdco, WP Global, WPP II, WPP GP LLC, WP XI Cayman GP, WP XI-C LLC, WPP II Cayman, WP Bermuda GP, WP Bull Manager, WP LLC and WP are collectively referred to herein as the "Warburg Pincus Entities."</w:t>
      </w:r>
    </w:p>
    <w:p>
      <w:pPr>
        <w:spacing w:after="0" w:line="7"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Warburg Pincus Entity disclaims beneficial ownership with respect to any shares of Common Stock of the Issuer, except to the extent of its pecuniary interest in such shares of Common Stock, if any. The WP XI Funds, Bull Co-Invest, Bull Holdco, WP Global, WPP II, WPP GP LLC, WP XI Cayman GP, WP XI-C LLC, WPP II Cayman, WP Bermuda GP, WP Bull Manager, WP LLC and WP are directors-by-deputization solely for purposes of Section 16 of the Securities Exchange Act of 1934, as amended. Information with respect to each of the Warburg Pincus Entities is given solely by such Warburg Pincus Entity, and no Warburg Pincus Entity has responsibility for the accuracy or completeness of information supplied by another Warburg Pincus Entity.</w:t>
      </w:r>
    </w:p>
    <w:p>
      <w:pPr>
        <w:spacing w:after="0" w:line="24"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Warburg Pincus XI-C, LLC ("WP XI-C LLC"), is the general partner of WP XI Cayman GP. Warburg Pincus Partners II (Cayman), L.P. ("WPP II Cayman"), is the managing member of WP XI-C LLC. Warburg Pincus (Bermuda) Private Equity GP Ltd. ("WP Bermuda GP"), is the general partner of WPP II Cayman. WP Bull Manager LLC ("WP Bull Manager"), is the general partner of Bull Co-Invest. WP is managing member of WP Bull Manager. Warburg Pincus LLC, a New York limited liability company ("WP LLC"), is the manager of the WP XI Funds. The WP XI Funds share limited partnership ownership in Bull Holdco on a pro rata basis in accordance with their respective numbers of Contributed Shares.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Form 2 of 2. Two reports are filed that relate to the same transactions. See Form 1 of 2 for additional reporting entities.</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See Exhibit 99.1</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12/05/2025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500" w:top="140" w:right="519" w:bottom="1440" w:gutter="0" w:footer="0" w:header="0"/>
        </w:sectPr>
      </w:pPr>
    </w:p>
    <w:bookmarkStart w:id="3" w:name="page4"/>
    <w:bookmarkEnd w:id="3"/>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List of Reporting Owners and Signature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entities are jointly reporting the transactions reflected on the Form 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for each reporting person is: c/o Warburg Pincus &amp; Co., 450 Lexington Avenue, New York, New York 10017</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 or Trading Symbol: Sotera Health Co [SHC]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WARBURG PINCUS &amp; CO.</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599"/>
        </w:trPr>
        <w:tc>
          <w:tcPr>
            <w:tcW w:w="1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By:</w:t>
            </w:r>
          </w:p>
        </w:tc>
        <w:tc>
          <w:tcPr>
            <w:tcW w:w="360" w:type="dxa"/>
            <w:vAlign w:val="bottom"/>
          </w:tcPr>
          <w:p>
            <w:pPr>
              <w:spacing w:after="0"/>
              <w:rPr>
                <w:sz w:val="24"/>
                <w:szCs w:val="24"/>
                <w:color w:val="auto"/>
              </w:rPr>
            </w:pPr>
          </w:p>
        </w:tc>
        <w:tc>
          <w:tcPr>
            <w:tcW w:w="38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 Harsha G. Marti</w:t>
            </w:r>
          </w:p>
        </w:tc>
        <w:tc>
          <w:tcPr>
            <w:tcW w:w="55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Date: 12/05/2025</w:t>
            </w:r>
          </w:p>
        </w:tc>
      </w:tr>
      <w:tr>
        <w:trPr>
          <w:trHeight w:val="20"/>
        </w:trPr>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41"/>
        </w:trPr>
        <w:tc>
          <w:tcPr>
            <w:tcW w:w="1220" w:type="dxa"/>
            <w:vAlign w:val="bottom"/>
          </w:tcPr>
          <w:p>
            <w:pPr>
              <w:spacing w:after="0"/>
              <w:rPr>
                <w:sz w:val="20"/>
                <w:szCs w:val="20"/>
                <w:color w:val="auto"/>
              </w:rPr>
            </w:pPr>
          </w:p>
        </w:tc>
        <w:tc>
          <w:tcPr>
            <w:tcW w:w="42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213"/>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42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Harsha G. Marti</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32"/>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Partner</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640"/>
        </w:trPr>
        <w:tc>
          <w:tcPr>
            <w:tcW w:w="546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WARBURG PINCUS PRIVATE EQUITY XI, L.P.</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407"/>
        </w:trPr>
        <w:tc>
          <w:tcPr>
            <w:tcW w:w="1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13"/>
        </w:trPr>
        <w:tc>
          <w:tcPr>
            <w:tcW w:w="1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3"/>
        </w:trPr>
        <w:tc>
          <w:tcPr>
            <w:tcW w:w="1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w w:val="98"/>
              </w:rPr>
              <w:t>Warburg Pincus Partners II, L.P., its managing member</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3"/>
        </w:trPr>
        <w:tc>
          <w:tcPr>
            <w:tcW w:w="1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32"/>
        </w:trPr>
        <w:tc>
          <w:tcPr>
            <w:tcW w:w="1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386"/>
        </w:trPr>
        <w:tc>
          <w:tcPr>
            <w:tcW w:w="1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/s/ Harsha G. Marti</w:t>
            </w:r>
          </w:p>
        </w:tc>
        <w:tc>
          <w:tcPr>
            <w:tcW w:w="260" w:type="dxa"/>
            <w:vAlign w:val="bottom"/>
          </w:tcPr>
          <w:p>
            <w:pPr>
              <w:spacing w:after="0"/>
              <w:rPr>
                <w:sz w:val="24"/>
                <w:szCs w:val="24"/>
                <w:color w:val="auto"/>
              </w:rPr>
            </w:pPr>
          </w:p>
        </w:tc>
        <w:tc>
          <w:tcPr>
            <w:tcW w:w="5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Date: 12/05/2025</w:t>
            </w:r>
          </w:p>
        </w:tc>
      </w:tr>
      <w:tr>
        <w:trPr>
          <w:trHeight w:val="20"/>
        </w:trPr>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41"/>
        </w:trPr>
        <w:tc>
          <w:tcPr>
            <w:tcW w:w="1220" w:type="dxa"/>
            <w:vAlign w:val="bottom"/>
          </w:tcPr>
          <w:p>
            <w:pPr>
              <w:spacing w:after="0"/>
              <w:rPr>
                <w:sz w:val="20"/>
                <w:szCs w:val="20"/>
                <w:color w:val="auto"/>
              </w:rPr>
            </w:pPr>
          </w:p>
        </w:tc>
        <w:tc>
          <w:tcPr>
            <w:tcW w:w="42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213"/>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42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Harsha G. Marti</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32"/>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Partner</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640"/>
        </w:trPr>
        <w:tc>
          <w:tcPr>
            <w:tcW w:w="546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WP XI PARTNERS, L.P.</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407"/>
        </w:trPr>
        <w:tc>
          <w:tcPr>
            <w:tcW w:w="1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13"/>
        </w:trPr>
        <w:tc>
          <w:tcPr>
            <w:tcW w:w="1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3"/>
        </w:trPr>
        <w:tc>
          <w:tcPr>
            <w:tcW w:w="1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w w:val="98"/>
              </w:rPr>
              <w:t>Warburg Pincus Partners II, L.P., its managing member</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3"/>
        </w:trPr>
        <w:tc>
          <w:tcPr>
            <w:tcW w:w="1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32"/>
        </w:trPr>
        <w:tc>
          <w:tcPr>
            <w:tcW w:w="1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386"/>
        </w:trPr>
        <w:tc>
          <w:tcPr>
            <w:tcW w:w="1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/s/ Harsha G. Marti</w:t>
            </w:r>
          </w:p>
        </w:tc>
        <w:tc>
          <w:tcPr>
            <w:tcW w:w="260" w:type="dxa"/>
            <w:vAlign w:val="bottom"/>
          </w:tcPr>
          <w:p>
            <w:pPr>
              <w:spacing w:after="0"/>
              <w:rPr>
                <w:sz w:val="24"/>
                <w:szCs w:val="24"/>
                <w:color w:val="auto"/>
              </w:rPr>
            </w:pPr>
          </w:p>
        </w:tc>
        <w:tc>
          <w:tcPr>
            <w:tcW w:w="5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Date: 12/05/2025</w:t>
            </w:r>
          </w:p>
        </w:tc>
      </w:tr>
      <w:tr>
        <w:trPr>
          <w:trHeight w:val="20"/>
        </w:trPr>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41"/>
        </w:trPr>
        <w:tc>
          <w:tcPr>
            <w:tcW w:w="1220" w:type="dxa"/>
            <w:vAlign w:val="bottom"/>
          </w:tcPr>
          <w:p>
            <w:pPr>
              <w:spacing w:after="0"/>
              <w:rPr>
                <w:sz w:val="20"/>
                <w:szCs w:val="20"/>
                <w:color w:val="auto"/>
              </w:rPr>
            </w:pPr>
          </w:p>
        </w:tc>
        <w:tc>
          <w:tcPr>
            <w:tcW w:w="42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213"/>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42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Harsha G. Marti</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32"/>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Partner</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1818"/>
        </w:trPr>
        <w:tc>
          <w:tcPr>
            <w:tcW w:w="1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980"/>
          </w:cols>
          <w:pgMar w:left="460" w:top="1440"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WARBURG PINCUS XI PARTNERS, L.P.</w:t>
            </w:r>
          </w:p>
        </w:tc>
        <w:tc>
          <w:tcPr>
            <w:tcW w:w="1360" w:type="dxa"/>
            <w:vAlign w:val="bottom"/>
          </w:tcPr>
          <w:p>
            <w:pPr>
              <w:spacing w:after="0"/>
              <w:rPr>
                <w:sz w:val="20"/>
                <w:szCs w:val="20"/>
                <w:color w:val="auto"/>
              </w:rPr>
            </w:pPr>
          </w:p>
        </w:tc>
      </w:tr>
      <w:tr>
        <w:trPr>
          <w:trHeight w:val="407"/>
        </w:trPr>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1360" w:type="dxa"/>
            <w:vAlign w:val="bottom"/>
          </w:tcPr>
          <w:p>
            <w:pPr>
              <w:spacing w:after="0"/>
              <w:rPr>
                <w:sz w:val="24"/>
                <w:szCs w:val="24"/>
                <w:color w:val="auto"/>
              </w:rPr>
            </w:pPr>
          </w:p>
        </w:tc>
      </w:tr>
      <w:tr>
        <w:trPr>
          <w:trHeight w:val="213"/>
        </w:trPr>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1360" w:type="dxa"/>
            <w:vAlign w:val="bottom"/>
          </w:tcPr>
          <w:p>
            <w:pPr>
              <w:spacing w:after="0"/>
              <w:rPr>
                <w:sz w:val="18"/>
                <w:szCs w:val="18"/>
                <w:color w:val="auto"/>
              </w:rPr>
            </w:pPr>
          </w:p>
        </w:tc>
      </w:tr>
      <w:tr>
        <w:trPr>
          <w:trHeight w:val="213"/>
        </w:trPr>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1360" w:type="dxa"/>
            <w:vAlign w:val="bottom"/>
          </w:tcPr>
          <w:p>
            <w:pPr>
              <w:spacing w:after="0"/>
              <w:rPr>
                <w:sz w:val="18"/>
                <w:szCs w:val="18"/>
                <w:color w:val="auto"/>
              </w:rPr>
            </w:pPr>
          </w:p>
        </w:tc>
      </w:tr>
      <w:tr>
        <w:trPr>
          <w:trHeight w:val="213"/>
        </w:trPr>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1360" w:type="dxa"/>
            <w:vAlign w:val="bottom"/>
          </w:tcPr>
          <w:p>
            <w:pPr>
              <w:spacing w:after="0"/>
              <w:rPr>
                <w:sz w:val="18"/>
                <w:szCs w:val="18"/>
                <w:color w:val="auto"/>
              </w:rPr>
            </w:pPr>
          </w:p>
        </w:tc>
      </w:tr>
      <w:tr>
        <w:trPr>
          <w:trHeight w:val="232"/>
        </w:trPr>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1360" w:type="dxa"/>
            <w:vAlign w:val="bottom"/>
          </w:tcPr>
          <w:p>
            <w:pPr>
              <w:spacing w:after="0"/>
              <w:rPr>
                <w:sz w:val="20"/>
                <w:szCs w:val="20"/>
                <w:color w:val="auto"/>
              </w:rPr>
            </w:pPr>
          </w:p>
        </w:tc>
      </w:tr>
      <w:tr>
        <w:trPr>
          <w:trHeight w:val="386"/>
        </w:trPr>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 Harsha G. Marti</w:t>
            </w: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12/05/2025</w:t>
            </w:r>
          </w:p>
        </w:tc>
      </w:tr>
      <w:tr>
        <w:trPr>
          <w:trHeight w:val="20"/>
        </w:trPr>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241"/>
        </w:trPr>
        <w:tc>
          <w:tcPr>
            <w:tcW w:w="1040" w:type="dxa"/>
            <w:vAlign w:val="bottom"/>
          </w:tcPr>
          <w:p>
            <w:pPr>
              <w:spacing w:after="0"/>
              <w:rPr>
                <w:sz w:val="20"/>
                <w:szCs w:val="20"/>
                <w:color w:val="auto"/>
              </w:rPr>
            </w:pP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1360" w:type="dxa"/>
            <w:vAlign w:val="bottom"/>
          </w:tcPr>
          <w:p>
            <w:pPr>
              <w:spacing w:after="0"/>
              <w:rPr>
                <w:sz w:val="20"/>
                <w:szCs w:val="20"/>
                <w:color w:val="auto"/>
              </w:rPr>
            </w:pP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Harsha G. Marti</w:t>
            </w:r>
          </w:p>
        </w:tc>
        <w:tc>
          <w:tcPr>
            <w:tcW w:w="1360" w:type="dxa"/>
            <w:vAlign w:val="bottom"/>
          </w:tcPr>
          <w:p>
            <w:pPr>
              <w:spacing w:after="0"/>
              <w:rPr>
                <w:sz w:val="18"/>
                <w:szCs w:val="18"/>
                <w:color w:val="auto"/>
              </w:rPr>
            </w:pPr>
          </w:p>
        </w:tc>
      </w:tr>
      <w:tr>
        <w:trPr>
          <w:trHeight w:val="2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Partner</w:t>
            </w:r>
          </w:p>
        </w:tc>
        <w:tc>
          <w:tcPr>
            <w:tcW w:w="1360" w:type="dxa"/>
            <w:vAlign w:val="bottom"/>
          </w:tcPr>
          <w:p>
            <w:pPr>
              <w:spacing w:after="0"/>
              <w:rPr>
                <w:sz w:val="20"/>
                <w:szCs w:val="20"/>
                <w:color w:val="auto"/>
              </w:rPr>
            </w:pPr>
          </w:p>
        </w:tc>
      </w:tr>
      <w:tr>
        <w:trPr>
          <w:trHeight w:val="640"/>
        </w:trPr>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WARBURG PINCUS PRIVATE EQUITY XI-B, L.P.</w:t>
            </w:r>
          </w:p>
        </w:tc>
        <w:tc>
          <w:tcPr>
            <w:tcW w:w="1360" w:type="dxa"/>
            <w:vAlign w:val="bottom"/>
          </w:tcPr>
          <w:p>
            <w:pPr>
              <w:spacing w:after="0"/>
              <w:rPr>
                <w:sz w:val="24"/>
                <w:szCs w:val="24"/>
                <w:color w:val="auto"/>
              </w:rPr>
            </w:pPr>
          </w:p>
        </w:tc>
      </w:tr>
      <w:tr>
        <w:trPr>
          <w:trHeight w:val="407"/>
        </w:trPr>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1360" w:type="dxa"/>
            <w:vAlign w:val="bottom"/>
          </w:tcPr>
          <w:p>
            <w:pPr>
              <w:spacing w:after="0"/>
              <w:rPr>
                <w:sz w:val="24"/>
                <w:szCs w:val="24"/>
                <w:color w:val="auto"/>
              </w:rPr>
            </w:pPr>
          </w:p>
        </w:tc>
      </w:tr>
      <w:tr>
        <w:trPr>
          <w:trHeight w:val="213"/>
        </w:trPr>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1360" w:type="dxa"/>
            <w:vAlign w:val="bottom"/>
          </w:tcPr>
          <w:p>
            <w:pPr>
              <w:spacing w:after="0"/>
              <w:rPr>
                <w:sz w:val="18"/>
                <w:szCs w:val="18"/>
                <w:color w:val="auto"/>
              </w:rPr>
            </w:pPr>
          </w:p>
        </w:tc>
      </w:tr>
      <w:tr>
        <w:trPr>
          <w:trHeight w:val="213"/>
        </w:trPr>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1360" w:type="dxa"/>
            <w:vAlign w:val="bottom"/>
          </w:tcPr>
          <w:p>
            <w:pPr>
              <w:spacing w:after="0"/>
              <w:rPr>
                <w:sz w:val="18"/>
                <w:szCs w:val="18"/>
                <w:color w:val="auto"/>
              </w:rPr>
            </w:pPr>
          </w:p>
        </w:tc>
      </w:tr>
      <w:tr>
        <w:trPr>
          <w:trHeight w:val="213"/>
        </w:trPr>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1360" w:type="dxa"/>
            <w:vAlign w:val="bottom"/>
          </w:tcPr>
          <w:p>
            <w:pPr>
              <w:spacing w:after="0"/>
              <w:rPr>
                <w:sz w:val="18"/>
                <w:szCs w:val="18"/>
                <w:color w:val="auto"/>
              </w:rPr>
            </w:pPr>
          </w:p>
        </w:tc>
      </w:tr>
      <w:tr>
        <w:trPr>
          <w:trHeight w:val="232"/>
        </w:trPr>
        <w:tc>
          <w:tcPr>
            <w:tcW w:w="1040" w:type="dxa"/>
            <w:vAlign w:val="bottom"/>
          </w:tcPr>
          <w:p>
            <w:pPr>
              <w:spacing w:after="0"/>
              <w:rPr>
                <w:sz w:val="20"/>
                <w:szCs w:val="20"/>
                <w:color w:val="auto"/>
              </w:rPr>
            </w:pP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1360" w:type="dxa"/>
            <w:vAlign w:val="bottom"/>
          </w:tcPr>
          <w:p>
            <w:pPr>
              <w:spacing w:after="0"/>
              <w:rPr>
                <w:sz w:val="20"/>
                <w:szCs w:val="20"/>
                <w:color w:val="auto"/>
              </w:rPr>
            </w:pPr>
          </w:p>
        </w:tc>
      </w:tr>
      <w:tr>
        <w:trPr>
          <w:trHeight w:val="386"/>
        </w:trPr>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 Harsha G. Marti</w:t>
            </w: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12/05/2025</w:t>
            </w:r>
          </w:p>
        </w:tc>
      </w:tr>
      <w:tr>
        <w:trPr>
          <w:trHeight w:val="20"/>
        </w:trPr>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241"/>
        </w:trPr>
        <w:tc>
          <w:tcPr>
            <w:tcW w:w="1040" w:type="dxa"/>
            <w:vAlign w:val="bottom"/>
          </w:tcPr>
          <w:p>
            <w:pPr>
              <w:spacing w:after="0"/>
              <w:rPr>
                <w:sz w:val="20"/>
                <w:szCs w:val="20"/>
                <w:color w:val="auto"/>
              </w:rPr>
            </w:pP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1360" w:type="dxa"/>
            <w:vAlign w:val="bottom"/>
          </w:tcPr>
          <w:p>
            <w:pPr>
              <w:spacing w:after="0"/>
              <w:rPr>
                <w:sz w:val="20"/>
                <w:szCs w:val="20"/>
                <w:color w:val="auto"/>
              </w:rPr>
            </w:pP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Harsha G. Marti</w:t>
            </w:r>
          </w:p>
        </w:tc>
        <w:tc>
          <w:tcPr>
            <w:tcW w:w="1360" w:type="dxa"/>
            <w:vAlign w:val="bottom"/>
          </w:tcPr>
          <w:p>
            <w:pPr>
              <w:spacing w:after="0"/>
              <w:rPr>
                <w:sz w:val="18"/>
                <w:szCs w:val="18"/>
                <w:color w:val="auto"/>
              </w:rPr>
            </w:pPr>
          </w:p>
        </w:tc>
      </w:tr>
      <w:tr>
        <w:trPr>
          <w:trHeight w:val="2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Partner</w:t>
            </w:r>
          </w:p>
        </w:tc>
        <w:tc>
          <w:tcPr>
            <w:tcW w:w="1360" w:type="dxa"/>
            <w:vAlign w:val="bottom"/>
          </w:tcPr>
          <w:p>
            <w:pPr>
              <w:spacing w:after="0"/>
              <w:rPr>
                <w:sz w:val="20"/>
                <w:szCs w:val="20"/>
                <w:color w:val="auto"/>
              </w:rPr>
            </w:pPr>
          </w:p>
        </w:tc>
      </w:tr>
      <w:tr>
        <w:trPr>
          <w:trHeight w:val="640"/>
        </w:trPr>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BULL CO-INVEST, L.P.</w:t>
            </w:r>
          </w:p>
        </w:tc>
        <w:tc>
          <w:tcPr>
            <w:tcW w:w="1360" w:type="dxa"/>
            <w:vAlign w:val="bottom"/>
          </w:tcPr>
          <w:p>
            <w:pPr>
              <w:spacing w:after="0"/>
              <w:rPr>
                <w:sz w:val="24"/>
                <w:szCs w:val="24"/>
                <w:color w:val="auto"/>
              </w:rPr>
            </w:pPr>
          </w:p>
        </w:tc>
      </w:tr>
      <w:tr>
        <w:trPr>
          <w:trHeight w:val="407"/>
        </w:trPr>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WP Bull Manager, LLC, its general partner</w:t>
            </w:r>
          </w:p>
        </w:tc>
        <w:tc>
          <w:tcPr>
            <w:tcW w:w="1360" w:type="dxa"/>
            <w:vAlign w:val="bottom"/>
          </w:tcPr>
          <w:p>
            <w:pPr>
              <w:spacing w:after="0"/>
              <w:rPr>
                <w:sz w:val="24"/>
                <w:szCs w:val="24"/>
                <w:color w:val="auto"/>
              </w:rPr>
            </w:pPr>
          </w:p>
        </w:tc>
      </w:tr>
      <w:tr>
        <w:trPr>
          <w:trHeight w:val="232"/>
        </w:trPr>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1360" w:type="dxa"/>
            <w:vAlign w:val="bottom"/>
          </w:tcPr>
          <w:p>
            <w:pPr>
              <w:spacing w:after="0"/>
              <w:rPr>
                <w:sz w:val="20"/>
                <w:szCs w:val="20"/>
                <w:color w:val="auto"/>
              </w:rPr>
            </w:pPr>
          </w:p>
        </w:tc>
      </w:tr>
      <w:tr>
        <w:trPr>
          <w:trHeight w:val="386"/>
        </w:trPr>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 Harsha G. Marti</w:t>
            </w: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12/05/2025</w:t>
            </w:r>
          </w:p>
        </w:tc>
      </w:tr>
      <w:tr>
        <w:trPr>
          <w:trHeight w:val="20"/>
        </w:trPr>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241"/>
        </w:trPr>
        <w:tc>
          <w:tcPr>
            <w:tcW w:w="1040" w:type="dxa"/>
            <w:vAlign w:val="bottom"/>
          </w:tcPr>
          <w:p>
            <w:pPr>
              <w:spacing w:after="0"/>
              <w:rPr>
                <w:sz w:val="20"/>
                <w:szCs w:val="20"/>
                <w:color w:val="auto"/>
              </w:rPr>
            </w:pP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1360" w:type="dxa"/>
            <w:vAlign w:val="bottom"/>
          </w:tcPr>
          <w:p>
            <w:pPr>
              <w:spacing w:after="0"/>
              <w:rPr>
                <w:sz w:val="20"/>
                <w:szCs w:val="20"/>
                <w:color w:val="auto"/>
              </w:rPr>
            </w:pP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Harsha G. Marti</w:t>
            </w:r>
          </w:p>
        </w:tc>
        <w:tc>
          <w:tcPr>
            <w:tcW w:w="1360" w:type="dxa"/>
            <w:vAlign w:val="bottom"/>
          </w:tcPr>
          <w:p>
            <w:pPr>
              <w:spacing w:after="0"/>
              <w:rPr>
                <w:sz w:val="18"/>
                <w:szCs w:val="18"/>
                <w:color w:val="auto"/>
              </w:rPr>
            </w:pPr>
          </w:p>
        </w:tc>
      </w:tr>
      <w:tr>
        <w:trPr>
          <w:trHeight w:val="2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Partner</w:t>
            </w:r>
          </w:p>
        </w:tc>
        <w:tc>
          <w:tcPr>
            <w:tcW w:w="1360" w:type="dxa"/>
            <w:vAlign w:val="bottom"/>
          </w:tcPr>
          <w:p>
            <w:pPr>
              <w:spacing w:after="0"/>
              <w:rPr>
                <w:sz w:val="20"/>
                <w:szCs w:val="20"/>
                <w:color w:val="auto"/>
              </w:rPr>
            </w:pPr>
          </w:p>
        </w:tc>
      </w:tr>
      <w:tr>
        <w:trPr>
          <w:trHeight w:val="640"/>
        </w:trPr>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BULL HOLDCO, L.P.</w:t>
            </w:r>
          </w:p>
        </w:tc>
        <w:tc>
          <w:tcPr>
            <w:tcW w:w="1360" w:type="dxa"/>
            <w:vAlign w:val="bottom"/>
          </w:tcPr>
          <w:p>
            <w:pPr>
              <w:spacing w:after="0"/>
              <w:rPr>
                <w:sz w:val="24"/>
                <w:szCs w:val="24"/>
                <w:color w:val="auto"/>
              </w:rPr>
            </w:pPr>
          </w:p>
        </w:tc>
      </w:tr>
      <w:tr>
        <w:trPr>
          <w:trHeight w:val="407"/>
        </w:trPr>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WP Bull Holdco GP LLC, its general partner</w:t>
            </w:r>
          </w:p>
        </w:tc>
        <w:tc>
          <w:tcPr>
            <w:tcW w:w="1360" w:type="dxa"/>
            <w:vAlign w:val="bottom"/>
          </w:tcPr>
          <w:p>
            <w:pPr>
              <w:spacing w:after="0"/>
              <w:rPr>
                <w:sz w:val="24"/>
                <w:szCs w:val="24"/>
                <w:color w:val="auto"/>
              </w:rPr>
            </w:pPr>
          </w:p>
        </w:tc>
      </w:tr>
      <w:tr>
        <w:trPr>
          <w:trHeight w:val="213"/>
        </w:trPr>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58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Warburg Pincus Private Equity XI, L.P., its sole and managing member</w:t>
            </w:r>
          </w:p>
        </w:tc>
      </w:tr>
      <w:tr>
        <w:trPr>
          <w:trHeight w:val="213"/>
        </w:trPr>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1360" w:type="dxa"/>
            <w:vAlign w:val="bottom"/>
          </w:tcPr>
          <w:p>
            <w:pPr>
              <w:spacing w:after="0"/>
              <w:rPr>
                <w:sz w:val="18"/>
                <w:szCs w:val="18"/>
                <w:color w:val="auto"/>
              </w:rPr>
            </w:pPr>
          </w:p>
        </w:tc>
      </w:tr>
      <w:tr>
        <w:trPr>
          <w:trHeight w:val="213"/>
        </w:trPr>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1360" w:type="dxa"/>
            <w:vAlign w:val="bottom"/>
          </w:tcPr>
          <w:p>
            <w:pPr>
              <w:spacing w:after="0"/>
              <w:rPr>
                <w:sz w:val="18"/>
                <w:szCs w:val="18"/>
                <w:color w:val="auto"/>
              </w:rPr>
            </w:pPr>
          </w:p>
        </w:tc>
      </w:tr>
      <w:tr>
        <w:trPr>
          <w:trHeight w:val="213"/>
        </w:trPr>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1360" w:type="dxa"/>
            <w:vAlign w:val="bottom"/>
          </w:tcPr>
          <w:p>
            <w:pPr>
              <w:spacing w:after="0"/>
              <w:rPr>
                <w:sz w:val="18"/>
                <w:szCs w:val="18"/>
                <w:color w:val="auto"/>
              </w:rPr>
            </w:pPr>
          </w:p>
        </w:tc>
      </w:tr>
      <w:tr>
        <w:trPr>
          <w:trHeight w:val="213"/>
        </w:trPr>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1360" w:type="dxa"/>
            <w:vAlign w:val="bottom"/>
          </w:tcPr>
          <w:p>
            <w:pPr>
              <w:spacing w:after="0"/>
              <w:rPr>
                <w:sz w:val="18"/>
                <w:szCs w:val="18"/>
                <w:color w:val="auto"/>
              </w:rPr>
            </w:pPr>
          </w:p>
        </w:tc>
      </w:tr>
      <w:tr>
        <w:trPr>
          <w:trHeight w:val="232"/>
        </w:trPr>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By: Warburg Pincus &amp; Co., its managing member</w:t>
            </w:r>
          </w:p>
        </w:tc>
        <w:tc>
          <w:tcPr>
            <w:tcW w:w="1360" w:type="dxa"/>
            <w:vAlign w:val="bottom"/>
          </w:tcPr>
          <w:p>
            <w:pPr>
              <w:spacing w:after="0"/>
              <w:rPr>
                <w:sz w:val="20"/>
                <w:szCs w:val="20"/>
                <w:color w:val="auto"/>
              </w:rPr>
            </w:pPr>
          </w:p>
        </w:tc>
      </w:tr>
      <w:tr>
        <w:trPr>
          <w:trHeight w:val="386"/>
        </w:trPr>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 Harsha G. Marti</w:t>
            </w: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12/05/2025</w:t>
            </w:r>
          </w:p>
        </w:tc>
      </w:tr>
      <w:tr>
        <w:trPr>
          <w:trHeight w:val="20"/>
        </w:trPr>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241"/>
        </w:trPr>
        <w:tc>
          <w:tcPr>
            <w:tcW w:w="1040" w:type="dxa"/>
            <w:vAlign w:val="bottom"/>
          </w:tcPr>
          <w:p>
            <w:pPr>
              <w:spacing w:after="0"/>
              <w:rPr>
                <w:sz w:val="20"/>
                <w:szCs w:val="20"/>
                <w:color w:val="auto"/>
              </w:rPr>
            </w:pP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1360" w:type="dxa"/>
            <w:vAlign w:val="bottom"/>
          </w:tcPr>
          <w:p>
            <w:pPr>
              <w:spacing w:after="0"/>
              <w:rPr>
                <w:sz w:val="20"/>
                <w:szCs w:val="20"/>
                <w:color w:val="auto"/>
              </w:rPr>
            </w:pP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Harsha G. Marti</w:t>
            </w:r>
          </w:p>
        </w:tc>
        <w:tc>
          <w:tcPr>
            <w:tcW w:w="1360" w:type="dxa"/>
            <w:vAlign w:val="bottom"/>
          </w:tcPr>
          <w:p>
            <w:pPr>
              <w:spacing w:after="0"/>
              <w:rPr>
                <w:sz w:val="18"/>
                <w:szCs w:val="18"/>
                <w:color w:val="auto"/>
              </w:rPr>
            </w:pPr>
          </w:p>
        </w:tc>
      </w:tr>
      <w:tr>
        <w:trPr>
          <w:trHeight w:val="2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Partner</w:t>
            </w:r>
          </w:p>
        </w:tc>
        <w:tc>
          <w:tcPr>
            <w:tcW w:w="1360" w:type="dxa"/>
            <w:vAlign w:val="bottom"/>
          </w:tcPr>
          <w:p>
            <w:pPr>
              <w:spacing w:after="0"/>
              <w:rPr>
                <w:sz w:val="20"/>
                <w:szCs w:val="20"/>
                <w:color w:val="auto"/>
              </w:rPr>
            </w:pPr>
          </w:p>
        </w:tc>
      </w:tr>
    </w:tbl>
    <w:p>
      <w:pPr>
        <w:spacing w:after="0" w:line="200" w:lineRule="exact"/>
        <w:rPr>
          <w:sz w:val="20"/>
          <w:szCs w:val="20"/>
          <w:color w:val="auto"/>
        </w:rPr>
      </w:pPr>
    </w:p>
    <w:p>
      <w:pPr>
        <w:spacing w:after="0" w:line="39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604520</wp:posOffset>
            </wp:positionV>
            <wp:extent cx="698944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9879"/>
          </w:cols>
          <w:pgMar w:left="580" w:top="1398"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560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WARBURG PINCUS XI, L.P.</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7"/>
        </w:trPr>
        <w:tc>
          <w:tcPr>
            <w:tcW w:w="60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3"/>
        </w:trPr>
        <w:tc>
          <w:tcPr>
            <w:tcW w:w="60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60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600" w:type="dxa"/>
            <w:vAlign w:val="bottom"/>
          </w:tcPr>
          <w:p>
            <w:pPr>
              <w:spacing w:after="0"/>
              <w:rPr>
                <w:sz w:val="20"/>
                <w:szCs w:val="20"/>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86"/>
        </w:trPr>
        <w:tc>
          <w:tcPr>
            <w:tcW w:w="600" w:type="dxa"/>
            <w:vAlign w:val="bottom"/>
          </w:tcPr>
          <w:p>
            <w:pPr>
              <w:spacing w:after="0"/>
              <w:rPr>
                <w:sz w:val="24"/>
                <w:szCs w:val="24"/>
                <w:color w:val="auto"/>
              </w:rPr>
            </w:pP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/s/ Harsha G. Marti</w:t>
            </w:r>
          </w:p>
        </w:tc>
        <w:tc>
          <w:tcPr>
            <w:tcW w:w="36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Date: 12/05/2025</w:t>
            </w: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1"/>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3"/>
        </w:trPr>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Harsha G. Marti</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Partner</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21"/>
        </w:trPr>
        <w:tc>
          <w:tcPr>
            <w:tcW w:w="560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WP GLOBAL LLC</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3"/>
        </w:trPr>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86"/>
        </w:trPr>
        <w:tc>
          <w:tcPr>
            <w:tcW w:w="600" w:type="dxa"/>
            <w:vAlign w:val="bottom"/>
          </w:tcPr>
          <w:p>
            <w:pPr>
              <w:spacing w:after="0"/>
              <w:rPr>
                <w:sz w:val="24"/>
                <w:szCs w:val="24"/>
                <w:color w:val="auto"/>
              </w:rPr>
            </w:pP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/s/ Harsha G. Marti</w:t>
            </w:r>
          </w:p>
        </w:tc>
        <w:tc>
          <w:tcPr>
            <w:tcW w:w="36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Date: 12/05/2025</w:t>
            </w: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241"/>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3"/>
        </w:trPr>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Harsha G. Marti</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Partner</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21"/>
        </w:trPr>
        <w:tc>
          <w:tcPr>
            <w:tcW w:w="560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WARBURG PINCUS PARTNERS II, L.P.</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3"/>
        </w:trPr>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86"/>
        </w:trPr>
        <w:tc>
          <w:tcPr>
            <w:tcW w:w="600" w:type="dxa"/>
            <w:vAlign w:val="bottom"/>
          </w:tcPr>
          <w:p>
            <w:pPr>
              <w:spacing w:after="0"/>
              <w:rPr>
                <w:sz w:val="24"/>
                <w:szCs w:val="24"/>
                <w:color w:val="auto"/>
              </w:rPr>
            </w:pP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/s/ Harsha G. Marti</w:t>
            </w:r>
          </w:p>
        </w:tc>
        <w:tc>
          <w:tcPr>
            <w:tcW w:w="36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Date: 12/05/2025</w:t>
            </w: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241"/>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3"/>
        </w:trPr>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Harsha G. Marti</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Managing Director</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WARBURG PINCUS PRIVATE EQUITY XI-C, L.P.</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Warburg Pincus (Cayman) XI, L.P., its general partner</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Warburg Pincus XI-C, LLC, its general partner</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Warburg Pincus Partners II (Cayman), L.P., its managing member</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Warburg Pincus (Bermuda) Private Equity GP Ltd., its general partner</w:t>
            </w:r>
          </w:p>
        </w:tc>
      </w:tr>
      <w:tr>
        <w:trPr>
          <w:trHeight w:val="38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/s/ Harsha G. Marti</w:t>
            </w:r>
          </w:p>
        </w:tc>
        <w:tc>
          <w:tcPr>
            <w:tcW w:w="17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Date: 12/05/2025</w:t>
            </w: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 w:lineRule="exact"/>
        <w:rPr>
          <w:sz w:val="20"/>
          <w:szCs w:val="20"/>
          <w:color w:val="auto"/>
        </w:rPr>
      </w:pPr>
    </w:p>
    <w:p>
      <w:pPr>
        <w:ind w:right="6899" w:firstLine="713"/>
        <w:spacing w:after="0" w:line="258" w:lineRule="auto"/>
        <w:tabs>
          <w:tab w:leader="none" w:pos="9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of Reporting Person Name: Harsha G. Marti</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Authorised Signatory</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WARBURG PINCUS (CAYMAN) XI, L.P.</w:t>
            </w:r>
          </w:p>
        </w:tc>
        <w:tc>
          <w:tcPr>
            <w:tcW w:w="1360" w:type="dxa"/>
            <w:vAlign w:val="bottom"/>
          </w:tcPr>
          <w:p>
            <w:pPr>
              <w:spacing w:after="0"/>
              <w:rPr>
                <w:sz w:val="20"/>
                <w:szCs w:val="20"/>
                <w:color w:val="auto"/>
              </w:rPr>
            </w:pPr>
          </w:p>
        </w:tc>
      </w:tr>
      <w:tr>
        <w:trPr>
          <w:trHeight w:val="40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Warburg Pincus XI-C, LLC, its general partner</w:t>
            </w:r>
          </w:p>
        </w:tc>
        <w:tc>
          <w:tcPr>
            <w:tcW w:w="1360" w:type="dxa"/>
            <w:vAlign w:val="bottom"/>
          </w:tcPr>
          <w:p>
            <w:pPr>
              <w:spacing w:after="0"/>
              <w:rPr>
                <w:sz w:val="24"/>
                <w:szCs w:val="24"/>
                <w:color w:val="auto"/>
              </w:rPr>
            </w:pPr>
          </w:p>
        </w:tc>
      </w:tr>
      <w:tr>
        <w:trPr>
          <w:trHeight w:val="21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Warburg Pincus Partners II (Cayman), L.P., its managing member</w:t>
            </w:r>
          </w:p>
        </w:tc>
        <w:tc>
          <w:tcPr>
            <w:tcW w:w="1360" w:type="dxa"/>
            <w:vAlign w:val="bottom"/>
          </w:tcPr>
          <w:p>
            <w:pPr>
              <w:spacing w:after="0"/>
              <w:rPr>
                <w:sz w:val="18"/>
                <w:szCs w:val="18"/>
                <w:color w:val="auto"/>
              </w:rPr>
            </w:pPr>
          </w:p>
        </w:tc>
      </w:tr>
      <w:tr>
        <w:trPr>
          <w:trHeight w:val="2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Warburg Pincus (Bermuda) Private Equity GP Ltd., its general partner</w:t>
            </w:r>
          </w:p>
        </w:tc>
      </w:tr>
      <w:tr>
        <w:trPr>
          <w:trHeight w:val="38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 Harsha G. Marti</w:t>
            </w: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12/05/2025</w:t>
            </w:r>
          </w:p>
        </w:tc>
      </w:tr>
      <w:tr>
        <w:trPr>
          <w:trHeight w:val="20"/>
        </w:trPr>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35" w:lineRule="exact"/>
        <w:rPr>
          <w:sz w:val="20"/>
          <w:szCs w:val="20"/>
          <w:color w:val="auto"/>
        </w:rPr>
      </w:pPr>
    </w:p>
    <w:p>
      <w:pPr>
        <w:ind w:right="6899" w:firstLine="713"/>
        <w:spacing w:after="0" w:line="258" w:lineRule="auto"/>
        <w:tabs>
          <w:tab w:leader="none" w:pos="9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of Reporting Person Name: Harsha G. Marti</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Authorised Signatory</w:t>
      </w:r>
    </w:p>
    <w:p>
      <w:pPr>
        <w:spacing w:after="0" w:line="17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604520</wp:posOffset>
            </wp:positionV>
            <wp:extent cx="698944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9999"/>
          </w:cols>
          <w:pgMar w:left="460" w:top="1398" w:right="1440" w:bottom="1440" w:gutter="0" w:footer="0" w:header="0"/>
        </w:sectPr>
      </w:pPr>
    </w:p>
    <w:bookmarkStart w:id="6" w:name="page7"/>
    <w:bookmarkEnd w:id="6"/>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WARBURG PINCUS XI-C, LLC</w:t>
            </w:r>
          </w:p>
        </w:tc>
        <w:tc>
          <w:tcPr>
            <w:tcW w:w="1380" w:type="dxa"/>
            <w:vAlign w:val="bottom"/>
          </w:tcPr>
          <w:p>
            <w:pPr>
              <w:spacing w:after="0"/>
              <w:rPr>
                <w:sz w:val="20"/>
                <w:szCs w:val="20"/>
                <w:color w:val="auto"/>
              </w:rPr>
            </w:pPr>
          </w:p>
        </w:tc>
      </w:tr>
      <w:tr>
        <w:trPr>
          <w:trHeight w:val="40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Warburg Pincus Partners II (Cayman), L.P., its managing member</w:t>
            </w:r>
          </w:p>
        </w:tc>
        <w:tc>
          <w:tcPr>
            <w:tcW w:w="1380" w:type="dxa"/>
            <w:vAlign w:val="bottom"/>
          </w:tcPr>
          <w:p>
            <w:pPr>
              <w:spacing w:after="0"/>
              <w:rPr>
                <w:sz w:val="24"/>
                <w:szCs w:val="24"/>
                <w:color w:val="auto"/>
              </w:rPr>
            </w:pPr>
          </w:p>
        </w:tc>
      </w:tr>
      <w:tr>
        <w:trPr>
          <w:trHeight w:val="2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Warburg Pincus (Bermuda) Private Equity GP Ltd., its general partner</w:t>
            </w:r>
          </w:p>
        </w:tc>
      </w:tr>
      <w:tr>
        <w:trPr>
          <w:trHeight w:val="38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 Harsha G. Marti</w:t>
            </w:r>
          </w:p>
        </w:tc>
        <w:tc>
          <w:tcPr>
            <w:tcW w:w="1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12/05/2025</w:t>
            </w: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35" w:lineRule="exact"/>
        <w:rPr>
          <w:sz w:val="20"/>
          <w:szCs w:val="20"/>
          <w:color w:val="auto"/>
        </w:rPr>
      </w:pPr>
    </w:p>
    <w:p>
      <w:pPr>
        <w:ind w:right="6939" w:firstLine="686"/>
        <w:spacing w:after="0" w:line="258" w:lineRule="auto"/>
        <w:tabs>
          <w:tab w:leader="none" w:pos="90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of Reporting Person Name: Harsha G. Marti</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Authorised Signatory</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WARBURG PINCUS PARTNERS II (CAYMAN), L.P.</w:t>
            </w:r>
          </w:p>
        </w:tc>
        <w:tc>
          <w:tcPr>
            <w:tcW w:w="1380" w:type="dxa"/>
            <w:vAlign w:val="bottom"/>
          </w:tcPr>
          <w:p>
            <w:pPr>
              <w:spacing w:after="0"/>
              <w:rPr>
                <w:sz w:val="20"/>
                <w:szCs w:val="20"/>
                <w:color w:val="auto"/>
              </w:rPr>
            </w:pPr>
          </w:p>
        </w:tc>
      </w:tr>
      <w:tr>
        <w:trPr>
          <w:trHeight w:val="4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Warburg Pincus (Bermuda) Private Equity GP Ltd., its general partner</w:t>
            </w:r>
          </w:p>
        </w:tc>
      </w:tr>
      <w:tr>
        <w:trPr>
          <w:trHeight w:val="38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 Harsha G. Marti</w:t>
            </w:r>
          </w:p>
        </w:tc>
        <w:tc>
          <w:tcPr>
            <w:tcW w:w="1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 12/05/2025</w:t>
            </w: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35" w:lineRule="exact"/>
        <w:rPr>
          <w:sz w:val="20"/>
          <w:szCs w:val="20"/>
          <w:color w:val="auto"/>
        </w:rPr>
      </w:pPr>
    </w:p>
    <w:p>
      <w:pPr>
        <w:ind w:right="6939" w:firstLine="686"/>
        <w:spacing w:after="0" w:line="258" w:lineRule="auto"/>
        <w:tabs>
          <w:tab w:leader="none" w:pos="90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of Reporting Person Name: Harsha G. Marti</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Authorised Signatory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WARBURG PINCUS (BERMUDA) PRIVATE EQUITY GP LTD.</w:t>
      </w:r>
    </w:p>
    <w:p>
      <w:pPr>
        <w:spacing w:after="0" w:line="221" w:lineRule="exact"/>
        <w:rPr>
          <w:sz w:val="20"/>
          <w:szCs w:val="20"/>
          <w:color w:val="auto"/>
        </w:rPr>
      </w:pPr>
    </w:p>
    <w:p>
      <w:pPr>
        <w:spacing w:after="0"/>
        <w:tabs>
          <w:tab w:leader="none" w:pos="660" w:val="left"/>
          <w:tab w:leader="none" w:pos="5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Harsha G. Marti</w:t>
      </w:r>
      <w:r>
        <w:rPr>
          <w:sz w:val="20"/>
          <w:szCs w:val="20"/>
          <w:color w:val="auto"/>
        </w:rPr>
        <w:tab/>
      </w:r>
      <w:r>
        <w:rPr>
          <w:rFonts w:ascii="Times New Roman" w:cs="Times New Roman" w:eastAsia="Times New Roman" w:hAnsi="Times New Roman"/>
          <w:sz w:val="18"/>
          <w:szCs w:val="18"/>
          <w:color w:val="auto"/>
        </w:rPr>
        <w:t>Date: 12/05/2025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3533775</wp:posOffset>
            </wp:positionH>
            <wp:positionV relativeFrom="paragraph">
              <wp:posOffset>-8890</wp:posOffset>
            </wp:positionV>
            <wp:extent cx="8705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870585" cy="8255"/>
                    </a:xfrm>
                    <a:prstGeom prst="rect">
                      <a:avLst/>
                    </a:prstGeom>
                    <a:noFill/>
                  </pic:spPr>
                </pic:pic>
              </a:graphicData>
            </a:graphic>
          </wp:anchor>
        </w:drawing>
      </w:r>
    </w:p>
    <w:p>
      <w:pPr>
        <w:spacing w:after="0" w:line="13" w:lineRule="exact"/>
        <w:rPr>
          <w:sz w:val="20"/>
          <w:szCs w:val="20"/>
          <w:color w:val="auto"/>
        </w:rPr>
      </w:pPr>
    </w:p>
    <w:p>
      <w:pPr>
        <w:ind w:right="6939" w:firstLine="686"/>
        <w:spacing w:after="0" w:line="258" w:lineRule="auto"/>
        <w:tabs>
          <w:tab w:leader="none" w:pos="90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of Reporting Person Name: Harsha G. Marti</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WARBURG PINCUS LLC</w:t>
      </w:r>
    </w:p>
    <w:p>
      <w:pPr>
        <w:spacing w:after="0" w:line="221" w:lineRule="exact"/>
        <w:rPr>
          <w:sz w:val="20"/>
          <w:szCs w:val="20"/>
          <w:color w:val="auto"/>
        </w:rPr>
      </w:pPr>
    </w:p>
    <w:p>
      <w:pPr>
        <w:spacing w:after="0"/>
        <w:tabs>
          <w:tab w:leader="none" w:pos="660" w:val="left"/>
          <w:tab w:leader="none" w:pos="5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Harsha G. Marti</w:t>
      </w:r>
      <w:r>
        <w:rPr>
          <w:sz w:val="20"/>
          <w:szCs w:val="20"/>
          <w:color w:val="auto"/>
        </w:rPr>
        <w:tab/>
      </w:r>
      <w:r>
        <w:rPr>
          <w:rFonts w:ascii="Times New Roman" w:cs="Times New Roman" w:eastAsia="Times New Roman" w:hAnsi="Times New Roman"/>
          <w:sz w:val="18"/>
          <w:szCs w:val="18"/>
          <w:color w:val="auto"/>
        </w:rPr>
        <w:t>Date: 12/05/2025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-8890</wp:posOffset>
            </wp:positionV>
            <wp:extent cx="8705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870585" cy="8255"/>
                    </a:xfrm>
                    <a:prstGeom prst="rect">
                      <a:avLst/>
                    </a:prstGeom>
                    <a:noFill/>
                  </pic:spPr>
                </pic:pic>
              </a:graphicData>
            </a:graphic>
          </wp:anchor>
        </w:drawing>
      </w:r>
    </w:p>
    <w:p>
      <w:pPr>
        <w:spacing w:after="0" w:line="13" w:lineRule="exact"/>
        <w:rPr>
          <w:sz w:val="20"/>
          <w:szCs w:val="20"/>
          <w:color w:val="auto"/>
        </w:rPr>
      </w:pPr>
    </w:p>
    <w:p>
      <w:pPr>
        <w:ind w:right="6939" w:firstLine="686"/>
        <w:spacing w:after="0" w:line="258" w:lineRule="auto"/>
        <w:tabs>
          <w:tab w:leader="none" w:pos="90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of Reporting Person Name: Harsha G. Marti</w:t>
      </w:r>
    </w:p>
    <w:tbl>
      <w:tblPr>
        <w:tblLayout w:type="fixed"/>
        <w:tblInd w:w="0" w:type="dxa"/>
        <w:tblCellMar>
          <w:top w:w="0" w:type="dxa"/>
          <w:left w:w="0" w:type="dxa"/>
          <w:bottom w:w="0" w:type="dxa"/>
          <w:right w:w="0" w:type="dxa"/>
        </w:tblCellMar>
      </w:tblPr>
      <w:tr>
        <w:trPr>
          <w:trHeight w:val="2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Managing Director and General Counsel</w:t>
            </w:r>
          </w:p>
        </w:tc>
        <w:tc>
          <w:tcPr>
            <w:tcW w:w="1360" w:type="dxa"/>
            <w:vAlign w:val="bottom"/>
          </w:tcPr>
          <w:p>
            <w:pPr>
              <w:spacing w:after="0"/>
              <w:rPr>
                <w:sz w:val="20"/>
                <w:szCs w:val="20"/>
                <w:color w:val="auto"/>
              </w:rPr>
            </w:pPr>
          </w:p>
        </w:tc>
      </w:tr>
      <w:tr>
        <w:trPr>
          <w:trHeight w:val="621"/>
        </w:trPr>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WARBURG PINCUS PARTNERS GP, LLC</w:t>
            </w:r>
          </w:p>
        </w:tc>
        <w:tc>
          <w:tcPr>
            <w:tcW w:w="1360" w:type="dxa"/>
            <w:vAlign w:val="bottom"/>
          </w:tcPr>
          <w:p>
            <w:pPr>
              <w:spacing w:after="0"/>
              <w:rPr>
                <w:sz w:val="24"/>
                <w:szCs w:val="24"/>
                <w:color w:val="auto"/>
              </w:rPr>
            </w:pPr>
          </w:p>
        </w:tc>
      </w:tr>
      <w:tr>
        <w:trPr>
          <w:trHeight w:val="4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1360" w:type="dxa"/>
            <w:vAlign w:val="bottom"/>
          </w:tcPr>
          <w:p>
            <w:pPr>
              <w:spacing w:after="0"/>
              <w:rPr>
                <w:sz w:val="24"/>
                <w:szCs w:val="24"/>
                <w:color w:val="auto"/>
              </w:rPr>
            </w:pPr>
          </w:p>
        </w:tc>
      </w:tr>
      <w:tr>
        <w:trPr>
          <w:trHeight w:val="192"/>
        </w:trPr>
        <w:tc>
          <w:tcPr>
            <w:tcW w:w="5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By:</w:t>
            </w:r>
          </w:p>
        </w:tc>
        <w:tc>
          <w:tcPr>
            <w:tcW w:w="4940" w:type="dxa"/>
            <w:vAlign w:val="bottom"/>
            <w:gridSpan w:val="3"/>
          </w:tcPr>
          <w:p>
            <w:pPr>
              <w:ind w:left="140"/>
              <w:spacing w:after="0" w:line="192" w:lineRule="exact"/>
              <w:rPr>
                <w:sz w:val="20"/>
                <w:szCs w:val="20"/>
                <w:color w:val="auto"/>
              </w:rPr>
            </w:pPr>
            <w:r>
              <w:rPr>
                <w:rFonts w:ascii="Times New Roman" w:cs="Times New Roman" w:eastAsia="Times New Roman" w:hAnsi="Times New Roman"/>
                <w:sz w:val="18"/>
                <w:szCs w:val="18"/>
                <w:color w:val="auto"/>
              </w:rPr>
              <w:t>/s/ Harsha G. Marti</w:t>
            </w:r>
          </w:p>
        </w:tc>
        <w:tc>
          <w:tcPr>
            <w:tcW w:w="1360" w:type="dxa"/>
            <w:vAlign w:val="bottom"/>
          </w:tcPr>
          <w:p>
            <w:pPr>
              <w:ind w:left="80"/>
              <w:spacing w:after="0" w:line="192" w:lineRule="exact"/>
              <w:rPr>
                <w:sz w:val="20"/>
                <w:szCs w:val="20"/>
                <w:color w:val="auto"/>
              </w:rPr>
            </w:pPr>
            <w:r>
              <w:rPr>
                <w:rFonts w:ascii="Times New Roman" w:cs="Times New Roman" w:eastAsia="Times New Roman" w:hAnsi="Times New Roman"/>
                <w:sz w:val="18"/>
                <w:szCs w:val="18"/>
                <w:color w:val="auto"/>
              </w:rPr>
              <w:t>Date: 12/05/2025</w:t>
            </w:r>
          </w:p>
        </w:tc>
      </w:tr>
      <w:tr>
        <w:trPr>
          <w:trHeight w:val="20"/>
        </w:trPr>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35" w:lineRule="exact"/>
        <w:rPr>
          <w:sz w:val="20"/>
          <w:szCs w:val="20"/>
          <w:color w:val="auto"/>
        </w:rPr>
      </w:pPr>
    </w:p>
    <w:p>
      <w:pPr>
        <w:ind w:right="6939" w:firstLine="686"/>
        <w:spacing w:after="0" w:line="258" w:lineRule="auto"/>
        <w:tabs>
          <w:tab w:leader="none" w:pos="90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of Reporting Person Name: Harsha G. Marti</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Partner</w:t>
      </w:r>
    </w:p>
    <w:p>
      <w:pPr>
        <w:spacing w:after="0" w:line="17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604520</wp:posOffset>
            </wp:positionV>
            <wp:extent cx="698944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9999"/>
      </w:cols>
      <w:pgMar w:left="46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5"/>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13" Type="http://schemas.openxmlformats.org/officeDocument/2006/relationships/hyperlink" Target="http://www.sec.gov/cgi-bin/browse-edgar?action=getcompany&amp;CIK=0000929408" TargetMode="External"/><Relationship Id="rId14" Type="http://schemas.openxmlformats.org/officeDocument/2006/relationships/hyperlink" Target="http://www.sec.gov/cgi-bin/browse-edgar?action=getcompany&amp;CIK=0001822479" TargetMode="External"/><Relationship Id="rId16" Type="http://schemas.openxmlformats.org/officeDocument/2006/relationships/hyperlink" Target="http://www.sec.gov/cgi-bin/browse-edgar?action=getcompany&amp;CIK=0001550877" TargetMode="External"/><Relationship Id="rId18" Type="http://schemas.openxmlformats.org/officeDocument/2006/relationships/hyperlink" Target="http://www.sec.gov/cgi-bin/browse-edgar?action=getcompany&amp;CIK=0001554853" TargetMode="External"/><Relationship Id="rId20" Type="http://schemas.openxmlformats.org/officeDocument/2006/relationships/hyperlink" Target="http://www.sec.gov/cgi-bin/browse-edgar?action=getcompany&amp;CIK=0001554852" TargetMode="External"/><Relationship Id="rId21" Type="http://schemas.openxmlformats.org/officeDocument/2006/relationships/hyperlink" Target="http://www.sec.gov/cgi-bin/browse-edgar?action=getcompany&amp;CIK=0001658820" TargetMode="External"/><Relationship Id="rId22" Type="http://schemas.openxmlformats.org/officeDocument/2006/relationships/hyperlink" Target="http://www.sec.gov/cgi-bin/browse-edgar?action=getcompany&amp;CIK=0001555729" TargetMode="External"/><Relationship Id="rId23" Type="http://schemas.openxmlformats.org/officeDocument/2006/relationships/hyperlink" Target="http://www.sec.gov/cgi-bin/browse-edgar?action=getcompany&amp;CIK=0001162870" TargetMode="External"/><Relationship Id="rId24" Type="http://schemas.openxmlformats.org/officeDocument/2006/relationships/hyperlink" Target="http://www.sec.gov/cgi-bin/browse-edgar?action=getcompany&amp;CIK=0001621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2025-12-05T19:53:23Z</dcterms:created>
  <dcterms:modified xsi:type="dcterms:W3CDTF">2025-12-05T19:53:23Z</dcterms:modified>
</cp:coreProperties>
</file>