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333-277418</w:t>
      </w:r>
    </w:p>
    <w:p>
      <w:pPr>
        <w:spacing w:after="0" w:line="214" w:lineRule="exact"/>
        <w:rPr>
          <w:sz w:val="24"/>
          <w:szCs w:val="24"/>
          <w:color w:val="auto"/>
        </w:rPr>
      </w:pPr>
    </w:p>
    <w:tbl>
      <w:tblPr>
        <w:tblLayout w:type="fixed"/>
        <w:tblInd w:w="120" w:type="dxa"/>
        <w:tblCellMar>
          <w:top w:w="0" w:type="dxa"/>
          <w:left w:w="0" w:type="dxa"/>
          <w:bottom w:w="0" w:type="dxa"/>
          <w:right w:w="0" w:type="dxa"/>
        </w:tblCellMar>
      </w:tblPr>
      <w:tr>
        <w:trPr>
          <w:trHeight w:val="308"/>
        </w:trPr>
        <w:tc>
          <w:tcPr>
            <w:tcW w:w="180" w:type="dxa"/>
            <w:vAlign w:val="bottom"/>
            <w:vMerge w:val="restart"/>
            <w:textDirection w:val="btLr"/>
          </w:tcPr>
          <w:p>
            <w:pPr>
              <w:ind w:left="169"/>
              <w:spacing w:after="0"/>
              <w:rPr>
                <w:sz w:val="20"/>
                <w:szCs w:val="20"/>
                <w:color w:val="auto"/>
              </w:rPr>
            </w:pPr>
            <w:r>
              <w:rPr>
                <w:rFonts w:ascii="Times New Roman" w:cs="Times New Roman" w:eastAsia="Times New Roman" w:hAnsi="Times New Roman"/>
                <w:sz w:val="1"/>
                <w:szCs w:val="1"/>
                <w:b w:val="1"/>
                <w:bCs w:val="1"/>
                <w:color w:val="FF4338"/>
              </w:rPr>
              <w:t>Theinformationinthispreliminaryprospectussupplementandtheaccompanyingprospectus,relatingtoaneffectiveregistrationstatementunderthe</w:t>
            </w:r>
          </w:p>
        </w:tc>
        <w:tc>
          <w:tcPr>
            <w:tcW w:w="220" w:type="dxa"/>
            <w:vAlign w:val="bottom"/>
            <w:vMerge w:val="restart"/>
            <w:textDirection w:val="btLr"/>
          </w:tcPr>
          <w:p>
            <w:pPr>
              <w:ind w:left="209"/>
              <w:spacing w:after="0"/>
              <w:rPr>
                <w:sz w:val="20"/>
                <w:szCs w:val="20"/>
                <w:color w:val="auto"/>
              </w:rPr>
            </w:pPr>
            <w:r>
              <w:rPr>
                <w:rFonts w:ascii="Times New Roman" w:cs="Times New Roman" w:eastAsia="Times New Roman" w:hAnsi="Times New Roman"/>
                <w:sz w:val="1"/>
                <w:szCs w:val="1"/>
                <w:b w:val="1"/>
                <w:bCs w:val="1"/>
                <w:color w:val="FF4338"/>
              </w:rPr>
              <w:t>SecuritiesActof1933,asamended,isnotcompleteandmaybechanged.Thispreliminaryprospectussupplementandtheaccompanyingprospectusare</w:t>
            </w:r>
          </w:p>
        </w:tc>
        <w:tc>
          <w:tcPr>
            <w:tcW w:w="320" w:type="dxa"/>
            <w:vAlign w:val="bottom"/>
            <w:vMerge w:val="restart"/>
            <w:textDirection w:val="btLr"/>
          </w:tcPr>
          <w:p>
            <w:pPr>
              <w:ind w:left="233"/>
              <w:spacing w:after="0"/>
              <w:rPr>
                <w:sz w:val="20"/>
                <w:szCs w:val="20"/>
                <w:color w:val="auto"/>
              </w:rPr>
            </w:pPr>
            <w:r>
              <w:rPr>
                <w:rFonts w:ascii="Times New Roman" w:cs="Times New Roman" w:eastAsia="Times New Roman" w:hAnsi="Times New Roman"/>
                <w:sz w:val="1"/>
                <w:szCs w:val="1"/>
                <w:b w:val="1"/>
                <w:bCs w:val="1"/>
                <w:color w:val="FF4338"/>
              </w:rPr>
              <w:t>notanoffertosellthesesecuritiesandwearenotsolicitinganoffertobuythesesecuritiesinanyjurisdictionwheretheofferorsaleisnotpermitted.</w:t>
            </w:r>
          </w:p>
        </w:tc>
        <w:tc>
          <w:tcPr>
            <w:tcW w:w="7000" w:type="dxa"/>
            <w:vAlign w:val="bottom"/>
          </w:tcPr>
          <w:p>
            <w:pPr>
              <w:jc w:val="center"/>
              <w:ind w:left="2452"/>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MARCH 4, 2026</w:t>
            </w:r>
          </w:p>
        </w:tc>
        <w:tc>
          <w:tcPr>
            <w:tcW w:w="0" w:type="dxa"/>
            <w:vAlign w:val="bottom"/>
          </w:tcPr>
          <w:p>
            <w:pPr>
              <w:spacing w:after="0"/>
              <w:rPr>
                <w:sz w:val="1"/>
                <w:szCs w:val="1"/>
                <w:color w:val="auto"/>
              </w:rPr>
            </w:pPr>
          </w:p>
        </w:tc>
      </w:tr>
      <w:tr>
        <w:trPr>
          <w:trHeight w:val="378"/>
        </w:trPr>
        <w:tc>
          <w:tcPr>
            <w:tcW w:w="18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7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 Prospectus dated February 27, 2024)</w:t>
            </w:r>
          </w:p>
        </w:tc>
        <w:tc>
          <w:tcPr>
            <w:tcW w:w="0" w:type="dxa"/>
            <w:vAlign w:val="bottom"/>
          </w:tcPr>
          <w:p>
            <w:pPr>
              <w:spacing w:after="0"/>
              <w:rPr>
                <w:sz w:val="1"/>
                <w:szCs w:val="1"/>
                <w:color w:val="auto"/>
              </w:rPr>
            </w:pPr>
          </w:p>
        </w:tc>
      </w:tr>
      <w:tr>
        <w:trPr>
          <w:trHeight w:val="489"/>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jc w:val="center"/>
              <w:ind w:left="2472"/>
              <w:spacing w:after="0"/>
              <w:rPr>
                <w:sz w:val="20"/>
                <w:szCs w:val="20"/>
                <w:color w:val="auto"/>
              </w:rPr>
            </w:pPr>
            <w:r>
              <w:rPr>
                <w:rFonts w:ascii="Times New Roman" w:cs="Times New Roman" w:eastAsia="Times New Roman" w:hAnsi="Times New Roman"/>
                <w:sz w:val="32"/>
                <w:szCs w:val="32"/>
                <w:b w:val="1"/>
                <w:bCs w:val="1"/>
                <w:color w:val="auto"/>
              </w:rPr>
              <w:t>         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1549400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143510</wp:posOffset>
            </wp:positionV>
            <wp:extent cx="1148715"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871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980" w:right="900" w:firstLine="371"/>
        <w:spacing w:after="0" w:line="261" w:lineRule="auto"/>
        <w:rPr>
          <w:sz w:val="20"/>
          <w:szCs w:val="20"/>
          <w:color w:val="auto"/>
        </w:rPr>
      </w:pPr>
      <w:r>
        <w:rPr>
          <w:rFonts w:ascii="Times New Roman" w:cs="Times New Roman" w:eastAsia="Times New Roman" w:hAnsi="Times New Roman"/>
          <w:sz w:val="18"/>
          <w:szCs w:val="18"/>
          <w:color w:val="auto"/>
        </w:rPr>
        <w:t>The selling stockholders of Sotera Health Company identified in this prospectus supplement are offering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w:t>
      </w:r>
    </w:p>
    <w:p>
      <w:pPr>
        <w:spacing w:after="0" w:line="180" w:lineRule="exact"/>
        <w:rPr>
          <w:sz w:val="24"/>
          <w:szCs w:val="24"/>
          <w:color w:val="auto"/>
        </w:rPr>
      </w:pPr>
    </w:p>
    <w:p>
      <w:pPr>
        <w:ind w:left="980" w:right="1320" w:firstLine="371"/>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(“Nasdaq”) under the symbol “SHC.” On March 4, 2026, the last reported sale price of our common stock on Nasdaq was $15.76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200025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980" w:right="1100" w:firstLine="37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S-12 of this prospectus supplement and in the documents incorporated by reference into this prospectus supplement to read about factors you should consider before deciding to invest in our common stock.</w:t>
      </w:r>
    </w:p>
    <w:p>
      <w:pPr>
        <w:spacing w:after="0" w:line="181" w:lineRule="exact"/>
        <w:rPr>
          <w:sz w:val="24"/>
          <w:szCs w:val="24"/>
          <w:color w:val="auto"/>
        </w:rPr>
      </w:pPr>
    </w:p>
    <w:p>
      <w:pPr>
        <w:jc w:val="both"/>
        <w:ind w:left="980" w:right="9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ind w:left="980" w:right="1040" w:firstLine="371"/>
        <w:spacing w:after="0" w:line="256" w:lineRule="auto"/>
        <w:rPr>
          <w:sz w:val="20"/>
          <w:szCs w:val="20"/>
          <w:color w:val="auto"/>
        </w:rPr>
      </w:pPr>
      <w:r>
        <w:rPr>
          <w:rFonts w:ascii="Times New Roman" w:cs="Times New Roman" w:eastAsia="Times New Roman" w:hAnsi="Times New Roman"/>
          <w:sz w:val="18"/>
          <w:szCs w:val="18"/>
          <w:color w:val="auto"/>
        </w:rPr>
        <w:t>The underwriter has agreed to purchase the common stock from the selling stockholders at a price equal to $        per share, which will result in $        of proceeds to the selling stockholders, before expenses. The underwriter may offer our common stock purchased from the selling stockholders from time to time in one or more transactions on Nasdaq, in the over-the-counter market or through negotiated transactions at market prices or at negotiated prices. The underwriter may offer shares of common stock for sale at different prices at the same time. See “Underwriting” for a description of compensation payable to the underwriter.</w:t>
      </w:r>
    </w:p>
    <w:p>
      <w:pPr>
        <w:spacing w:after="0" w:line="18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565785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The date of this prospectus supplement is       </w:t>
      </w:r>
      <w:r>
        <w:rPr>
          <w:sz w:val="20"/>
          <w:szCs w:val="20"/>
          <w:color w:val="auto"/>
        </w:rPr>
        <w:tab/>
      </w:r>
      <w:r>
        <w:rPr>
          <w:rFonts w:ascii="Times New Roman" w:cs="Times New Roman" w:eastAsia="Times New Roman" w:hAnsi="Times New Roman"/>
          <w:sz w:val="17"/>
          <w:szCs w:val="17"/>
          <w:b w:val="1"/>
          <w:bCs w:val="1"/>
          <w:color w:val="auto"/>
        </w:rPr>
        <w:t>,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8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1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340" w:type="dxa"/>
            <w:vAlign w:val="bottom"/>
            <w:gridSpan w:val="5"/>
          </w:tcPr>
          <w:p>
            <w:pPr>
              <w:spacing w:after="0"/>
              <w:rPr>
                <w:sz w:val="16"/>
                <w:szCs w:val="16"/>
                <w:color w:val="auto"/>
              </w:rPr>
            </w:pPr>
          </w:p>
        </w:tc>
        <w:tc>
          <w:tcPr>
            <w:tcW w:w="2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720" w:type="dxa"/>
            <w:vAlign w:val="bottom"/>
            <w:tcBorders>
              <w:top w:val="single" w:sz="8" w:color="0000EE"/>
            </w:tcBorders>
            <w:gridSpan w:val="9"/>
          </w:tcPr>
          <w:p>
            <w:pPr>
              <w:spacing w:after="0"/>
              <w:rPr>
                <w:sz w:val="17"/>
                <w:szCs w:val="17"/>
                <w:color w:val="auto"/>
              </w:rPr>
            </w:pPr>
          </w:p>
        </w:tc>
        <w:tc>
          <w:tcPr>
            <w:tcW w:w="6140" w:type="dxa"/>
            <w:vAlign w:val="bottom"/>
            <w:gridSpan w:val="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500" w:type="dxa"/>
            <w:vAlign w:val="bottom"/>
            <w:gridSpan w:val="1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HISTORICAL CONSOLIDATED FINANCIAL AND OTHER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60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5360" w:type="dxa"/>
            <w:vAlign w:val="bottom"/>
            <w:tcBorders>
              <w:top w:val="single" w:sz="8" w:color="0000EE"/>
            </w:tcBorders>
            <w:gridSpan w:val="12"/>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S-34</w:t>
            </w:r>
          </w:p>
        </w:tc>
      </w:tr>
      <w:tr>
        <w:trPr>
          <w:trHeight w:val="196"/>
        </w:trPr>
        <w:tc>
          <w:tcPr>
            <w:tcW w:w="3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180" w:type="dxa"/>
            <w:vAlign w:val="bottom"/>
          </w:tcPr>
          <w:p>
            <w:pPr>
              <w:spacing w:after="0"/>
              <w:rPr>
                <w:sz w:val="24"/>
                <w:szCs w:val="24"/>
                <w:color w:val="auto"/>
              </w:rPr>
            </w:pPr>
          </w:p>
        </w:tc>
      </w:tr>
      <w:tr>
        <w:trPr>
          <w:trHeight w:val="418"/>
        </w:trPr>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740" w:type="dxa"/>
            <w:vAlign w:val="bottom"/>
            <w:gridSpan w:val="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20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840" w:type="dxa"/>
            <w:vAlign w:val="bottom"/>
            <w:gridSpan w:val="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w:t>
      </w:r>
    </w:p>
    <w:p>
      <w:pPr>
        <w:spacing w:after="0" w:line="183"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supplement, the accompanying prospectus and any free writing prospectus prepared by or on behalf of us, together with the additional information described under the heading “Where You Can Find More Information.”</w:t>
      </w:r>
    </w:p>
    <w:p>
      <w:pPr>
        <w:spacing w:after="0" w:line="155" w:lineRule="exact"/>
        <w:rPr>
          <w:sz w:val="20"/>
          <w:szCs w:val="20"/>
          <w:color w:val="auto"/>
        </w:rPr>
      </w:pPr>
    </w:p>
    <w:p>
      <w:pPr>
        <w:jc w:val="both"/>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w:t>
      </w:r>
    </w:p>
    <w:p>
      <w:pPr>
        <w:spacing w:after="0" w:line="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in this prospectus supplement.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1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4189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2025 (the “Annual Report”).</w:t>
      </w:r>
    </w:p>
    <w:p>
      <w:pPr>
        <w:spacing w:after="0" w:line="1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2025,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200"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are a trusted partner to customers in over 50 countries. We strive to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62 facilities worldwide, we have over 3,000 employees who are dedicated to safety and quality.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9100 South Hills Boulevard, Suite 300, Broadview Heights, Ohio 44147.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telephone number is (440) 262-1410.</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256" w:lineRule="exact"/>
        <w:rPr>
          <w:sz w:val="20"/>
          <w:szCs w:val="20"/>
          <w:color w:val="auto"/>
        </w:rPr>
      </w:pPr>
    </w:p>
    <w:p>
      <w:pPr>
        <w:ind w:left="300" w:right="860"/>
        <w:spacing w:after="0" w:line="406" w:lineRule="auto"/>
        <w:rPr>
          <w:sz w:val="20"/>
          <w:szCs w:val="20"/>
          <w:color w:val="auto"/>
        </w:rPr>
      </w:pPr>
      <w:r>
        <w:rPr>
          <w:rFonts w:ascii="Times New Roman" w:cs="Times New Roman" w:eastAsia="Times New Roman" w:hAnsi="Times New Roman"/>
          <w:sz w:val="18"/>
          <w:szCs w:val="18"/>
          <w:color w:val="auto"/>
        </w:rPr>
        <w:t>Common stock offered by the selling stockholders Selling stockholders</w:t>
      </w:r>
    </w:p>
    <w:p>
      <w:pPr>
        <w:spacing w:after="0" w:line="2" w:lineRule="exact"/>
        <w:rPr>
          <w:sz w:val="20"/>
          <w:szCs w:val="20"/>
          <w:color w:val="auto"/>
        </w:rPr>
      </w:pPr>
    </w:p>
    <w:p>
      <w:pPr>
        <w:ind w:left="300" w:right="800"/>
        <w:spacing w:after="0" w:line="438"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200" w:lineRule="exact"/>
        <w:rPr>
          <w:sz w:val="20"/>
          <w:szCs w:val="20"/>
          <w:color w:val="auto"/>
        </w:rPr>
      </w:pPr>
    </w:p>
    <w:p>
      <w:pPr>
        <w:spacing w:after="0" w:line="3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Recent developments affecting Sponsor rights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“Selling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284,392,079 shares.</w:t>
      </w:r>
    </w:p>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common stock in this offering. We will not receive any proceeds from the sale of shares of common stock by the selling stockholders.</w:t>
      </w:r>
    </w:p>
    <w:p>
      <w:pPr>
        <w:spacing w:after="0" w:line="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affiliates of Warburg Pincus LLC (“Warburg Pincus”) and GTCR LLC (“GTCR” and, together with Warburg Pincus, collectively, the “Sponsors”) have special rights relating to our corporate governance. For more information, see “Certain Sponsor Rights” in our Definitive Proxy Statement on Schedule 14A, which is incorporated by reference in this prospectus supplement. As a result of the Sponsors’ offering of our common stock that closed on September 6, 2024, the Sponsors ceased to own a majority of our outstanding common stock, which affects certain of these rights, and related matters. In particular, as a result of the Sponsors ceasing to own a majority of our outstanding common stock:</w:t>
      </w:r>
    </w:p>
    <w:p>
      <w:pPr>
        <w:spacing w:after="0" w:line="100" w:lineRule="exact"/>
        <w:rPr>
          <w:sz w:val="20"/>
          <w:szCs w:val="20"/>
          <w:color w:val="auto"/>
        </w:rPr>
      </w:pPr>
    </w:p>
    <w:p>
      <w:pPr>
        <w:jc w:val="both"/>
        <w:ind w:left="400" w:right="40" w:hanging="188"/>
        <w:spacing w:after="0" w:line="266"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 longer qualify as a “controlled company” within the meaning of the Nasdaq corporate governance standards (although we have not availed ourselves of related exemptions).</w:t>
      </w:r>
    </w:p>
    <w:p>
      <w:pPr>
        <w:spacing w:after="0" w:line="81" w:lineRule="exact"/>
        <w:rPr>
          <w:rFonts w:ascii="Times New Roman" w:cs="Times New Roman" w:eastAsia="Times New Roman" w:hAnsi="Times New Roman"/>
          <w:sz w:val="18"/>
          <w:szCs w:val="18"/>
          <w:color w:val="auto"/>
        </w:rPr>
      </w:pPr>
    </w:p>
    <w:p>
      <w:pPr>
        <w:ind w:left="400" w:hanging="188"/>
        <w:spacing w:after="0" w:line="266"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our amended and restated certificate of incorporation and amended and restated bylaws requires a 66 2/3% majority approval (in place of a simple majority).</w:t>
      </w:r>
    </w:p>
    <w:p>
      <w:pPr>
        <w:spacing w:after="0" w:line="81" w:lineRule="exact"/>
        <w:rPr>
          <w:rFonts w:ascii="Times New Roman" w:cs="Times New Roman" w:eastAsia="Times New Roman" w:hAnsi="Times New Roman"/>
          <w:sz w:val="18"/>
          <w:szCs w:val="18"/>
          <w:color w:val="auto"/>
        </w:rPr>
      </w:pPr>
    </w:p>
    <w:p>
      <w:pPr>
        <w:ind w:left="400" w:right="60" w:hanging="188"/>
        <w:spacing w:after="0" w:line="266"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stockholders which could have been taken without prior notice and not at an annual or special meeting of stockholders now require such notice and forum.</w:t>
      </w:r>
    </w:p>
    <w:p>
      <w:pPr>
        <w:spacing w:after="0" w:line="81" w:lineRule="exact"/>
        <w:rPr>
          <w:rFonts w:ascii="Times New Roman" w:cs="Times New Roman" w:eastAsia="Times New Roman" w:hAnsi="Times New Roman"/>
          <w:sz w:val="18"/>
          <w:szCs w:val="18"/>
          <w:color w:val="auto"/>
        </w:rPr>
      </w:pPr>
    </w:p>
    <w:p>
      <w:pPr>
        <w:ind w:left="400" w:hanging="188"/>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calling of special meetings of stockholders is limited.</w:t>
      </w:r>
    </w:p>
    <w:p>
      <w:pPr>
        <w:spacing w:after="0" w:line="130" w:lineRule="exact"/>
        <w:rPr>
          <w:rFonts w:ascii="Times New Roman" w:cs="Times New Roman" w:eastAsia="Times New Roman" w:hAnsi="Times New Roman"/>
          <w:sz w:val="18"/>
          <w:szCs w:val="18"/>
          <w:color w:val="auto"/>
        </w:rPr>
      </w:pPr>
    </w:p>
    <w:p>
      <w:pPr>
        <w:ind w:left="400" w:right="160" w:hanging="188"/>
        <w:spacing w:after="0" w:line="266"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for cause of directors designated by the Sponsors requires the affirmative vote of at least 75% of the voting power of our outstanding common stock.</w:t>
      </w:r>
    </w:p>
    <w:p>
      <w:pPr>
        <w:spacing w:after="0" w:line="81" w:lineRule="exact"/>
        <w:rPr>
          <w:rFonts w:ascii="Times New Roman" w:cs="Times New Roman" w:eastAsia="Times New Roman" w:hAnsi="Times New Roman"/>
          <w:sz w:val="18"/>
          <w:szCs w:val="18"/>
          <w:color w:val="auto"/>
        </w:rPr>
      </w:pPr>
    </w:p>
    <w:p>
      <w:pPr>
        <w:ind w:left="400" w:right="140" w:hanging="188"/>
        <w:spacing w:after="0" w:line="261"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“Risk Factors – Risks Related to the Offering and Our Common Stock” — “If the ownership of our common stock continues to be highly concentrated, it may prevent minority stockholders from influencing significant corporate</w:t>
      </w:r>
    </w:p>
    <w:p>
      <w:pPr>
        <w:spacing w:after="0" w:line="200"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spacing w:after="0" w:line="1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920"/>
          </w:cols>
          <w:pgMar w:left="320" w:top="455" w:right="6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2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decisions and may result in conflicts of interest” and “Anti-takeover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provisions in our amended and restated certificate of incorporation,</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amended and restated bylaws and our Stockholders’ Agreement, as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well as Delaware law, could discourage a change in control of our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company or a change in our management.” Additionally, the number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of directors that each of the Sponsors is entitled to designate for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election to our board of directors declines as that Sponsor’s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ownership of our shares falls below set percentage thresholds. See</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“Certain Sponsor Rights” in our Definitive Proxy Statement on</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Schedule 14A, which is incorporated by reference in this prospectus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supplement. As a result of the Sponsors’ most recent offering of our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common stock that closed on November 10, 2025, the number of our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directors that GTCR is entitled to designate was reduced from two to</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one, and the number of directors that Warburg Pincus is entitled to</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designate was reduced from three to two. The number of directors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that the Sponsors are entitled to designate will be further reduced as a</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result of this offering if it causes a Sponsor’s ownership to fall</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beneath a relevant threshold. In particular, if GTCR’s ownership falls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below 10% of the amount of our common stock that it held</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immediately following our IPO or Warburg Pincus’ ownership falls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below 20% of the amount of our common stock that it held</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immediately following our IPO, the number of our directors that</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each Sponsor will be entitled to designate will be reduced.</w:t>
      </w:r>
    </w:p>
    <w:p>
      <w:pPr>
        <w:sectPr>
          <w:pgSz w:w="11900" w:h="16838" w:orient="portrait"/>
          <w:cols w:equalWidth="0" w:num="1">
            <w:col w:w="10940"/>
          </w:cols>
          <w:pgMar w:left="320" w:top="455" w:right="639" w:bottom="1440" w:gutter="0" w:footer="0" w:header="0"/>
        </w:sectPr>
      </w:pP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currently do not expect to pay dividends on our common stock. Instead, we anticipate that all of our earnings in the foreseeable future will be used for the operation and growth of our business and the repayment of indebtedness. See “Dividend Policy.”</w:t>
      </w:r>
    </w:p>
    <w:p>
      <w:pPr>
        <w:spacing w:after="0" w:line="85" w:lineRule="exact"/>
        <w:rPr>
          <w:sz w:val="20"/>
          <w:szCs w:val="20"/>
          <w:color w:val="auto"/>
        </w:rPr>
      </w:pPr>
    </w:p>
    <w:p>
      <w:pPr>
        <w:sectPr>
          <w:pgSz w:w="11900" w:h="16838" w:orient="portrait"/>
          <w:cols w:equalWidth="0" w:num="2">
            <w:col w:w="4780" w:space="720"/>
            <w:col w:w="544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 discussion of factors you should carefully consider before deciding to invest in our common stock.</w:t>
      </w:r>
    </w:p>
    <w:p>
      <w:pPr>
        <w:spacing w:after="0" w:line="81" w:lineRule="exact"/>
        <w:rPr>
          <w:sz w:val="20"/>
          <w:szCs w:val="20"/>
          <w:color w:val="auto"/>
        </w:rPr>
      </w:pPr>
    </w:p>
    <w:p>
      <w:pPr>
        <w:sectPr>
          <w:pgSz w:w="11900" w:h="16838" w:orient="portrait"/>
          <w:cols w:equalWidth="0" w:num="2">
            <w:col w:w="4780" w:space="720"/>
            <w:col w:w="544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“SHC”</w:t>
      </w:r>
    </w:p>
    <w:p>
      <w:pPr>
        <w:spacing w:after="0" w:line="200" w:lineRule="exact"/>
        <w:rPr>
          <w:sz w:val="20"/>
          <w:szCs w:val="20"/>
          <w:color w:val="auto"/>
        </w:rPr>
      </w:pPr>
    </w:p>
    <w:p>
      <w:pPr>
        <w:sectPr>
          <w:pgSz w:w="11900" w:h="16838" w:orient="portrait"/>
          <w:cols w:equalWidth="0" w:num="2">
            <w:col w:w="4780" w:space="720"/>
            <w:col w:w="5440"/>
          </w:cols>
          <w:pgMar w:left="320" w:top="455" w:right="639" w:bottom="1440" w:gutter="0" w:footer="0" w:header="0"/>
          <w:type w:val="continuous"/>
        </w:sectPr>
      </w:pPr>
    </w:p>
    <w:p>
      <w:pPr>
        <w:spacing w:after="0" w:line="3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noted, the number of shares of common stock to be outstanding after the offering is based on 284,392,079 shares of common stock outstanding as of February 17, 2026 and excludes as of such date:</w:t>
      </w:r>
    </w:p>
    <w:p>
      <w:pPr>
        <w:spacing w:after="0" w:line="67" w:lineRule="exact"/>
        <w:rPr>
          <w:sz w:val="20"/>
          <w:szCs w:val="20"/>
          <w:color w:val="auto"/>
        </w:rPr>
      </w:pPr>
    </w:p>
    <w:p>
      <w:pPr>
        <w:ind w:left="1240" w:right="18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6,841,193 shares of common stock issuable upon the exercise of outstanding options as of December 31, 2025, with a weighted average exercise price of $14.80 per share (provided that 21,097 shares of common stock are no longer issuable upon the exercise of outstanding options due to</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29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2129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forfeitures subsequent to December 31, 2025, such forfeited options having a weighted-average exercise price of $21.49 per share);</w:t>
      </w:r>
    </w:p>
    <w:p>
      <w:pPr>
        <w:spacing w:after="0" w:line="131" w:lineRule="exact"/>
        <w:rPr>
          <w:sz w:val="20"/>
          <w:szCs w:val="20"/>
          <w:color w:val="auto"/>
        </w:rPr>
      </w:pPr>
    </w:p>
    <w:p>
      <w:pPr>
        <w:ind w:left="1240" w:right="6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3,265,743 shares issuable pursuant to restricted stock units (“RSUs”) and performance stock units (“PSUs”) outstanding as of December 31, 2025, of which:</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4,253 shares of common stock that have ceased to be issuable due to forfeitures of RSUs and PSUs subsequent to December 31, 2025;</w:t>
      </w:r>
    </w:p>
    <w:p>
      <w:pPr>
        <w:spacing w:after="0" w:line="130" w:lineRule="exact"/>
        <w:rPr>
          <w:rFonts w:ascii="Times New Roman" w:cs="Times New Roman" w:eastAsia="Times New Roman" w:hAnsi="Times New Roman"/>
          <w:sz w:val="18"/>
          <w:szCs w:val="18"/>
          <w:color w:val="auto"/>
        </w:rPr>
      </w:pPr>
    </w:p>
    <w:p>
      <w:pPr>
        <w:ind w:left="1640" w:hanging="289"/>
        <w:spacing w:after="0" w:line="261"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10,833 such shares of common stock that have ceased to be issuable due to the vesting and settlement of RSUs subsequent to December 31, 2025 (and any shares of common stock that are outstanding following the satisfaction of tax withholding obligations in respect of such vested RSUs are included in the number of shares of common stock outstanding as of February 17, 2026 set forth above); and</w:t>
      </w:r>
    </w:p>
    <w:p>
      <w:pPr>
        <w:spacing w:after="0" w:line="85"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5,437 such shares of common stock that were released net of taxes between December 31, 2025 and February 17, 2026; and</w:t>
      </w:r>
    </w:p>
    <w:p>
      <w:pPr>
        <w:spacing w:after="0" w:line="130" w:lineRule="exact"/>
        <w:rPr>
          <w:rFonts w:ascii="Times New Roman" w:cs="Times New Roman" w:eastAsia="Times New Roman" w:hAnsi="Times New Roman"/>
          <w:sz w:val="18"/>
          <w:szCs w:val="18"/>
          <w:color w:val="auto"/>
        </w:rPr>
      </w:pPr>
    </w:p>
    <w:p>
      <w:pPr>
        <w:ind w:left="1640" w:right="240" w:hanging="289"/>
        <w:spacing w:after="0" w:line="282"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13,837,899 additional shares of common stock reserved for future awards under our 2020 Omnibus Incentive Plan (the “2020 Plan”).</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2025, 2024 and 2023 and the summary historical balance sheet data as of December 31, 2025 and December 31, 2024 have been derived from our audited consolidated financial statements incorporated by reference from our Annual Report.</w:t>
      </w:r>
    </w:p>
    <w:p>
      <w:pPr>
        <w:spacing w:after="0" w:line="180" w:lineRule="exact"/>
        <w:rPr>
          <w:sz w:val="20"/>
          <w:szCs w:val="20"/>
          <w:color w:val="auto"/>
        </w:rPr>
      </w:pPr>
    </w:p>
    <w:p>
      <w:pPr>
        <w:ind w:left="300" w:right="480" w:firstLine="426"/>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Our historical results are not necessarily indicative of our results in any future period.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except per share amounts)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995,756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941,822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1,163,617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1,100,441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1,049,288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456,311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418,611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61,772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58,603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53,519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645,534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602,295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30,738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62,039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63,799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24,168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Illinois EO litigation settlements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64,943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69,557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 (net of taxes of $600, $2,804 and $(3,420), respectively)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$ 2,386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8,462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(net of taxes of $(718), $(1,856) and $(5,467), respectively)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98,115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(118,635)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80" w:type="dxa"/>
            <w:vAlign w:val="bottom"/>
            <w:tcBorders>
              <w:bottom w:val="single" w:sz="8" w:color="auto"/>
            </w:tcBorders>
          </w:tcPr>
          <w:p>
            <w:pPr>
              <w:spacing w:after="0"/>
              <w:rPr>
                <w:sz w:val="15"/>
                <w:szCs w:val="15"/>
                <w:color w:val="auto"/>
              </w:rPr>
            </w:pPr>
          </w:p>
        </w:tc>
        <w:tc>
          <w:tcPr>
            <w:tcW w:w="7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716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S-7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vMerge w:val="continue"/>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287,195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(147,732)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(135,144)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(178,996)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(214,906)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(100,534)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Net Income</w:t>
            </w:r>
            <w:r>
              <w:rPr>
                <w:rFonts w:ascii="Times New Roman" w:cs="Times New Roman" w:eastAsia="Times New Roman" w:hAnsi="Times New Roman"/>
                <w:sz w:val="25"/>
                <w:szCs w:val="25"/>
                <w:color w:val="auto"/>
                <w:vertAlign w:val="superscript"/>
              </w:rPr>
              <w:t>(a)</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(a)</w:t>
            </w: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720" w:right="60" w:hanging="422"/>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(as defined below), to Adjusted Net Income and Adjusted EBITDA, see “ —Non-GAAP Financial Measures.”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8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96"/>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(a)</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344,621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277,242</w:t>
            </w:r>
          </w:p>
        </w:tc>
        <w:tc>
          <w:tcPr>
            <w:tcW w:w="6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(b)</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363,826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335,035</w:t>
            </w:r>
          </w:p>
        </w:tc>
        <w:tc>
          <w:tcPr>
            <w:tcW w:w="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6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less unamortized debt issuance costs and debt discounts)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2,140,697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2,222,903</w:t>
            </w:r>
          </w:p>
        </w:tc>
        <w:tc>
          <w:tcPr>
            <w:tcW w:w="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2,657,155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2,666,737</w:t>
            </w:r>
          </w:p>
        </w:tc>
        <w:tc>
          <w:tcPr>
            <w:tcW w:w="60" w:type="dxa"/>
            <w:vAlign w:val="bottom"/>
            <w:shd w:val="clear" w:color="auto" w:fill="CCEEFF"/>
          </w:tcPr>
          <w:p>
            <w:pPr>
              <w:spacing w:after="0"/>
              <w:rPr>
                <w:sz w:val="18"/>
                <w:szCs w:val="18"/>
                <w:color w:val="auto"/>
              </w:rPr>
            </w:pP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606,035</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404,911</w:t>
            </w:r>
          </w:p>
        </w:tc>
      </w:tr>
    </w:tbl>
    <w:p>
      <w:pPr>
        <w:spacing w:after="0" w:line="85"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(a)</w:t>
        <w:tab/>
        <w:t>Cash and cash equivalents excludes restricted cash.</w:t>
      </w:r>
    </w:p>
    <w:p>
      <w:pPr>
        <w:spacing w:after="0" w:line="27"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(b)</w:t>
        <w:tab/>
        <w:t>Working capital represents current assets less current liabilities.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7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770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3"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w:t>
      </w:r>
    </w:p>
    <w:p>
      <w:pPr>
        <w:spacing w:after="0" w:line="81" w:lineRule="exact"/>
        <w:rPr>
          <w:sz w:val="20"/>
          <w:szCs w:val="20"/>
          <w:color w:val="auto"/>
        </w:rPr>
      </w:pPr>
    </w:p>
    <w:p>
      <w:pPr>
        <w:ind w:left="700" w:right="80" w:hanging="307"/>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 (“ARO”);</w:t>
      </w:r>
    </w:p>
    <w:p>
      <w:pPr>
        <w:spacing w:after="0" w:line="67"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130" w:lineRule="exact"/>
        <w:rPr>
          <w:rFonts w:ascii="Times New Roman" w:cs="Times New Roman" w:eastAsia="Times New Roman" w:hAnsi="Times New Roman"/>
          <w:sz w:val="18"/>
          <w:szCs w:val="18"/>
          <w:color w:val="auto"/>
        </w:rPr>
      </w:pPr>
    </w:p>
    <w:p>
      <w:pPr>
        <w:ind w:left="700" w:right="400" w:hanging="307"/>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67"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intangible assets and investments accounted for under the equity method;</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refinancing of debt incurred in connection with refinancing or early extinguishment of long-term debt;</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secondary offering of our common stock and other shareholder activities;</w:t>
      </w:r>
    </w:p>
    <w:p>
      <w:pPr>
        <w:spacing w:after="0" w:line="130" w:lineRule="exact"/>
        <w:rPr>
          <w:rFonts w:ascii="Times New Roman" w:cs="Times New Roman" w:eastAsia="Times New Roman" w:hAnsi="Times New Roman"/>
          <w:sz w:val="18"/>
          <w:szCs w:val="18"/>
          <w:color w:val="auto"/>
        </w:rPr>
      </w:pPr>
    </w:p>
    <w:p>
      <w:pPr>
        <w:ind w:left="700" w:right="180" w:hanging="307"/>
        <w:spacing w:after="0" w:line="312" w:lineRule="auto"/>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and charges related to the litigation, settlement agreements, and other activities associated with our ethylene oxide (“EO”) sterilization facilities, including those related to Willowbrook, Illinois, Atlanta, Georgia, Santa Teresa, New Mexico and Vernon, California;</w:t>
      </w:r>
    </w:p>
    <w:p>
      <w:pPr>
        <w:spacing w:after="0" w:line="45" w:lineRule="exact"/>
        <w:rPr>
          <w:rFonts w:ascii="Times New Roman" w:cs="Times New Roman" w:eastAsia="Times New Roman" w:hAnsi="Times New Roman"/>
          <w:sz w:val="17"/>
          <w:szCs w:val="17"/>
          <w:color w:val="auto"/>
        </w:rPr>
      </w:pPr>
    </w:p>
    <w:p>
      <w:pPr>
        <w:ind w:left="700" w:right="660" w:hanging="307"/>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67" w:lineRule="exact"/>
        <w:rPr>
          <w:rFonts w:ascii="Times New Roman" w:cs="Times New Roman" w:eastAsia="Times New Roman" w:hAnsi="Times New Roman"/>
          <w:sz w:val="18"/>
          <w:szCs w:val="18"/>
          <w:color w:val="auto"/>
        </w:rPr>
      </w:pPr>
    </w:p>
    <w:p>
      <w:pPr>
        <w:ind w:left="700" w:right="120" w:hanging="307"/>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8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w:t>
            </w:r>
            <w:r>
              <w:rPr>
                <w:rFonts w:ascii="Times New Roman" w:cs="Times New Roman" w:eastAsia="Times New Roman" w:hAnsi="Times New Roman"/>
                <w:sz w:val="25"/>
                <w:szCs w:val="25"/>
                <w:color w:val="auto"/>
                <w:vertAlign w:val="superscript"/>
              </w:rPr>
              <w:t>(a)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Loss on refinancing of debt</w:t>
            </w:r>
            <w:r>
              <w:rPr>
                <w:rFonts w:ascii="Times New Roman" w:cs="Times New Roman" w:eastAsia="Times New Roman" w:hAnsi="Times New Roman"/>
                <w:sz w:val="25"/>
                <w:szCs w:val="25"/>
                <w:color w:val="auto"/>
                <w:vertAlign w:val="superscript"/>
              </w:rPr>
              <w:t>(b)</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Loss (gain) on foreign currency and derivatives not designated as hedging instruments, net</w:t>
            </w:r>
            <w:r>
              <w:rPr>
                <w:rFonts w:ascii="Times New Roman" w:cs="Times New Roman" w:eastAsia="Times New Roman" w:hAnsi="Times New Roman"/>
                <w:sz w:val="25"/>
                <w:szCs w:val="25"/>
                <w:color w:val="auto"/>
                <w:vertAlign w:val="superscript"/>
              </w:rPr>
              <w:t>(c)</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Business optimization expenses</w:t>
            </w:r>
            <w:r>
              <w:rPr>
                <w:rFonts w:ascii="Times New Roman" w:cs="Times New Roman" w:eastAsia="Times New Roman" w:hAnsi="Times New Roman"/>
                <w:sz w:val="25"/>
                <w:szCs w:val="25"/>
                <w:color w:val="auto"/>
                <w:vertAlign w:val="superscript"/>
              </w:rPr>
              <w:t>(d)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Professional services relating to EO sterilization facilities</w:t>
            </w:r>
            <w:r>
              <w:rPr>
                <w:rFonts w:ascii="Times New Roman" w:cs="Times New Roman" w:eastAsia="Times New Roman" w:hAnsi="Times New Roman"/>
                <w:sz w:val="25"/>
                <w:szCs w:val="25"/>
                <w:color w:val="auto"/>
                <w:vertAlign w:val="superscript"/>
              </w:rPr>
              <w:t>(e)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32,694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Illinois EO litigation settlements</w:t>
            </w:r>
            <w:r>
              <w:rPr>
                <w:rFonts w:ascii="Times New Roman" w:cs="Times New Roman" w:eastAsia="Times New Roman" w:hAnsi="Times New Roman"/>
                <w:sz w:val="25"/>
                <w:szCs w:val="25"/>
                <w:color w:val="auto"/>
                <w:vertAlign w:val="superscript"/>
              </w:rPr>
              <w:t>(f)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Georgia EO litigation settlement</w:t>
            </w:r>
            <w:r>
              <w:rPr>
                <w:rFonts w:ascii="Times New Roman" w:cs="Times New Roman" w:eastAsia="Times New Roman" w:hAnsi="Times New Roman"/>
                <w:sz w:val="25"/>
                <w:szCs w:val="25"/>
                <w:color w:val="auto"/>
                <w:vertAlign w:val="superscript"/>
              </w:rPr>
              <w:t>(g)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Accretion of asset retirement obligations</w:t>
            </w:r>
            <w:r>
              <w:rPr>
                <w:rFonts w:ascii="Times New Roman" w:cs="Times New Roman" w:eastAsia="Times New Roman" w:hAnsi="Times New Roman"/>
                <w:sz w:val="25"/>
                <w:szCs w:val="25"/>
                <w:color w:val="auto"/>
                <w:vertAlign w:val="superscript"/>
              </w:rPr>
              <w: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 benefit associated with pre-tax adjustments</w:t>
            </w:r>
            <w:r>
              <w:rPr>
                <w:rFonts w:ascii="Times New Roman" w:cs="Times New Roman" w:eastAsia="Times New Roman" w:hAnsi="Times New Roman"/>
                <w:sz w:val="25"/>
                <w:szCs w:val="25"/>
                <w:color w:val="auto"/>
                <w:vertAlign w:val="superscript"/>
              </w:rPr>
              <w:t>(i)</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(49,597)</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245,414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198,500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204,326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155,722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Depreciation</w:t>
            </w:r>
            <w:r>
              <w:rPr>
                <w:rFonts w:ascii="Times New Roman" w:cs="Times New Roman" w:eastAsia="Times New Roman" w:hAnsi="Times New Roman"/>
                <w:sz w:val="25"/>
                <w:szCs w:val="25"/>
                <w:color w:val="auto"/>
                <w:vertAlign w:val="superscript"/>
              </w:rPr>
              <w:t>(j)</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94,630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 provision applicable to Adjusted Net Income</w:t>
            </w:r>
            <w:r>
              <w:rPr>
                <w:rFonts w:ascii="Times New Roman" w:cs="Times New Roman" w:eastAsia="Times New Roman" w:hAnsi="Times New Roman"/>
                <w:sz w:val="25"/>
                <w:szCs w:val="25"/>
                <w:color w:val="auto"/>
                <w:vertAlign w:val="superscript"/>
              </w:rPr>
              <w:t>(k)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color w:val="auto"/>
                <w:vertAlign w:val="superscript"/>
              </w:rPr>
              <w:t>(l)</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593,801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548,574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528,029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related to employees and Non-Employee Directors.</w:t>
      </w:r>
    </w:p>
    <w:p>
      <w:pPr>
        <w:spacing w:after="0" w:line="130" w:lineRule="exact"/>
        <w:rPr>
          <w:rFonts w:ascii="Times New Roman" w:cs="Times New Roman" w:eastAsia="Times New Roman" w:hAnsi="Times New Roman"/>
          <w:sz w:val="18"/>
          <w:szCs w:val="18"/>
          <w:color w:val="auto"/>
        </w:rPr>
      </w:pPr>
    </w:p>
    <w:p>
      <w:pPr>
        <w:ind w:left="720" w:right="26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67" w:lineRule="exact"/>
        <w:rPr>
          <w:rFonts w:ascii="Times New Roman" w:cs="Times New Roman" w:eastAsia="Times New Roman" w:hAnsi="Times New Roman"/>
          <w:sz w:val="18"/>
          <w:szCs w:val="18"/>
          <w:color w:val="auto"/>
        </w:rPr>
      </w:pPr>
    </w:p>
    <w:p>
      <w:pPr>
        <w:ind w:left="720" w:right="38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and (ii) non-cash mark-to-fair value of embedded derivatives relating to certain customer and supply contracts at Nordion.</w:t>
      </w:r>
    </w:p>
    <w:p>
      <w:pPr>
        <w:spacing w:after="0" w:line="67" w:lineRule="exact"/>
        <w:rPr>
          <w:rFonts w:ascii="Times New Roman" w:cs="Times New Roman" w:eastAsia="Times New Roman" w:hAnsi="Times New Roman"/>
          <w:sz w:val="18"/>
          <w:szCs w:val="18"/>
          <w:color w:val="auto"/>
        </w:rPr>
      </w:pPr>
    </w:p>
    <w:p>
      <w:pPr>
        <w:ind w:left="720" w:right="54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spacing w:after="0" w:line="8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w:t>
      </w:r>
    </w:p>
    <w:p>
      <w:pPr>
        <w:spacing w:after="0" w:line="130" w:lineRule="exact"/>
        <w:rPr>
          <w:rFonts w:ascii="Times New Roman" w:cs="Times New Roman" w:eastAsia="Times New Roman" w:hAnsi="Times New Roman"/>
          <w:sz w:val="18"/>
          <w:szCs w:val="18"/>
          <w:color w:val="auto"/>
        </w:rPr>
      </w:pPr>
    </w:p>
    <w:p>
      <w:pPr>
        <w:ind w:left="720" w:right="2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8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79 pending EO claims in Georgia under a settlement entered into on December 21, 2023.</w:t>
      </w:r>
    </w:p>
    <w:p>
      <w:pPr>
        <w:spacing w:after="0" w:line="130" w:lineRule="exact"/>
        <w:rPr>
          <w:rFonts w:ascii="Times New Roman" w:cs="Times New Roman" w:eastAsia="Times New Roman" w:hAnsi="Times New Roman"/>
          <w:sz w:val="18"/>
          <w:szCs w:val="18"/>
          <w:color w:val="auto"/>
        </w:rPr>
      </w:pPr>
    </w:p>
    <w:p>
      <w:pPr>
        <w:ind w:left="720" w:right="16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564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1564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hanging="422"/>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67" w:lineRule="exact"/>
        <w:rPr>
          <w:rFonts w:ascii="Times New Roman" w:cs="Times New Roman" w:eastAsia="Times New Roman" w:hAnsi="Times New Roman"/>
          <w:sz w:val="18"/>
          <w:szCs w:val="18"/>
          <w:color w:val="auto"/>
        </w:rPr>
      </w:pPr>
    </w:p>
    <w:p>
      <w:pPr>
        <w:ind w:left="720" w:right="60" w:hanging="422"/>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and, for the years ended December 31, 2025 and 2024, excludes accelerated depreciation associated with business optimization activities.</w:t>
      </w:r>
    </w:p>
    <w:p>
      <w:pPr>
        <w:spacing w:after="0" w:line="67" w:lineRule="exact"/>
        <w:rPr>
          <w:rFonts w:ascii="Times New Roman" w:cs="Times New Roman" w:eastAsia="Times New Roman" w:hAnsi="Times New Roman"/>
          <w:sz w:val="18"/>
          <w:szCs w:val="18"/>
          <w:color w:val="auto"/>
        </w:rPr>
      </w:pPr>
    </w:p>
    <w:p>
      <w:pPr>
        <w:ind w:left="720" w:right="20" w:hanging="422"/>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income tax provision/benefit as determined under U.S. GAAP and the income tax provision (benefit) associated with pre-tax adjustments described in footnote (i).</w:t>
      </w:r>
    </w:p>
    <w:p>
      <w:pPr>
        <w:spacing w:after="0" w:line="67" w:lineRule="exact"/>
        <w:rPr>
          <w:rFonts w:ascii="Times New Roman" w:cs="Times New Roman" w:eastAsia="Times New Roman" w:hAnsi="Times New Roman"/>
          <w:sz w:val="18"/>
          <w:szCs w:val="18"/>
          <w:color w:val="auto"/>
        </w:rPr>
      </w:pPr>
    </w:p>
    <w:p>
      <w:pPr>
        <w:ind w:left="720" w:right="120" w:hanging="422"/>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 million, $97.1 million and $94.1 million of the adjustments for the year ended December 31, 2025, 2024 and 2023, respectively, are included in cost of revenues, primarily consisting of amortization of intangible assets, depreciation, and accretion of ARO.</w:t>
      </w:r>
    </w:p>
    <w:p>
      <w:pPr>
        <w:spacing w:after="0" w:line="2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780"/>
          </w:cols>
          <w:pgMar w:left="320" w:top="455" w:right="7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together with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w:t>
      </w:r>
    </w:p>
    <w:p>
      <w:pPr>
        <w:spacing w:after="0" w:line="85" w:lineRule="exact"/>
        <w:rPr>
          <w:sz w:val="20"/>
          <w:szCs w:val="20"/>
          <w:color w:val="auto"/>
        </w:rPr>
      </w:pPr>
    </w:p>
    <w:p>
      <w:pPr>
        <w:jc w:val="both"/>
        <w:ind w:left="54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20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252"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252"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188"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252"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costs associated with potential shareholder activism campaigns and outreach efforts; and</w:t>
      </w:r>
    </w:p>
    <w:p>
      <w:pPr>
        <w:spacing w:after="0" w:line="25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we have been named as a defendant in such a putative securities class action that was dismissed at the trial court level and is currently pending on appeal. See Note 19, “Commitments and Contingencies” to our consolidated financial statements under the heading “Sotera Health Company Securities Litigation and Related Matters” in our Annual Report on Form 10-K for the year ended December 31, 2025. Such litigation could result in substantial costs and a diversion of our management’s attention and resources.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our incentive plans, acquisitions or otherwise will dilute all other stockholdings.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February 17, 2026, we had an aggregate of 886,109,800 shares of common stock that are not currently reserved for issuance under our 2020 Plan, as well as 1,645,073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w:t>
      </w:r>
    </w:p>
    <w:p>
      <w:pPr>
        <w:spacing w:after="0" w:line="16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These restrictions apply to approximately 8,345,319 shares as of February 17, 2026, but may be waived at any time by a majority of the members of the leadership development and compensation committee of the board of directors.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supplement, the Sponsors together own approximately 20.0% of our outstanding common stock, and following completion of this offering the Sponsors will own approximately %, and have rights to require us to file registration statements covering their shares. The investment funds and entities affiliated with the Sponsors, as well as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the Sponsors may differ from the interests of other stockholders of the company.</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As of the date of this prospectus supplement, the Sponsors together own approximately 20.0% of our outstanding common stock, and following completion of this offering we expect that the Sponsors will own approximately %, and, collectively, retain the right to designate of our directors (subject to further reduction as ownership levels decrease). As a result, even after their ownership is reduced by this offering, the Sponsors will have substantial influence over all matters requiring a stockholder vote.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8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the Stockholders Agreement, as well as Delaware law, could discourage a change in control of our company or a change in our management.</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85"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540" w:right="86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540" w:right="78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w:t>
      </w:r>
    </w:p>
    <w:p>
      <w:pPr>
        <w:spacing w:after="0" w:line="67" w:lineRule="exact"/>
        <w:rPr>
          <w:rFonts w:ascii="Times New Roman" w:cs="Times New Roman" w:eastAsia="Times New Roman" w:hAnsi="Times New Roman"/>
          <w:sz w:val="18"/>
          <w:szCs w:val="18"/>
          <w:color w:val="auto"/>
        </w:rPr>
      </w:pPr>
    </w:p>
    <w:p>
      <w:pPr>
        <w:ind w:left="540" w:right="160" w:hanging="316"/>
        <w:spacing w:after="0" w:line="258"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88"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w:t>
      </w:r>
    </w:p>
    <w:p>
      <w:pPr>
        <w:spacing w:after="0" w:line="67" w:lineRule="exact"/>
        <w:rPr>
          <w:rFonts w:ascii="Times New Roman" w:cs="Times New Roman" w:eastAsia="Times New Roman" w:hAnsi="Times New Roman"/>
          <w:sz w:val="18"/>
          <w:szCs w:val="18"/>
          <w:color w:val="auto"/>
        </w:rPr>
      </w:pPr>
    </w:p>
    <w:p>
      <w:pPr>
        <w:ind w:left="540" w:right="20" w:hanging="316"/>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89" w:lineRule="exact"/>
        <w:rPr>
          <w:sz w:val="20"/>
          <w:szCs w:val="20"/>
          <w:color w:val="auto"/>
        </w:rPr>
      </w:pPr>
    </w:p>
    <w:p>
      <w:pPr>
        <w:ind w:left="540" w:right="50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and bring business before special meetings; and</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83"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our stockholders’ ability to achieve a return on their investment depends on appreciation in the price of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any documents incorporated by reference in this prospectus supplement and accompanying prospectus may contain or incorporate by reference “forward- looking statements” within the meaning of the Private Securities Litigation Reform Act of 1995. Forward- 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2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changes in environmental, health and safety regulations;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changes, including inflationary trends and the impact of tariffs,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federal government shutdowns, and other risks associated with our operations;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various applicable laws and potentially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unauthorized data disclosures, and our dependence on IT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introduction of AI technology;</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rights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profitability in future periods;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U.S. tax legislation or other changes in U.S. or non-U.S. taxation of our operations;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that certain investment funds and entities affiliated with Warburg Pincus and GTCR continue to have over us.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supplement by each of the selling stockholders covered by this prospectus supplement.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284,392,079 shares of common stock outstanding as of February 17, 2026.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5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Beneficially Owned After the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202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25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2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2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2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Held</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Investment funds and entities affiliated with Warburg Pincus</w:t>
            </w:r>
            <w:r>
              <w:rPr>
                <w:rFonts w:ascii="Times New Roman" w:cs="Times New Roman" w:eastAsia="Times New Roman" w:hAnsi="Times New Roman"/>
                <w:sz w:val="24"/>
                <w:szCs w:val="24"/>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34,102,952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11.99%</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r>
              <w:rPr>
                <w:rFonts w:ascii="Times New Roman" w:cs="Times New Roman" w:eastAsia="Times New Roman" w:hAnsi="Times New Roman"/>
                <w:sz w:val="26"/>
                <w:szCs w:val="26"/>
                <w:color w:val="auto"/>
                <w:vertAlign w:val="superscript"/>
              </w:rPr>
              <w:t>(3)</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22,735,301</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540" w:right="140" w:hanging="424"/>
        <w:spacing w:after="0" w:line="258"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spacing w:after="0" w:line="88" w:lineRule="exact"/>
        <w:rPr>
          <w:rFonts w:ascii="Times New Roman" w:cs="Times New Roman" w:eastAsia="Times New Roman" w:hAnsi="Times New Roman"/>
          <w:sz w:val="18"/>
          <w:szCs w:val="18"/>
          <w:color w:val="auto"/>
        </w:rPr>
      </w:pPr>
    </w:p>
    <w:p>
      <w:pPr>
        <w:ind w:left="540" w:right="34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27,291,923 shares held of record by Bull Holdco L.P., a Delaware limited partnership (“Bull Holdco”) and (ii) 6,811,029 shares held of record by Bull Co-Invest L.P., a Delaware limited partnership (“Bull Co-Invest”).</w:t>
      </w:r>
    </w:p>
    <w:p>
      <w:pPr>
        <w:spacing w:after="0" w:line="53" w:lineRule="exact"/>
        <w:rPr>
          <w:rFonts w:ascii="Times New Roman" w:cs="Times New Roman" w:eastAsia="Times New Roman" w:hAnsi="Times New Roman"/>
          <w:sz w:val="18"/>
          <w:szCs w:val="18"/>
          <w:color w:val="auto"/>
        </w:rPr>
      </w:pPr>
    </w:p>
    <w:p>
      <w:pPr>
        <w:ind w:left="5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rFonts w:ascii="Times New Roman" w:cs="Times New Roman" w:eastAsia="Times New Roman" w:hAnsi="Times New Roman"/>
          <w:sz w:val="18"/>
          <w:szCs w:val="18"/>
          <w:color w:val="auto"/>
        </w:rPr>
      </w:pPr>
    </w:p>
    <w:p>
      <w:pPr>
        <w:ind w:left="5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85" w:lineRule="exact"/>
        <w:rPr>
          <w:sz w:val="20"/>
          <w:szCs w:val="20"/>
          <w:color w:val="auto"/>
        </w:rPr>
      </w:pPr>
    </w:p>
    <w:p>
      <w:pPr>
        <w:ind w:left="540" w:hanging="424"/>
        <w:spacing w:after="0" w:line="253"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18,044,507 shares held of record by GTCR Fund XI/A LP, (ii) 4,546,174 shares held of record by GTCR Fund XI/C LP and (iii) 144,620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980"/>
          </w:cols>
          <w:pgMar w:left="320" w:top="455" w:right="5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w:t>
      </w:r>
    </w:p>
    <w:p>
      <w:pPr>
        <w:spacing w:after="0" w:line="19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w:t>
      </w:r>
    </w:p>
    <w:p>
      <w:pPr>
        <w:spacing w:after="0" w:line="18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the selling stockholders and Wells Fargo Securities, LLC (the “underwriter”) have entered into an underwriting agreement with respect to the shares of our common stock being offered by the selling stockholders. Subject to certain conditions, the underwriter has agreed to purchase an aggregate of shares of our common stock from the selling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 is committed to take and pay for all of the shares of our common stock being offered by the selling stockholders, if any are taken.</w:t>
      </w:r>
    </w:p>
    <w:p>
      <w:pPr>
        <w:spacing w:after="0" w:line="225"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underwriter proposes to offer the common stock from time to time for sale in one or more transactions on Nasdaq, in the over-the-counter market, through negotiated transactions or otherwise at market prices prevailing at the time of sale, at prices related to prevailing market prices or at negotiated prices, subject to receipt and acceptance by the underwriter and subject to its right to reject any order in whole or in part. The underwriter may offer shares of common stock for sale at different prices at the same time.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$500,000.</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the underwriter for a period of 30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 selling stockholders have entered into lock-up agreements with the underwriter pursuant to which each of them, subject to certain exceptions, for a period of 30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stockholders have agreed to indemnify the underwriter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 financial activities and services.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 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right="360" w:hanging="424"/>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with the transitional provisions in Article 74 (transitional provisions) of the Prospectus Amendment etc (EU Exit) Regulations 2019/1234, except that the Shares may be offered to the public in the United Kingdom at any time:</w:t>
      </w:r>
    </w:p>
    <w:p>
      <w:pPr>
        <w:spacing w:after="0" w:line="67" w:lineRule="exact"/>
        <w:rPr>
          <w:sz w:val="20"/>
          <w:szCs w:val="20"/>
          <w:color w:val="auto"/>
        </w:rPr>
      </w:pPr>
    </w:p>
    <w:p>
      <w:pPr>
        <w:jc w:val="both"/>
        <w:ind w:left="1080" w:hanging="424"/>
        <w:spacing w:after="0" w:line="289"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paragraph 15 of Schedule 1 of the POATR), subject to obtaining the prior consent of the representatives for any such offer; or</w:t>
      </w:r>
    </w:p>
    <w:p>
      <w:pPr>
        <w:spacing w:after="0" w:line="5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80" w:lineRule="exact"/>
        <w:rPr>
          <w:sz w:val="20"/>
          <w:szCs w:val="20"/>
          <w:color w:val="auto"/>
        </w:rPr>
      </w:pPr>
    </w:p>
    <w:p>
      <w:pPr>
        <w:ind w:left="120" w:right="240" w:firstLine="991"/>
        <w:spacing w:after="0" w:line="274"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73"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81"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 or</w:t>
      </w:r>
    </w:p>
    <w:p>
      <w:pPr>
        <w:spacing w:after="0" w:line="130" w:lineRule="exact"/>
        <w:rPr>
          <w:rFonts w:ascii="Times New Roman" w:cs="Times New Roman" w:eastAsia="Times New Roman" w:hAnsi="Times New Roman"/>
          <w:sz w:val="18"/>
          <w:szCs w:val="18"/>
          <w:color w:val="auto"/>
        </w:rPr>
      </w:pPr>
    </w:p>
    <w:p>
      <w:pPr>
        <w:ind w:left="120" w:right="1060" w:hanging="4"/>
        <w:spacing w:after="0" w:line="445" w:lineRule="auto"/>
        <w:tabs>
          <w:tab w:leader="none" w:pos="55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36 FinSA in connection with Article 44 of the Swiss Financial Services Ordinance; provided that no such offer of shares shall require the Company or any underwriter to publish a prospectus pursuant to Article 35 FinSA.</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have not been and will not be listed or admitted to trading on a trading venue in Switzerland.</w:t>
      </w:r>
    </w:p>
    <w:p>
      <w:pPr>
        <w:spacing w:after="0" w:line="225"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right="4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93" w:lineRule="exact"/>
        <w:rPr>
          <w:sz w:val="20"/>
          <w:szCs w:val="20"/>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540" w:right="8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5" w:lineRule="exact"/>
        <w:rPr>
          <w:sz w:val="20"/>
          <w:szCs w:val="20"/>
          <w:color w:val="auto"/>
        </w:rPr>
      </w:pPr>
    </w:p>
    <w:p>
      <w:pPr>
        <w:ind w:left="540" w:right="12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540" w:right="48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 by Simpson Thacher &amp; Bartlett LLP, New York, New York.</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580"/>
          </w:cols>
          <w:pgMar w:left="320" w:top="455"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24, 2026;</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February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any information furnished pursuant to Item 2.01 thereto);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6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10, 2025 and supplemented on </w:t>
      </w:r>
      <w:hyperlink r:id="rId62">
        <w:r>
          <w:rPr>
            <w:rFonts w:ascii="Times New Roman" w:cs="Times New Roman" w:eastAsia="Times New Roman" w:hAnsi="Times New Roman"/>
            <w:sz w:val="18"/>
            <w:szCs w:val="18"/>
            <w:u w:val="single" w:color="auto"/>
            <w:color w:val="0000EE"/>
          </w:rPr>
          <w:t>May 2, 2025</w:t>
        </w:r>
      </w:hyperlink>
      <w:r>
        <w:rPr>
          <w:rFonts w:ascii="Times New Roman" w:cs="Times New Roman" w:eastAsia="Times New Roman" w:hAnsi="Times New Roman"/>
          <w:sz w:val="18"/>
          <w:szCs w:val="18"/>
          <w:color w:val="auto"/>
        </w:rPr>
        <w:t>, as amended (solely to the extent specifically incorporated by reference into our Annual Report on Form 10-K for the fiscal year ended December 31, 2024).</w:t>
      </w:r>
    </w:p>
    <w:p>
      <w:pPr>
        <w:spacing w:after="0" w:line="176" w:lineRule="exact"/>
        <w:rPr>
          <w:rFonts w:ascii="Times New Roman" w:cs="Times New Roman" w:eastAsia="Times New Roman" w:hAnsi="Times New Roman"/>
          <w:sz w:val="18"/>
          <w:szCs w:val="18"/>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w:t>
      </w:r>
    </w:p>
    <w:p>
      <w:pPr>
        <w:spacing w:after="0" w:line="180" w:lineRule="exact"/>
        <w:rPr>
          <w:rFonts w:ascii="Times New Roman" w:cs="Times New Roman" w:eastAsia="Times New Roman" w:hAnsi="Times New Roman"/>
          <w:sz w:val="18"/>
          <w:szCs w:val="18"/>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supplement will not be sent, however, unless those exhibits have been specifically referenced in this prospectus supplement or the accompanying prospectus.</w:t>
      </w:r>
    </w:p>
    <w:p>
      <w:pPr>
        <w:spacing w:after="0" w:line="94"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97155</wp:posOffset>
            </wp:positionV>
            <wp:extent cx="1560195"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5601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our common stock, and it is not soliciting an offer to buy our common stock, in any state or other jurisdiction where the offer or sale is not permitted.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“SHC.”</w:t>
      </w:r>
    </w:p>
    <w:p>
      <w:pPr>
        <w:spacing w:after="0" w:line="212" w:lineRule="exact"/>
        <w:rPr>
          <w:sz w:val="20"/>
          <w:szCs w:val="20"/>
          <w:color w:val="auto"/>
        </w:rPr>
      </w:pPr>
    </w:p>
    <w:p>
      <w:pPr>
        <w:jc w:val="both"/>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27, 2024.</w:t>
      </w:r>
    </w:p>
    <w:p>
      <w:pPr>
        <w:sectPr>
          <w:pgSz w:w="11900" w:h="16838" w:orient="portrait"/>
          <w:cols w:equalWidth="0" w:num="1">
            <w:col w:w="11120"/>
          </w:cols>
          <w:pgMar w:left="320" w:top="455" w:right="4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5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6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w:t>
      </w:r>
    </w:p>
    <w:p>
      <w:pPr>
        <w:spacing w:after="0" w:line="9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prospectus supplement; and</w:t>
      </w:r>
    </w:p>
    <w:p>
      <w:pPr>
        <w:spacing w:after="0" w:line="130" w:lineRule="exact"/>
        <w:rPr>
          <w:rFonts w:ascii="Times New Roman" w:cs="Times New Roman" w:eastAsia="Times New Roman" w:hAnsi="Times New Roman"/>
          <w:sz w:val="18"/>
          <w:szCs w:val="18"/>
          <w:color w:val="auto"/>
        </w:rPr>
      </w:pPr>
    </w:p>
    <w:p>
      <w:pPr>
        <w:ind w:left="5600" w:right="2400" w:hanging="4944"/>
        <w:spacing w:after="0" w:line="454" w:lineRule="auto"/>
        <w:tabs>
          <w:tab w:leader="none" w:pos="10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referred to in “Where You Can Find More Information” and “Incorporation by Reference.” i</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SOTERA HEALTH COMPANY</w:t>
      </w:r>
    </w:p>
    <w:p>
      <w:pPr>
        <w:spacing w:after="0" w:line="229" w:lineRule="exact"/>
        <w:rPr>
          <w:sz w:val="20"/>
          <w:szCs w:val="20"/>
          <w:color w:val="auto"/>
        </w:rPr>
      </w:pPr>
    </w:p>
    <w:p>
      <w:pPr>
        <w:ind w:left="120" w:right="40" w:firstLine="440"/>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2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3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our dependence on information technology systems;</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any sale of our common stock described in this prospectus for our general corporate purposes.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we will not receive any proceeds from any sale of our common stock by the selling stockholders.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one class of securities, common stock, par value $0.01 per share, registered pursuant to Section 12 of the Securities Exchange Act of 1934, as amended (the “Exchange Act”).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may periodically issue shares of our common stock or other securities that can be exercised, converted or exchanged into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We are authorized to issue 1,200,000,000 shares of common stock, par value $0.01 per share, of which 282,832,200 shares were outstanding as of February 20, 2024, and 120,000,000 shares of preferred stock, par value $0.01 per share, of which no shares were outstanding as of February 20,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or Similar Rights</w:t>
      </w:r>
      <w:r>
        <w:rPr>
          <w:rFonts w:ascii="Times New Roman" w:cs="Times New Roman" w:eastAsia="Times New Roman" w:hAnsi="Times New Roman"/>
          <w:sz w:val="18"/>
          <w:szCs w:val="18"/>
          <w:color w:val="auto"/>
        </w:rPr>
        <w:t>. 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 All outstanding shares of our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amended and restated certificate of incorporation provides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r>
        <w:rPr>
          <w:rFonts w:ascii="Times New Roman" w:cs="Times New Roman" w:eastAsia="Times New Roman" w:hAnsi="Times New Roman"/>
          <w:sz w:val="17"/>
          <w:szCs w:val="17"/>
          <w:color w:val="auto"/>
        </w:rPr>
        <w:t>. Our amended and restated bylaws provide advance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 provisions</w:t>
      </w:r>
      <w:r>
        <w:rPr>
          <w:rFonts w:ascii="Times New Roman" w:cs="Times New Roman" w:eastAsia="Times New Roman" w:hAnsi="Times New Roman"/>
          <w:sz w:val="18"/>
          <w:szCs w:val="18"/>
          <w:color w:val="auto"/>
        </w:rPr>
        <w:t>. 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but unissued or undesignated capital stock</w:t>
      </w:r>
      <w:r>
        <w:rPr>
          <w:rFonts w:ascii="Times New Roman" w:cs="Times New Roman" w:eastAsia="Times New Roman" w:hAnsi="Times New Roman"/>
          <w:sz w:val="18"/>
          <w:szCs w:val="18"/>
          <w:color w:val="auto"/>
        </w:rPr>
        <w:t>. Our authorized capital stock consists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Supermajority voting on board actions</w:t>
      </w:r>
      <w:r>
        <w:rPr>
          <w:rFonts w:ascii="Times New Roman" w:cs="Times New Roman" w:eastAsia="Times New Roman" w:hAnsi="Times New Roman"/>
          <w:sz w:val="18"/>
          <w:szCs w:val="18"/>
          <w:color w:val="auto"/>
        </w:rPr>
        <w:t>. 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 or any of an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not subject to the provisions of Section 203 of the DGCL. In general, Section 203 prohibits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81" w:lineRule="exact"/>
        <w:rPr>
          <w:sz w:val="20"/>
          <w:szCs w:val="20"/>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provision. The Supreme Court of Delaware has held that this type of exclusive federal forum provision is enforceable. There may be uncertainty, however, as to whether courts of other jurisdictions would enforce such provision, if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funds and entities affiliated with Warburg</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Pincus</w:t>
            </w:r>
            <w:r>
              <w:rPr>
                <w:rFonts w:ascii="Times New Roman" w:cs="Times New Roman" w:eastAsia="Times New Roman" w:hAnsi="Times New Roman"/>
                <w:sz w:val="26"/>
                <w:szCs w:val="26"/>
                <w:color w:val="auto"/>
                <w:vertAlign w:val="superscript"/>
              </w:rPr>
              <w:t>(2)</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105,417,315</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Investment funds and entities affiliated with GTCR</w:t>
            </w:r>
            <w:r>
              <w:rPr>
                <w:rFonts w:ascii="Times New Roman" w:cs="Times New Roman" w:eastAsia="Times New Roman" w:hAnsi="Times New Roman"/>
                <w:sz w:val="25"/>
                <w:szCs w:val="25"/>
                <w:color w:val="auto"/>
                <w:vertAlign w:val="superscript"/>
              </w:rPr>
              <w:t>(3)</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70,278,209</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24.85%</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B. Petras, Jr.</w:t>
            </w:r>
            <w:r>
              <w:rPr>
                <w:rFonts w:ascii="Times New Roman" w:cs="Times New Roman" w:eastAsia="Times New Roman" w:hAnsi="Times New Roman"/>
                <w:sz w:val="25"/>
                <w:szCs w:val="25"/>
                <w:color w:val="auto"/>
                <w:vertAlign w:val="superscript"/>
              </w:rPr>
              <w:t>(4)</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8,587,855</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P. Rutz</w:t>
            </w:r>
            <w:r>
              <w:rPr>
                <w:rFonts w:ascii="Times New Roman" w:cs="Times New Roman" w:eastAsia="Times New Roman" w:hAnsi="Times New Roman"/>
                <w:sz w:val="25"/>
                <w:szCs w:val="25"/>
                <w:color w:val="auto"/>
                <w:vertAlign w:val="superscript"/>
              </w:rPr>
              <w:t>(5)</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709,336</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Ann R. Klee</w:t>
            </w:r>
            <w:r>
              <w:rPr>
                <w:rFonts w:ascii="Times New Roman" w:cs="Times New Roman" w:eastAsia="Times New Roman" w:hAnsi="Times New Roman"/>
                <w:sz w:val="25"/>
                <w:szCs w:val="25"/>
                <w:color w:val="auto"/>
                <w:vertAlign w:val="superscript"/>
              </w:rPr>
              <w:t>(6)</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76,773</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ind w:left="540" w:right="24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84,363,406 shares held of record by Bull Holdco L.P., a Delaware limited partnership (“Bull Holdco”) and (ii) 21,053,909 shares held of record by Bull Co-Invest L.P., a Delaware limited partnership (“Bull Co-Invest”).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sz w:val="20"/>
          <w:szCs w:val="20"/>
          <w:color w:val="auto"/>
        </w:rPr>
      </w:pPr>
    </w:p>
    <w:p>
      <w:pPr>
        <w:ind w:left="560" w:right="20"/>
        <w:spacing w:after="0" w:line="251" w:lineRule="auto"/>
        <w:rPr>
          <w:sz w:val="20"/>
          <w:szCs w:val="20"/>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11" w:lineRule="exact"/>
        <w:rPr>
          <w:sz w:val="20"/>
          <w:szCs w:val="20"/>
          <w:color w:val="auto"/>
        </w:rPr>
      </w:pPr>
    </w:p>
    <w:p>
      <w:pPr>
        <w:ind w:left="540" w:right="8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76,773 shares of common stock, of which 8,638 shares are restricted and remain subject to vesting.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and/or the selling stockholders may offer and sell the securities covered by this prospectus from time to time, in one or more or any combination of the following transactions:</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filed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securities at a stipulated price per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including in a block trade in which a broker-dealer will attempt to sell the offered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offering of securities covered by this prospectus is made, a revised prospectus or prospectus supplement, if required, will set forth the amount of securities covered by this prospectus being offered and terms of the offering, including:</w:t>
      </w:r>
    </w:p>
    <w:p>
      <w:pPr>
        <w:spacing w:after="0" w:line="67" w:lineRule="exact"/>
        <w:rPr>
          <w:sz w:val="20"/>
          <w:szCs w:val="20"/>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brokers or agents and the amounts of securities underwritten or purchased by each of them;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a fixed price offering, and the proceeds to us or any selling stockholders and, to the extent required, any discounts, commissions or concessions allowed or reallowed or paid to dealers.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8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w:t>
      </w:r>
      <w:hyperlink r:id="rId88">
        <w:r>
          <w:rPr>
            <w:rFonts w:ascii="Times New Roman" w:cs="Times New Roman" w:eastAsia="Times New Roman" w:hAnsi="Times New Roman"/>
            <w:sz w:val="18"/>
            <w:szCs w:val="18"/>
            <w:u w:val="single" w:color="auto"/>
            <w:color w:val="0000EE"/>
          </w:rPr>
          <w:t>April 13,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to the extent specifically incorporated by reference into our Annual Report on </w:t>
      </w:r>
      <w:hyperlink r:id="rId8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w:t>
      </w:r>
    </w:p>
    <w:p>
      <w:pPr>
        <w:spacing w:after="0" w:line="176"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76" w:lineRule="exact"/>
        <w:rPr>
          <w:rFonts w:ascii="Times New Roman" w:cs="Times New Roman" w:eastAsia="Times New Roman" w:hAnsi="Times New Roman"/>
          <w:sz w:val="18"/>
          <w:szCs w:val="18"/>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94"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320" w:top="455" w:right="12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969645</wp:posOffset>
            </wp:positionV>
            <wp:extent cx="1148715"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1487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564515</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         , 2026</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435610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504190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9"/>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3"/>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1"/>
    </w:lvl>
  </w:abstractNum>
  <w:abstractNum w:abstractNumId="23">
    <w:nsid w:val="1E7FF521"/>
    <w:multiLevelType w:val="hybridMultilevel"/>
    <w:lvl w:ilvl="0">
      <w:lvlJc w:val="left"/>
      <w:lvlText w:val="(%1)"/>
      <w:numFmt w:val="lowerRoman"/>
      <w:start w:val="4"/>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3"/>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3"/>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jpe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jpe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58" Type="http://schemas.openxmlformats.org/officeDocument/2006/relationships/hyperlink" Target="http://www.sec.gov/ix?doc=/Archives/edgar/data/1822479/000182247926000015/shc-20251231.htm" TargetMode="External"/><Relationship Id="rId59" Type="http://schemas.openxmlformats.org/officeDocument/2006/relationships/hyperlink" Target="http://www.sec.gov/ix?doc=/Archives/edgar/data/1822479/000182247926000007/shc-20260204.htm" TargetMode="External"/><Relationship Id="rId60" Type="http://schemas.openxmlformats.org/officeDocument/2006/relationships/hyperlink" Target="http://www.sec.gov/ix?doc=/Archives/edgar/data/1822479/000182247926000012/shc-20260218.htm" TargetMode="External"/><Relationship Id="rId61" Type="http://schemas.openxmlformats.org/officeDocument/2006/relationships/hyperlink" Target="http://www.sec.gov/ix?doc=/Archives/edgar/data/1822479/000110465925033563/tm253344-4_def14a.htm" TargetMode="External"/><Relationship Id="rId62" Type="http://schemas.openxmlformats.org/officeDocument/2006/relationships/hyperlink" Target="http://www.sec.gov/Archives/edgar/data/1822479/000110465925044107/tm2513916d1_defa14a.htm" TargetMode="External"/><Relationship Id="rId86" Type="http://schemas.openxmlformats.org/officeDocument/2006/relationships/hyperlink" Target="http://www.sec.gov/Archives/edgar/data/1822479/000182247924000011/shc-20231231.htm" TargetMode="External"/><Relationship Id="rId87" Type="http://schemas.openxmlformats.org/officeDocument/2006/relationships/hyperlink" Target="http://www.sec.gov/ix?doc=/Archives/edgar/data/1822479/000119312523099939/d425483ddef14a.htm" TargetMode="External"/><Relationship Id="rId88" Type="http://schemas.openxmlformats.org/officeDocument/2006/relationships/hyperlink" Target="http://www.sec.gov/Archives/edgar/data/1822479/000119312523099939/d425483ddef14a.htm" TargetMode="External"/><Relationship Id="rId89" Type="http://schemas.openxmlformats.org/officeDocument/2006/relationships/hyperlink" Target="http://www.sec.gov/ix?doc=/Archives/edgar/data/1822479/000182247923000015/shc-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2026-03-04T16:26:20Z</dcterms:created>
  <dcterms:modified xsi:type="dcterms:W3CDTF">2026-03-04T16:26:20Z</dcterms:modified>
</cp:coreProperties>
</file>